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28FC5" w14:textId="77777777" w:rsidR="00AE7DD6" w:rsidRDefault="00AE7DD6">
      <w:pPr>
        <w:pBdr>
          <w:top w:val="nil"/>
          <w:left w:val="nil"/>
          <w:bottom w:val="nil"/>
          <w:right w:val="nil"/>
          <w:between w:val="nil"/>
        </w:pBdr>
        <w:spacing w:before="1"/>
        <w:jc w:val="center"/>
        <w:rPr>
          <w:color w:val="000000"/>
          <w:sz w:val="24"/>
          <w:szCs w:val="24"/>
        </w:rPr>
      </w:pPr>
    </w:p>
    <w:p w14:paraId="2D526D75" w14:textId="77777777" w:rsidR="00AE7DD6" w:rsidRDefault="00A03286">
      <w:pPr>
        <w:pStyle w:val="Ttulo"/>
        <w:ind w:firstLine="75"/>
      </w:pPr>
      <w:r>
        <w:t>BALANÇO DE ENERGIA E EVAPOTRANSPIRAÇÃO SOB AS CONDIÇÕES CILMATICAS DA FLONA DE AÇU</w:t>
      </w:r>
    </w:p>
    <w:p w14:paraId="4E3DE2C4" w14:textId="77777777" w:rsidR="00AE7DD6" w:rsidRDefault="00A03286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bookmark=id.nk6xfn18o9bb" w:colFirst="0" w:colLast="0"/>
      <w:bookmarkEnd w:id="0"/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Thales Cauã pereira Da Silva, 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Poliane Evangelista De Sousa, 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Levi Nascimento de Lima, 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Daniel Felipe da silva,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Bergson Guedes Bezerra</w:t>
      </w:r>
    </w:p>
    <w:p w14:paraId="37315B0F" w14:textId="77777777" w:rsidR="00AE7DD6" w:rsidRDefault="00A03286">
      <w:pPr>
        <w:rPr>
          <w:sz w:val="24"/>
          <w:szCs w:val="24"/>
        </w:rPr>
      </w:pPr>
      <w:r>
        <w:rPr>
          <w:vertAlign w:val="superscript"/>
        </w:rPr>
        <w:t>1</w:t>
      </w:r>
      <w:r>
        <w:t xml:space="preserve">Universidade Federal do Rio Grande do Norte, e-mail: thales.pereira156@ufrn.edu.br; </w:t>
      </w:r>
      <w:r>
        <w:rPr>
          <w:vertAlign w:val="superscript"/>
        </w:rPr>
        <w:t>2</w:t>
      </w:r>
      <w:r>
        <w:t xml:space="preserve">Universidade Federal do Rio Grande do Norte, e-mail: poliane.evangelista.455@ufrn.edu.br; </w:t>
      </w:r>
      <w:r>
        <w:rPr>
          <w:vertAlign w:val="superscript"/>
        </w:rPr>
        <w:t>3</w:t>
      </w:r>
      <w:r>
        <w:t>Universidade Federal do Rio Grande do Norte, e-mail: sad.levi151@gmail.com;</w:t>
      </w:r>
      <w:r>
        <w:rPr>
          <w:vertAlign w:val="superscript"/>
        </w:rPr>
        <w:t>4</w:t>
      </w:r>
      <w:r>
        <w:t>Univ</w:t>
      </w:r>
      <w:r>
        <w:t>ersidade Federal do Rio Grande do Norte, e-mail:dani.alucard25@gmail.com,</w:t>
      </w:r>
      <w:r>
        <w:rPr>
          <w:vertAlign w:val="superscript"/>
        </w:rPr>
        <w:t>5</w:t>
      </w:r>
      <w:r>
        <w:t xml:space="preserve">Universidade Federal do Rio Grande do Norte, e-mail: </w:t>
      </w:r>
      <w:r>
        <w:rPr>
          <w:sz w:val="24"/>
          <w:szCs w:val="24"/>
        </w:rPr>
        <w:t>bergson.bezerra@gmail.com</w:t>
      </w:r>
    </w:p>
    <w:p w14:paraId="7B7F30D4" w14:textId="77777777" w:rsidR="00AE7DD6" w:rsidRDefault="00AE7DD6">
      <w:pPr>
        <w:spacing w:line="228" w:lineRule="auto"/>
        <w:ind w:left="77" w:right="209"/>
        <w:jc w:val="right"/>
        <w:rPr>
          <w:b/>
          <w:bCs/>
          <w:i/>
          <w:iCs/>
          <w:sz w:val="24"/>
          <w:szCs w:val="24"/>
        </w:rPr>
      </w:pPr>
    </w:p>
    <w:p w14:paraId="598121CF" w14:textId="77777777" w:rsidR="00AE7DD6" w:rsidRDefault="00A03286">
      <w:pPr>
        <w:spacing w:line="228" w:lineRule="auto"/>
        <w:ind w:left="77" w:right="209"/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Biodiversidade e preservação</w:t>
      </w:r>
    </w:p>
    <w:p w14:paraId="49FAF883" w14:textId="77777777" w:rsidR="00AE7DD6" w:rsidRDefault="00A03286">
      <w:pPr>
        <w:spacing w:line="228" w:lineRule="auto"/>
        <w:ind w:left="77" w:right="209"/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Regulação climática</w:t>
      </w:r>
    </w:p>
    <w:p w14:paraId="3C1C8C29" w14:textId="77777777" w:rsidR="00AE7DD6" w:rsidRDefault="00AE7DD6">
      <w:pPr>
        <w:spacing w:line="228" w:lineRule="auto"/>
        <w:ind w:right="209"/>
        <w:rPr>
          <w:i/>
          <w:iCs/>
          <w:sz w:val="24"/>
          <w:szCs w:val="24"/>
        </w:rPr>
      </w:pPr>
    </w:p>
    <w:p w14:paraId="2E39E12E" w14:textId="77777777" w:rsidR="00AE7DD6" w:rsidRDefault="00A03286">
      <w:pPr>
        <w:spacing w:line="228" w:lineRule="auto"/>
        <w:ind w:left="77" w:right="2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Resumo</w:t>
      </w:r>
    </w:p>
    <w:p w14:paraId="7D8064D8" w14:textId="77777777" w:rsidR="00AE7DD6" w:rsidRDefault="00AE7DD6">
      <w:pPr>
        <w:spacing w:line="228" w:lineRule="auto"/>
        <w:ind w:left="77" w:right="209"/>
        <w:jc w:val="center"/>
        <w:rPr>
          <w:b/>
          <w:bCs/>
          <w:sz w:val="28"/>
          <w:szCs w:val="28"/>
        </w:rPr>
      </w:pPr>
    </w:p>
    <w:p w14:paraId="41A9A915" w14:textId="77777777" w:rsidR="00AE7DD6" w:rsidRDefault="00A0328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Este estudo aborda a dinâmica micrometeoroló</w:t>
      </w:r>
      <w:r>
        <w:rPr>
          <w:sz w:val="24"/>
          <w:szCs w:val="24"/>
        </w:rPr>
        <w:t>gica na Floresta Nacional de Açu (FLONA de Açu), analisando o balanço de energia e a evapotranspiração sob as condições climáticas do semiárido norte-riograndense. O objetivo foi discutir a distribuição da energia disponível nos processos biofísicos da veg</w:t>
      </w:r>
      <w:r>
        <w:rPr>
          <w:sz w:val="24"/>
          <w:szCs w:val="24"/>
        </w:rPr>
        <w:t>etação de Caatinga. A metodologia baseou-se na coleta de dados contínuos por meio do sistema Eddy Covariance e de um saldo-radiômetro. Os resultados revelaram uma marcante variação sazonal nos fluxos turbulentos induzida pelo regime pluviométrico. Na estaç</w:t>
      </w:r>
      <w:r>
        <w:rPr>
          <w:sz w:val="24"/>
          <w:szCs w:val="24"/>
        </w:rPr>
        <w:t>ão chuvosa, o fluxo de calor latente foi o componente predominante devido à maior disponibilidade hídrica para os processos evaporativos. Inversamente, na estação seca, a escassez de água determinou a dominância do fluxo de calor sensível, direcionando a m</w:t>
      </w:r>
      <w:r>
        <w:rPr>
          <w:sz w:val="24"/>
          <w:szCs w:val="24"/>
        </w:rPr>
        <w:t>aior parte da energia para o aquecimento do ar. Conclui-se que o ecossistema apresenta rápida resposta biofísica às oscilações hídricas sazonais, sendo o balanço de energia um fator regulador fundamental para subsidiar estratégias de conservação e gestão d</w:t>
      </w:r>
      <w:r>
        <w:rPr>
          <w:sz w:val="24"/>
          <w:szCs w:val="24"/>
        </w:rPr>
        <w:t>e recursos hídricos.</w:t>
      </w:r>
    </w:p>
    <w:p w14:paraId="24C852C9" w14:textId="77777777" w:rsidR="00AE7DD6" w:rsidRDefault="00AE7DD6">
      <w:pPr>
        <w:spacing w:line="228" w:lineRule="auto"/>
        <w:ind w:left="77" w:right="209"/>
        <w:jc w:val="both"/>
        <w:rPr>
          <w:sz w:val="24"/>
          <w:szCs w:val="24"/>
        </w:rPr>
      </w:pPr>
    </w:p>
    <w:p w14:paraId="341CBFCA" w14:textId="77777777" w:rsidR="00AE7DD6" w:rsidRDefault="00A03286">
      <w:pPr>
        <w:ind w:right="209"/>
        <w:jc w:val="both"/>
        <w:rPr>
          <w:sz w:val="24"/>
          <w:szCs w:val="24"/>
        </w:rPr>
      </w:pPr>
      <w:r>
        <w:rPr>
          <w:sz w:val="24"/>
          <w:szCs w:val="24"/>
        </w:rPr>
        <w:t>Deverá ter no máximo 200 palavras. O resumo deverá ter a delimitação do tema, objetivos, metodologia, resultados e conclusão. O texto deve ser claro e coeso.</w:t>
      </w:r>
    </w:p>
    <w:p w14:paraId="4DF668E5" w14:textId="77777777" w:rsidR="00AE7DD6" w:rsidRDefault="00AE7DD6">
      <w:pPr>
        <w:jc w:val="both"/>
        <w:rPr>
          <w:b/>
          <w:bCs/>
          <w:sz w:val="24"/>
          <w:szCs w:val="24"/>
        </w:rPr>
      </w:pPr>
    </w:p>
    <w:p w14:paraId="01230218" w14:textId="77777777" w:rsidR="00AE7DD6" w:rsidRDefault="00A03286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>
        <w:rPr>
          <w:sz w:val="24"/>
          <w:szCs w:val="24"/>
        </w:rPr>
        <w:t>Caatinga; Calor Latente; Calor Sensível; Eddy Covariance; Saldo de Radiação</w:t>
      </w:r>
    </w:p>
    <w:p w14:paraId="37141196" w14:textId="77777777" w:rsidR="00AE7DD6" w:rsidRDefault="00AE7DD6">
      <w:pPr>
        <w:jc w:val="both"/>
        <w:rPr>
          <w:b/>
          <w:bCs/>
          <w:sz w:val="28"/>
          <w:szCs w:val="28"/>
        </w:rPr>
      </w:pPr>
    </w:p>
    <w:p w14:paraId="17F36A2F" w14:textId="77777777" w:rsidR="00AE7DD6" w:rsidRDefault="00AE7DD6">
      <w:pPr>
        <w:jc w:val="both"/>
        <w:rPr>
          <w:b/>
          <w:bCs/>
          <w:sz w:val="28"/>
          <w:szCs w:val="28"/>
        </w:rPr>
      </w:pPr>
    </w:p>
    <w:p w14:paraId="703D3EF9" w14:textId="77777777" w:rsidR="00AE7DD6" w:rsidRDefault="00A0328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>
        <w:rPr>
          <w:b/>
          <w:bCs/>
          <w:sz w:val="28"/>
          <w:szCs w:val="28"/>
        </w:rPr>
        <w:t>rodução</w:t>
      </w:r>
    </w:p>
    <w:p w14:paraId="78A5D59B" w14:textId="77777777" w:rsidR="00AE7DD6" w:rsidRDefault="00AE7DD6">
      <w:pPr>
        <w:spacing w:before="1" w:line="360" w:lineRule="auto"/>
        <w:ind w:firstLine="720"/>
        <w:jc w:val="both"/>
        <w:rPr>
          <w:sz w:val="24"/>
          <w:szCs w:val="24"/>
        </w:rPr>
      </w:pPr>
    </w:p>
    <w:p w14:paraId="0D00A4F5" w14:textId="77777777" w:rsidR="00AE7DD6" w:rsidRDefault="00A03286">
      <w:pP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balanço de energia (BE) é fundamental para a fotossíntese, a evapotranspiração, os fluxos de calor sensível e latente, o armazenamento de energia na vegetação e o aquecimento do solo (FENG et al., 2017; FRANK e MASSMAN, 2023). Os fluxos de energ</w:t>
      </w:r>
      <w:r>
        <w:rPr>
          <w:sz w:val="24"/>
          <w:szCs w:val="24"/>
        </w:rPr>
        <w:t xml:space="preserve">ia, em particular, constituem um componente chave e um fator determinante nos processos e funções dos ecossistemas (SILVA et al., 2024). O fluxo de calor latente (LE), a partir do qual se deriva a </w:t>
      </w:r>
      <w:r>
        <w:rPr>
          <w:sz w:val="24"/>
          <w:szCs w:val="24"/>
        </w:rPr>
        <w:lastRenderedPageBreak/>
        <w:t>evapotranspiração (ET), é componente chave do ciclo hidroló</w:t>
      </w:r>
      <w:r>
        <w:rPr>
          <w:sz w:val="24"/>
          <w:szCs w:val="24"/>
        </w:rPr>
        <w:t>gico e do ciclo global do carbono (SILVA et al., 2024). Este trabalho teve como objetivo principal discutir o particionamento do balanço de energia – ou seja, a distribuição da energia disponível (saldo de radiação menos o fluxo de calor no solo) nos difer</w:t>
      </w:r>
      <w:r>
        <w:rPr>
          <w:sz w:val="24"/>
          <w:szCs w:val="24"/>
        </w:rPr>
        <w:t>entes processos biofísicos à superfície – em ecossistemas naturais e agrícolas, nas mais variadas zonas climáticas da Terra (VANOMARK et al., 2018; CAMPOS et al., 2019; DARE-IDOWU et al., 2021; CHENG et al., 2022).</w:t>
      </w:r>
    </w:p>
    <w:p w14:paraId="6CC4F20A" w14:textId="77777777" w:rsidR="00AE7DD6" w:rsidRDefault="00A03286">
      <w:pP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particionamento do balanço de energia é</w:t>
      </w:r>
      <w:r>
        <w:rPr>
          <w:sz w:val="24"/>
          <w:szCs w:val="24"/>
        </w:rPr>
        <w:t xml:space="preserve"> influenciado pelos tipos e pela fenologia das plantas que compõem o ecossistema, pela sazonalidade climática e pelas propriedades físicas do solo (BALDOCCHI et al., 1997; 2004; HAO et al., 2007; BEZERRA et al., 2015; CAMPOS et al., 2019). Por essa razão, </w:t>
      </w:r>
      <w:r>
        <w:rPr>
          <w:sz w:val="24"/>
          <w:szCs w:val="24"/>
        </w:rPr>
        <w:t>estudos envolvendo esse particionamento são sempre necessários, haja vista sua dependência de fatores locais e temporais.</w:t>
      </w:r>
    </w:p>
    <w:p w14:paraId="5A865BD2" w14:textId="77777777" w:rsidR="00AE7DD6" w:rsidRDefault="00A03286">
      <w:pPr>
        <w:spacing w:before="1" w:line="360" w:lineRule="auto"/>
        <w:ind w:firstLine="7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De acordo com FENG et al. (2017), as análises do particionamento do balanço de energia em ecossistemas terrestres, bem como da ET, são</w:t>
      </w:r>
      <w:r>
        <w:rPr>
          <w:sz w:val="24"/>
          <w:szCs w:val="24"/>
        </w:rPr>
        <w:t xml:space="preserve"> de grande importância não apenas para os efeitos nas trocas regionais de energia e massa entre a superfície, a biosfera e a atmosfera e para as mudanças climáticas, mas também porque fornecem informações preciosas para calibração/validação da modelagem re</w:t>
      </w:r>
      <w:r>
        <w:rPr>
          <w:sz w:val="24"/>
          <w:szCs w:val="24"/>
        </w:rPr>
        <w:t>gional, na busca por melhora da destreza dos modelos, conferindo-lhes maior confiabilidade. Em ecossistemas de florestas semiáridas, como a Caatinga, a importância dessas análises reside no papel desses ambientes para o ciclo global do carbono (MENDES et a</w:t>
      </w:r>
      <w:r>
        <w:rPr>
          <w:sz w:val="24"/>
          <w:szCs w:val="24"/>
        </w:rPr>
        <w:t>l., 2020). O balanço de energia é o processo ecológico mais importante em análises das trocas de dióxido de carbono em ecossistemas terrestres.</w:t>
      </w:r>
    </w:p>
    <w:p w14:paraId="6F7D8098" w14:textId="77777777" w:rsidR="00AE7DD6" w:rsidRDefault="00AE7DD6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color w:val="000000"/>
          <w:sz w:val="24"/>
          <w:szCs w:val="24"/>
        </w:rPr>
      </w:pPr>
    </w:p>
    <w:p w14:paraId="3CBB4A58" w14:textId="77777777" w:rsidR="00AE7DD6" w:rsidRDefault="00A03286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Metodologia</w:t>
      </w:r>
    </w:p>
    <w:p w14:paraId="781FE702" w14:textId="77777777" w:rsidR="00AE7DD6" w:rsidRDefault="00A03286">
      <w:pP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presente estudo será desenvolvido na Floresta Nacional de Açu (Flona de Açu), localizada no município de Assu, estado do Rio Grande do Norte, na mesorregião Oeste Potiguar (5,57ºS; 36,94ºW). A área de estudo encontra-se inserida em uma região de clima se</w:t>
      </w:r>
      <w:r>
        <w:rPr>
          <w:sz w:val="24"/>
          <w:szCs w:val="24"/>
        </w:rPr>
        <w:t>miárido, caracterizada por elevada variabilidade interanual das precipitações, altas temperaturas e intensa incidência de radiação solar ao longo do ano, fatores que influenciam diretamente os processos ecofisiológicos da vegetação de Caatinga e a dinâmica</w:t>
      </w:r>
      <w:r>
        <w:rPr>
          <w:sz w:val="24"/>
          <w:szCs w:val="24"/>
        </w:rPr>
        <w:t xml:space="preserve"> das trocas de energia e vapor d’água entre a superfície e a atmosfera. Os dados utilizados neste estudo vêm sendo coletados continuamente desde junho de 2023, em médias de meia hora.</w:t>
      </w:r>
    </w:p>
    <w:p w14:paraId="7AEE3E25" w14:textId="77777777" w:rsidR="00AE7DD6" w:rsidRDefault="00A03286">
      <w:pP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balanço de energia será analisado a partir da seguinte equação:</w:t>
      </w:r>
    </w:p>
    <w:p w14:paraId="20D30C8D" w14:textId="77777777" w:rsidR="00AE7DD6" w:rsidRDefault="00A03286">
      <w:pPr>
        <w:spacing w:before="1" w:line="360" w:lineRule="auto"/>
        <w:ind w:firstLine="720"/>
        <w:jc w:val="center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Rn</m:t>
          </m:r>
          <m:r>
            <w:rPr>
              <w:rFonts w:ascii="Cambria Math" w:hAnsi="Cambria Math"/>
              <w:sz w:val="24"/>
              <w:szCs w:val="24"/>
            </w:rPr>
            <m:t xml:space="preserve"> = </m:t>
          </m:r>
          <m:r>
            <w:rPr>
              <w:rFonts w:ascii="Cambria Math" w:hAnsi="Cambria Math"/>
              <w:sz w:val="24"/>
              <w:szCs w:val="24"/>
            </w:rPr>
            <m:t>LE</m:t>
          </m:r>
          <m:r>
            <w:rPr>
              <w:rFonts w:ascii="Cambria Math" w:hAnsi="Cambria Math"/>
              <w:sz w:val="24"/>
              <w:szCs w:val="24"/>
            </w:rPr>
            <m:t>+</m:t>
          </m:r>
          <m:r>
            <w:rPr>
              <w:rFonts w:ascii="Cambria Math" w:hAnsi="Cambria Math"/>
              <w:sz w:val="24"/>
              <w:szCs w:val="24"/>
            </w:rPr>
            <m:t>H</m:t>
          </m:r>
          <m:r>
            <w:rPr>
              <w:rFonts w:ascii="Cambria Math" w:hAnsi="Cambria Math"/>
              <w:sz w:val="24"/>
              <w:szCs w:val="24"/>
            </w:rPr>
            <m:t>+</m:t>
          </m:r>
          <m:r>
            <w:rPr>
              <w:rFonts w:ascii="Cambria Math" w:hAnsi="Cambria Math"/>
              <w:sz w:val="24"/>
              <w:szCs w:val="24"/>
            </w:rPr>
            <m:t>G</m:t>
          </m:r>
        </m:oMath>
      </m:oMathPara>
    </w:p>
    <w:p w14:paraId="5B95417B" w14:textId="77777777" w:rsidR="00AE7DD6" w:rsidRDefault="00A03286">
      <w:pPr>
        <w:spacing w:before="1" w:line="360" w:lineRule="auto"/>
        <w:ind w:firstLine="7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Em que Rn representa o saldo de radiação, LE o fluxo de calor latente, H o fluxo de </w:t>
      </w:r>
      <w:r>
        <w:rPr>
          <w:sz w:val="24"/>
          <w:szCs w:val="24"/>
        </w:rPr>
        <w:lastRenderedPageBreak/>
        <w:t>calor sensível e G o fluxo de calor no solo. O saldo de radiação está sendo medido por m</w:t>
      </w:r>
      <w:r>
        <w:rPr>
          <w:sz w:val="24"/>
          <w:szCs w:val="24"/>
        </w:rPr>
        <w:t>eio de um saldo-radiômetro modelo CNR4 (Kipp &amp; Zonen BV, Delft, The Netherlands). Os fluxos turbulentos de calor sensível e calor latente estão sendo obtidos a partir do sistema Eddy Covariance, cuja metodologia baseia-se na covariância entre as flutuações</w:t>
      </w:r>
      <w:r>
        <w:rPr>
          <w:sz w:val="24"/>
          <w:szCs w:val="24"/>
        </w:rPr>
        <w:t xml:space="preserve"> da velocidade vertical do vento e da temperatura do ar, para determinação de H, e entre as flutuações da velocidade vertical do vento e da umidade específica do ar, para determinação de LE.</w:t>
      </w:r>
    </w:p>
    <w:p w14:paraId="07FDF7BC" w14:textId="77777777" w:rsidR="00AE7DD6" w:rsidRDefault="00AE7DD6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rPr>
          <w:color w:val="000000"/>
          <w:sz w:val="24"/>
          <w:szCs w:val="24"/>
        </w:rPr>
      </w:pPr>
    </w:p>
    <w:p w14:paraId="351597ED" w14:textId="77777777" w:rsidR="00AE7DD6" w:rsidRDefault="00A03286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Resultados e Discussão</w:t>
      </w:r>
    </w:p>
    <w:p w14:paraId="18723485" w14:textId="77777777" w:rsidR="00AE7DD6" w:rsidRDefault="00A03286">
      <w:pPr>
        <w:widowControl/>
        <w:spacing w:line="360" w:lineRule="auto"/>
        <w:ind w:firstLine="709"/>
        <w:jc w:val="center"/>
        <w:rPr>
          <w:b/>
          <w:bCs/>
          <w:sz w:val="14"/>
          <w:szCs w:val="14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  <w:shd w:val="clear" w:color="auto" w:fill="FDFCFC"/>
        </w:rPr>
        <w:t>Caracterização climática anual e sazonal</w:t>
      </w:r>
    </w:p>
    <w:tbl>
      <w:tblPr>
        <w:tblStyle w:val="a"/>
        <w:tblW w:w="7375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31"/>
        <w:gridCol w:w="1275"/>
        <w:gridCol w:w="2127"/>
        <w:gridCol w:w="1842"/>
      </w:tblGrid>
      <w:tr w:rsidR="00AE7DD6" w14:paraId="310653A5" w14:textId="77777777">
        <w:trPr>
          <w:jc w:val="center"/>
        </w:trPr>
        <w:tc>
          <w:tcPr>
            <w:tcW w:w="2132" w:type="dxa"/>
            <w:tcBorders>
              <w:top w:val="single" w:sz="4" w:space="0" w:color="000000"/>
              <w:bottom w:val="single" w:sz="4" w:space="0" w:color="000000"/>
            </w:tcBorders>
          </w:tcPr>
          <w:p w14:paraId="7055887D" w14:textId="77777777" w:rsidR="00AE7DD6" w:rsidRDefault="00AE7DD6">
            <w:pPr>
              <w:widowControl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1C6209C4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Anual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</w:tcPr>
          <w:p w14:paraId="781D5C79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Estação Chuvosa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</w:tcPr>
          <w:p w14:paraId="1971779C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Estação Seca</w:t>
            </w:r>
          </w:p>
        </w:tc>
      </w:tr>
      <w:tr w:rsidR="00AE7DD6" w14:paraId="4C1ED192" w14:textId="77777777">
        <w:trPr>
          <w:jc w:val="center"/>
        </w:trPr>
        <w:tc>
          <w:tcPr>
            <w:tcW w:w="2132" w:type="dxa"/>
            <w:tcBorders>
              <w:top w:val="single" w:sz="4" w:space="0" w:color="000000"/>
            </w:tcBorders>
          </w:tcPr>
          <w:p w14:paraId="5AC3AEB7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Prec (mm)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20129127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876.0</w:t>
            </w: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03574383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693.0</w:t>
            </w:r>
          </w:p>
        </w:tc>
        <w:tc>
          <w:tcPr>
            <w:tcW w:w="1842" w:type="dxa"/>
            <w:tcBorders>
              <w:top w:val="single" w:sz="4" w:space="0" w:color="000000"/>
            </w:tcBorders>
          </w:tcPr>
          <w:p w14:paraId="45C5B0DC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66.7</w:t>
            </w:r>
          </w:p>
        </w:tc>
      </w:tr>
      <w:tr w:rsidR="00AE7DD6" w14:paraId="4DF3AFCA" w14:textId="77777777">
        <w:trPr>
          <w:jc w:val="center"/>
        </w:trPr>
        <w:tc>
          <w:tcPr>
            <w:tcW w:w="2132" w:type="dxa"/>
          </w:tcPr>
          <w:p w14:paraId="555AAC39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Dias chuvosos*</w:t>
            </w:r>
          </w:p>
        </w:tc>
        <w:tc>
          <w:tcPr>
            <w:tcW w:w="1275" w:type="dxa"/>
          </w:tcPr>
          <w:p w14:paraId="128DECEA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2127" w:type="dxa"/>
          </w:tcPr>
          <w:p w14:paraId="69C67731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842" w:type="dxa"/>
          </w:tcPr>
          <w:p w14:paraId="7DD776C0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E7DD6" w14:paraId="0DE8107C" w14:textId="77777777">
        <w:trPr>
          <w:jc w:val="center"/>
        </w:trPr>
        <w:tc>
          <w:tcPr>
            <w:tcW w:w="2132" w:type="dxa"/>
          </w:tcPr>
          <w:p w14:paraId="18ABC4F5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Rg (W m⁻²)</w:t>
            </w:r>
          </w:p>
        </w:tc>
        <w:tc>
          <w:tcPr>
            <w:tcW w:w="1275" w:type="dxa"/>
          </w:tcPr>
          <w:p w14:paraId="10AFA60D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366.7</w:t>
            </w:r>
          </w:p>
        </w:tc>
        <w:tc>
          <w:tcPr>
            <w:tcW w:w="2127" w:type="dxa"/>
          </w:tcPr>
          <w:p w14:paraId="3D81F94B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302.8</w:t>
            </w:r>
          </w:p>
        </w:tc>
        <w:tc>
          <w:tcPr>
            <w:tcW w:w="1842" w:type="dxa"/>
          </w:tcPr>
          <w:p w14:paraId="3E459168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498.4</w:t>
            </w:r>
          </w:p>
        </w:tc>
      </w:tr>
      <w:tr w:rsidR="00AE7DD6" w14:paraId="349EE15D" w14:textId="77777777">
        <w:trPr>
          <w:jc w:val="center"/>
        </w:trPr>
        <w:tc>
          <w:tcPr>
            <w:tcW w:w="2132" w:type="dxa"/>
          </w:tcPr>
          <w:p w14:paraId="1ACD2663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 (ºC)</w:t>
            </w:r>
          </w:p>
        </w:tc>
        <w:tc>
          <w:tcPr>
            <w:tcW w:w="1275" w:type="dxa"/>
          </w:tcPr>
          <w:p w14:paraId="4B46666D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28.2</w:t>
            </w:r>
          </w:p>
        </w:tc>
        <w:tc>
          <w:tcPr>
            <w:tcW w:w="2127" w:type="dxa"/>
          </w:tcPr>
          <w:p w14:paraId="66D441DB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28.6</w:t>
            </w:r>
          </w:p>
        </w:tc>
        <w:tc>
          <w:tcPr>
            <w:tcW w:w="1842" w:type="dxa"/>
          </w:tcPr>
          <w:p w14:paraId="77EF5BBA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28.9</w:t>
            </w:r>
          </w:p>
        </w:tc>
      </w:tr>
      <w:tr w:rsidR="00AE7DD6" w14:paraId="3CEBA20F" w14:textId="77777777">
        <w:trPr>
          <w:jc w:val="center"/>
        </w:trPr>
        <w:tc>
          <w:tcPr>
            <w:tcW w:w="2132" w:type="dxa"/>
          </w:tcPr>
          <w:p w14:paraId="4E386AC0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VPD (kPa)</w:t>
            </w:r>
          </w:p>
        </w:tc>
        <w:tc>
          <w:tcPr>
            <w:tcW w:w="1275" w:type="dxa"/>
          </w:tcPr>
          <w:p w14:paraId="656429E7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1.26</w:t>
            </w:r>
          </w:p>
        </w:tc>
        <w:tc>
          <w:tcPr>
            <w:tcW w:w="2127" w:type="dxa"/>
          </w:tcPr>
          <w:p w14:paraId="4EA8812C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0.95</w:t>
            </w:r>
          </w:p>
        </w:tc>
        <w:tc>
          <w:tcPr>
            <w:tcW w:w="1842" w:type="dxa"/>
          </w:tcPr>
          <w:p w14:paraId="3170514C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1.70</w:t>
            </w:r>
          </w:p>
        </w:tc>
      </w:tr>
      <w:tr w:rsidR="00AE7DD6" w14:paraId="3521EFF3" w14:textId="77777777">
        <w:trPr>
          <w:jc w:val="center"/>
        </w:trPr>
        <w:tc>
          <w:tcPr>
            <w:tcW w:w="2132" w:type="dxa"/>
            <w:tcBorders>
              <w:bottom w:val="single" w:sz="4" w:space="0" w:color="000000"/>
            </w:tcBorders>
          </w:tcPr>
          <w:p w14:paraId="36B4DDEF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Tsolo (ºC)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53B2F469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30.9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14:paraId="13575124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28.4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14:paraId="17D08243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34.6</w:t>
            </w:r>
          </w:p>
        </w:tc>
      </w:tr>
    </w:tbl>
    <w:p w14:paraId="71FF0C2D" w14:textId="77777777" w:rsidR="00AE7DD6" w:rsidRDefault="00A03286">
      <w:pPr>
        <w:widowControl/>
        <w:spacing w:line="360" w:lineRule="auto"/>
        <w:ind w:right="-113"/>
        <w:jc w:val="both"/>
        <w:rPr>
          <w:sz w:val="24"/>
          <w:szCs w:val="24"/>
        </w:rPr>
      </w:pPr>
      <w:r>
        <w:rPr>
          <w:sz w:val="20"/>
          <w:szCs w:val="20"/>
        </w:rPr>
        <w:t>* Dias chuvosos foram definidos como aqueles com precipitação &gt; 0.10 mm, conforme Tinôco et al. (2018).</w:t>
      </w:r>
    </w:p>
    <w:p w14:paraId="6082FE73" w14:textId="77777777" w:rsidR="00AE7DD6" w:rsidRDefault="00AE7DD6">
      <w:pPr>
        <w:spacing w:before="1" w:line="360" w:lineRule="auto"/>
        <w:ind w:firstLine="720"/>
        <w:jc w:val="both"/>
        <w:rPr>
          <w:sz w:val="24"/>
          <w:szCs w:val="24"/>
        </w:rPr>
      </w:pPr>
    </w:p>
    <w:p w14:paraId="1C687565" w14:textId="77777777" w:rsidR="00AE7DD6" w:rsidRDefault="00A03286">
      <w:pP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Saldo de Radiação (Rn), que representa a energia líquida disponível na superfície, é maior na estação chuvosa (204,0 W m⁻²) do que na seca (155,6 W m</w:t>
      </w:r>
      <w:r>
        <w:rPr>
          <w:sz w:val="24"/>
          <w:szCs w:val="24"/>
        </w:rPr>
        <w:t>⁻²). A forma como essa energia é distribuída entre os fluxos de calor sensível (H) e latente (LE) altera-se drasticamente entre as estações. Na estação chuvosa a maior parte da energia é convertida em calor latente (LE = 88,0 W m⁻²), representando 43,1% do</w:t>
      </w:r>
      <w:r>
        <w:rPr>
          <w:sz w:val="24"/>
          <w:szCs w:val="24"/>
        </w:rPr>
        <w:t xml:space="preserve"> Rn. Isso ocorre devido à maior disponibilidade de água para os processos de evaporação e transpiração. O calor sensível (H) é baixo, correspondendo a apenas 11,4% da energia disponível, na estação seca, com a escassez de água, o calor sensível (H) torna-s</w:t>
      </w:r>
      <w:r>
        <w:rPr>
          <w:sz w:val="24"/>
          <w:szCs w:val="24"/>
        </w:rPr>
        <w:t>e o fluxo dominante, atingindo 101,6 W m⁻², o que representa 65,2% do Rn. O calor latente cai drasticamente para 8,4 W m⁻² (apenas 5,4% do Rn), indicando uma redução severa na evapotranspiração. Com o fluxo de calor no solo (G) representando a menor fração</w:t>
      </w:r>
      <w:r>
        <w:rPr>
          <w:sz w:val="24"/>
          <w:szCs w:val="24"/>
        </w:rPr>
        <w:t xml:space="preserve"> do balanço, sendo positivo na seca (2,4 W m⁻²) e ligeiramente negativo na chuvosa (-0,30 W m⁻²), refletindo o aquecimento e resfriamento sazonal da camada superficial do solo.</w:t>
      </w:r>
    </w:p>
    <w:p w14:paraId="6E6C6194" w14:textId="77777777" w:rsidR="00AE7DD6" w:rsidRDefault="00AE7DD6">
      <w:pPr>
        <w:widowControl/>
        <w:spacing w:line="360" w:lineRule="auto"/>
        <w:ind w:firstLine="709"/>
        <w:jc w:val="center"/>
        <w:rPr>
          <w:b/>
          <w:bCs/>
          <w:sz w:val="24"/>
          <w:szCs w:val="24"/>
        </w:rPr>
      </w:pPr>
    </w:p>
    <w:p w14:paraId="4EE86C51" w14:textId="77777777" w:rsidR="00AE7DD6" w:rsidRDefault="00AE7DD6">
      <w:pPr>
        <w:widowControl/>
        <w:spacing w:line="360" w:lineRule="auto"/>
        <w:ind w:firstLine="709"/>
        <w:jc w:val="center"/>
        <w:rPr>
          <w:b/>
          <w:bCs/>
          <w:sz w:val="24"/>
          <w:szCs w:val="24"/>
        </w:rPr>
      </w:pPr>
    </w:p>
    <w:p w14:paraId="45903B83" w14:textId="77777777" w:rsidR="00AE7DD6" w:rsidRDefault="00AE7DD6">
      <w:pPr>
        <w:widowControl/>
        <w:spacing w:line="360" w:lineRule="auto"/>
        <w:ind w:firstLine="709"/>
        <w:jc w:val="center"/>
        <w:rPr>
          <w:b/>
          <w:bCs/>
          <w:sz w:val="24"/>
          <w:szCs w:val="24"/>
        </w:rPr>
      </w:pPr>
    </w:p>
    <w:p w14:paraId="4947F37F" w14:textId="77777777" w:rsidR="00AE7DD6" w:rsidRDefault="00AE7DD6">
      <w:pPr>
        <w:widowControl/>
        <w:spacing w:line="360" w:lineRule="auto"/>
        <w:ind w:firstLine="709"/>
        <w:jc w:val="center"/>
        <w:rPr>
          <w:b/>
          <w:bCs/>
          <w:sz w:val="24"/>
          <w:szCs w:val="24"/>
        </w:rPr>
      </w:pPr>
    </w:p>
    <w:p w14:paraId="68551FFB" w14:textId="77777777" w:rsidR="00AE7DD6" w:rsidRDefault="00AE7DD6">
      <w:pPr>
        <w:widowControl/>
        <w:spacing w:line="360" w:lineRule="auto"/>
        <w:ind w:firstLine="709"/>
        <w:jc w:val="center"/>
        <w:rPr>
          <w:sz w:val="24"/>
          <w:szCs w:val="24"/>
        </w:rPr>
      </w:pPr>
    </w:p>
    <w:p w14:paraId="24B8E003" w14:textId="77777777" w:rsidR="00AE7DD6" w:rsidRDefault="00A03286">
      <w:pPr>
        <w:widowControl/>
        <w:spacing w:line="360" w:lineRule="auto"/>
        <w:ind w:firstLine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Balanço de energia anual e sazonal</w:t>
      </w:r>
    </w:p>
    <w:tbl>
      <w:tblPr>
        <w:tblStyle w:val="a0"/>
        <w:tblW w:w="67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1830"/>
        <w:gridCol w:w="1710"/>
        <w:gridCol w:w="1980"/>
      </w:tblGrid>
      <w:tr w:rsidR="00AE7DD6" w14:paraId="5D971620" w14:textId="77777777">
        <w:trPr>
          <w:jc w:val="center"/>
        </w:trPr>
        <w:tc>
          <w:tcPr>
            <w:tcW w:w="1275" w:type="dxa"/>
          </w:tcPr>
          <w:p w14:paraId="6376A848" w14:textId="77777777" w:rsidR="00AE7DD6" w:rsidRDefault="00AE7DD6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</w:tcPr>
          <w:p w14:paraId="5A22C026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Anual</w:t>
            </w:r>
          </w:p>
        </w:tc>
        <w:tc>
          <w:tcPr>
            <w:tcW w:w="1710" w:type="dxa"/>
          </w:tcPr>
          <w:p w14:paraId="02326486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Seca</w:t>
            </w:r>
          </w:p>
        </w:tc>
        <w:tc>
          <w:tcPr>
            <w:tcW w:w="1980" w:type="dxa"/>
          </w:tcPr>
          <w:p w14:paraId="62471FAD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Chuvosa</w:t>
            </w:r>
          </w:p>
        </w:tc>
      </w:tr>
      <w:tr w:rsidR="00AE7DD6" w14:paraId="181EECB3" w14:textId="77777777">
        <w:trPr>
          <w:jc w:val="center"/>
        </w:trPr>
        <w:tc>
          <w:tcPr>
            <w:tcW w:w="1275" w:type="dxa"/>
          </w:tcPr>
          <w:p w14:paraId="0838B826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Rn</w:t>
            </w:r>
          </w:p>
        </w:tc>
        <w:tc>
          <w:tcPr>
            <w:tcW w:w="1830" w:type="dxa"/>
          </w:tcPr>
          <w:p w14:paraId="02FD3A36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166,0</w:t>
            </w:r>
          </w:p>
        </w:tc>
        <w:tc>
          <w:tcPr>
            <w:tcW w:w="1710" w:type="dxa"/>
          </w:tcPr>
          <w:p w14:paraId="47AEEA21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155,6</w:t>
            </w:r>
          </w:p>
        </w:tc>
        <w:tc>
          <w:tcPr>
            <w:tcW w:w="1980" w:type="dxa"/>
          </w:tcPr>
          <w:p w14:paraId="1C58DCE5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204,0</w:t>
            </w:r>
          </w:p>
        </w:tc>
      </w:tr>
      <w:tr w:rsidR="00AE7DD6" w14:paraId="6CCC7D45" w14:textId="77777777">
        <w:trPr>
          <w:jc w:val="center"/>
        </w:trPr>
        <w:tc>
          <w:tcPr>
            <w:tcW w:w="1275" w:type="dxa"/>
          </w:tcPr>
          <w:p w14:paraId="756B48A5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</w:p>
        </w:tc>
        <w:tc>
          <w:tcPr>
            <w:tcW w:w="1830" w:type="dxa"/>
          </w:tcPr>
          <w:p w14:paraId="2FCED5EF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710" w:type="dxa"/>
          </w:tcPr>
          <w:p w14:paraId="2CF1EC32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101,6</w:t>
            </w:r>
          </w:p>
        </w:tc>
        <w:tc>
          <w:tcPr>
            <w:tcW w:w="1980" w:type="dxa"/>
          </w:tcPr>
          <w:p w14:paraId="57FF00BF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23,37</w:t>
            </w:r>
          </w:p>
        </w:tc>
      </w:tr>
      <w:tr w:rsidR="00AE7DD6" w14:paraId="12F34E8B" w14:textId="77777777">
        <w:trPr>
          <w:jc w:val="center"/>
        </w:trPr>
        <w:tc>
          <w:tcPr>
            <w:tcW w:w="1275" w:type="dxa"/>
          </w:tcPr>
          <w:p w14:paraId="7BEEB0C1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</w:t>
            </w:r>
          </w:p>
        </w:tc>
        <w:tc>
          <w:tcPr>
            <w:tcW w:w="1830" w:type="dxa"/>
          </w:tcPr>
          <w:p w14:paraId="0EFFE383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53,3</w:t>
            </w:r>
          </w:p>
        </w:tc>
        <w:tc>
          <w:tcPr>
            <w:tcW w:w="1710" w:type="dxa"/>
          </w:tcPr>
          <w:p w14:paraId="09C7D4C3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1980" w:type="dxa"/>
          </w:tcPr>
          <w:p w14:paraId="5239EAD8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88,0</w:t>
            </w:r>
          </w:p>
        </w:tc>
      </w:tr>
      <w:tr w:rsidR="00AE7DD6" w14:paraId="13E784F5" w14:textId="77777777">
        <w:trPr>
          <w:jc w:val="center"/>
        </w:trPr>
        <w:tc>
          <w:tcPr>
            <w:tcW w:w="1275" w:type="dxa"/>
          </w:tcPr>
          <w:p w14:paraId="1B18D775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830" w:type="dxa"/>
          </w:tcPr>
          <w:p w14:paraId="230E5662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710" w:type="dxa"/>
          </w:tcPr>
          <w:p w14:paraId="7814ADE3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1980" w:type="dxa"/>
          </w:tcPr>
          <w:p w14:paraId="4C5FD7D3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-0,30</w:t>
            </w:r>
          </w:p>
        </w:tc>
      </w:tr>
      <w:tr w:rsidR="00AE7DD6" w14:paraId="3B3554CE" w14:textId="77777777">
        <w:trPr>
          <w:jc w:val="center"/>
        </w:trPr>
        <w:tc>
          <w:tcPr>
            <w:tcW w:w="1275" w:type="dxa"/>
          </w:tcPr>
          <w:p w14:paraId="33E47389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H/Rn</w:t>
            </w:r>
          </w:p>
        </w:tc>
        <w:tc>
          <w:tcPr>
            <w:tcW w:w="1830" w:type="dxa"/>
          </w:tcPr>
          <w:p w14:paraId="5E312203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1710" w:type="dxa"/>
          </w:tcPr>
          <w:p w14:paraId="1DF2C5BA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65,2</w:t>
            </w:r>
          </w:p>
        </w:tc>
        <w:tc>
          <w:tcPr>
            <w:tcW w:w="1980" w:type="dxa"/>
          </w:tcPr>
          <w:p w14:paraId="059834FC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</w:t>
            </w:r>
          </w:p>
        </w:tc>
      </w:tr>
      <w:tr w:rsidR="00AE7DD6" w14:paraId="4788D032" w14:textId="77777777">
        <w:trPr>
          <w:jc w:val="center"/>
        </w:trPr>
        <w:tc>
          <w:tcPr>
            <w:tcW w:w="1275" w:type="dxa"/>
          </w:tcPr>
          <w:p w14:paraId="08033197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LE/Rn</w:t>
            </w:r>
          </w:p>
        </w:tc>
        <w:tc>
          <w:tcPr>
            <w:tcW w:w="1830" w:type="dxa"/>
          </w:tcPr>
          <w:p w14:paraId="7D921DA8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  <w:tc>
          <w:tcPr>
            <w:tcW w:w="1710" w:type="dxa"/>
          </w:tcPr>
          <w:p w14:paraId="6988B1E3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  <w:tc>
          <w:tcPr>
            <w:tcW w:w="1980" w:type="dxa"/>
          </w:tcPr>
          <w:p w14:paraId="3C1D350C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43,1</w:t>
            </w:r>
          </w:p>
        </w:tc>
      </w:tr>
      <w:tr w:rsidR="00AE7DD6" w14:paraId="65EB36F1" w14:textId="77777777">
        <w:trPr>
          <w:jc w:val="center"/>
        </w:trPr>
        <w:tc>
          <w:tcPr>
            <w:tcW w:w="1275" w:type="dxa"/>
          </w:tcPr>
          <w:p w14:paraId="66A7E8E6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G/Rn</w:t>
            </w:r>
          </w:p>
        </w:tc>
        <w:tc>
          <w:tcPr>
            <w:tcW w:w="1830" w:type="dxa"/>
          </w:tcPr>
          <w:p w14:paraId="529EBE7B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0,42</w:t>
            </w:r>
          </w:p>
        </w:tc>
        <w:tc>
          <w:tcPr>
            <w:tcW w:w="1710" w:type="dxa"/>
          </w:tcPr>
          <w:p w14:paraId="2EFE6959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980" w:type="dxa"/>
          </w:tcPr>
          <w:p w14:paraId="711C4E0D" w14:textId="77777777" w:rsidR="00AE7DD6" w:rsidRDefault="00A03286">
            <w:pPr>
              <w:widowControl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-0,14</w:t>
            </w:r>
          </w:p>
        </w:tc>
      </w:tr>
    </w:tbl>
    <w:p w14:paraId="0BA79CE3" w14:textId="77777777" w:rsidR="00AE7DD6" w:rsidRDefault="00A03286">
      <w:pPr>
        <w:widowControl/>
        <w:spacing w:line="360" w:lineRule="auto"/>
        <w:ind w:firstLine="709"/>
        <w:rPr>
          <w:sz w:val="20"/>
          <w:szCs w:val="20"/>
        </w:rPr>
      </w:pPr>
      <w:r>
        <w:rPr>
          <w:sz w:val="24"/>
          <w:szCs w:val="24"/>
        </w:rPr>
        <w:t xml:space="preserve">     </w:t>
      </w:r>
      <w:r>
        <w:rPr>
          <w:sz w:val="20"/>
          <w:szCs w:val="20"/>
        </w:rPr>
        <w:t xml:space="preserve">   Fonte: Próprio autor</w:t>
      </w:r>
    </w:p>
    <w:p w14:paraId="383A6211" w14:textId="77777777" w:rsidR="00AE7DD6" w:rsidRDefault="00AE7DD6">
      <w:pPr>
        <w:widowControl/>
        <w:spacing w:line="360" w:lineRule="auto"/>
        <w:ind w:firstLine="709"/>
        <w:rPr>
          <w:b/>
          <w:bCs/>
          <w:sz w:val="20"/>
          <w:szCs w:val="20"/>
        </w:rPr>
      </w:pPr>
    </w:p>
    <w:p w14:paraId="32D10975" w14:textId="77777777" w:rsidR="00AE7DD6" w:rsidRDefault="00A03286">
      <w:pP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regime de precipitação na região da flona de Açu  apresenta uma sazonalidade marcante. O total anual de precipitação é de 876,0 mm, distribuídos em 81 dias chuvosos. Durante a estação chuvosa, ocorre a maior concentração de pluviosidade, totalizando 693,</w:t>
      </w:r>
      <w:r>
        <w:rPr>
          <w:sz w:val="24"/>
          <w:szCs w:val="24"/>
        </w:rPr>
        <w:t>0 mm em 55 dias. Em contraste, a estação seca registra apenas 66,7 mm de chuva em 10 dias, evidenciando um período de forte restrição hídrica.</w:t>
      </w:r>
    </w:p>
    <w:p w14:paraId="18649AD5" w14:textId="77777777" w:rsidR="00AE7DD6" w:rsidRDefault="00A03286">
      <w:pPr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Radiação Global (Rg) é significativamente maior na estação seca (498,4 Wm⁻²) do que na chuvosa (302,8 W m⁻²), o</w:t>
      </w:r>
      <w:r>
        <w:rPr>
          <w:sz w:val="24"/>
          <w:szCs w:val="24"/>
        </w:rPr>
        <w:t xml:space="preserve"> que reflete a menor nebulosidade no período de estiagem. Embora a temperatura do ar (Tar) permaneça relativamente estável ao longo do ano (média de 28,2 ºC), a temperatura do solo (Tsolo) sofre variações consideráveis, atingindo 34,6 ºC na seca, comparado</w:t>
      </w:r>
      <w:r>
        <w:rPr>
          <w:sz w:val="24"/>
          <w:szCs w:val="24"/>
        </w:rPr>
        <w:t xml:space="preserve"> a 28,4 ºC na estação chuvosa. Além disso, o Déficit de Pressão de Vapor (VPD), que indica a demanda evaporativa da atmosfera, é quase o dobro na seca (1,70 kPa) em relação à chuvosa (0,95 kPa).</w:t>
      </w:r>
    </w:p>
    <w:p w14:paraId="6694A23C" w14:textId="77777777" w:rsidR="00AE7DD6" w:rsidRDefault="00AE7D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sz w:val="24"/>
          <w:szCs w:val="24"/>
        </w:rPr>
      </w:pPr>
    </w:p>
    <w:p w14:paraId="6F20D539" w14:textId="77777777" w:rsidR="00AE7DD6" w:rsidRDefault="00A032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Conclusão </w:t>
      </w:r>
    </w:p>
    <w:p w14:paraId="59A0EE75" w14:textId="77777777" w:rsidR="00AE7DD6" w:rsidRDefault="00A0328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Com base na análise do balanço de energia e da ev</w:t>
      </w:r>
      <w:r>
        <w:rPr>
          <w:sz w:val="24"/>
          <w:szCs w:val="24"/>
        </w:rPr>
        <w:t xml:space="preserve">apotranspiração nas condições climáticas da Flona de Açu, é possível identificar que o saldo de radiação disponível é muito influenciado pela época do ano e pela quantidade de água disponível. Durante o período chuvoso, a energia é usada principalmente na </w:t>
      </w:r>
      <w:r>
        <w:rPr>
          <w:sz w:val="24"/>
          <w:szCs w:val="24"/>
        </w:rPr>
        <w:t>evaporação da água, aumentando a evapotranspiração, o que mostra como a Caatinga responde rapidamente ao conteúdo de água presente no solo. Durante a seca, a ausência de água faz com que o ecossistema use a maior parte da energia para aumentar a temperatur</w:t>
      </w:r>
      <w:r>
        <w:rPr>
          <w:sz w:val="24"/>
          <w:szCs w:val="24"/>
        </w:rPr>
        <w:t>a do ar, reduzindo a evapotranspiração ao mínimo necessário para a sobrevivência.</w:t>
      </w:r>
    </w:p>
    <w:p w14:paraId="0DE8D6FF" w14:textId="77777777" w:rsidR="00AE7DD6" w:rsidRDefault="00A0328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Esses resultados mostram que os fluxos de energia na Flona de Açu são muito </w:t>
      </w:r>
      <w:r>
        <w:rPr>
          <w:sz w:val="24"/>
          <w:szCs w:val="24"/>
        </w:rPr>
        <w:lastRenderedPageBreak/>
        <w:t>importantes na regulação das funções do ecossistema local. Entender como isso funciona durante o a</w:t>
      </w:r>
      <w:r>
        <w:rPr>
          <w:sz w:val="24"/>
          <w:szCs w:val="24"/>
        </w:rPr>
        <w:t>no e como a evapotranspiração se comporta é fundamental na criação de estratégias conservatórias para o meio ambiente, prever como as mudanças climáticas globais afetam florestas sazonalmente secas e melhoram a gestão da água no semiárido brasileiro.</w:t>
      </w:r>
    </w:p>
    <w:p w14:paraId="388CBBF8" w14:textId="77777777" w:rsidR="00AE7DD6" w:rsidRDefault="00AE7DD6">
      <w:pPr>
        <w:rPr>
          <w:sz w:val="24"/>
          <w:szCs w:val="24"/>
        </w:rPr>
      </w:pPr>
    </w:p>
    <w:p w14:paraId="0A13EFF0" w14:textId="77777777" w:rsidR="00AE7DD6" w:rsidRDefault="00AE7D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</w:rPr>
      </w:pPr>
    </w:p>
    <w:p w14:paraId="39E891AB" w14:textId="77777777" w:rsidR="00AE7DD6" w:rsidRDefault="00A0328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b/>
          <w:bCs/>
          <w:color w:val="000000"/>
          <w:sz w:val="28"/>
          <w:szCs w:val="28"/>
        </w:rPr>
        <w:t>Ref</w:t>
      </w:r>
      <w:r>
        <w:rPr>
          <w:b/>
          <w:bCs/>
          <w:color w:val="000000"/>
          <w:sz w:val="28"/>
          <w:szCs w:val="28"/>
        </w:rPr>
        <w:t>erências</w:t>
      </w:r>
    </w:p>
    <w:p w14:paraId="2A2931E7" w14:textId="77777777" w:rsidR="00AE7DD6" w:rsidRPr="00691ED9" w:rsidRDefault="00A03286">
      <w:pPr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BALDOCCHI, D. D. et al. </w:t>
      </w:r>
      <w:r w:rsidRPr="00691ED9">
        <w:rPr>
          <w:sz w:val="24"/>
          <w:szCs w:val="24"/>
          <w:lang w:val="en-US"/>
        </w:rPr>
        <w:t>How plant functional-type, seasonal drought, and soil physical properties alter water and energy balance of an oak-grass savanna and a annual grassland. Agricultural and Forest Meteorology, v.123, p.13-39, 2004.</w:t>
      </w:r>
    </w:p>
    <w:p w14:paraId="096C2A29" w14:textId="77777777" w:rsidR="00AE7DD6" w:rsidRPr="00691ED9" w:rsidRDefault="00AE7DD6">
      <w:pPr>
        <w:rPr>
          <w:sz w:val="24"/>
          <w:szCs w:val="24"/>
          <w:lang w:val="en-US"/>
        </w:rPr>
      </w:pPr>
    </w:p>
    <w:p w14:paraId="159A2610" w14:textId="77777777" w:rsidR="00AE7DD6" w:rsidRPr="00691ED9" w:rsidRDefault="00A03286">
      <w:pPr>
        <w:rPr>
          <w:sz w:val="24"/>
          <w:szCs w:val="24"/>
          <w:lang w:val="en-US"/>
        </w:rPr>
      </w:pPr>
      <w:r w:rsidRPr="00691ED9">
        <w:rPr>
          <w:sz w:val="24"/>
          <w:szCs w:val="24"/>
          <w:lang w:val="en-US"/>
        </w:rPr>
        <w:t xml:space="preserve">BEZERRA, Bergson Guedes et al. </w:t>
      </w:r>
      <w:r>
        <w:rPr>
          <w:sz w:val="24"/>
          <w:szCs w:val="24"/>
        </w:rPr>
        <w:t xml:space="preserve">Surface energy exchange and evapotranspiration from cotton crop under full irrigation conditions in the Rio Grande do Norte State, Brazilian Semi-Arid. </w:t>
      </w:r>
      <w:r w:rsidRPr="00691ED9">
        <w:rPr>
          <w:sz w:val="24"/>
          <w:szCs w:val="24"/>
          <w:lang w:val="en-US"/>
        </w:rPr>
        <w:t>Bragantia, v. 74, p. 120-128, 2015.</w:t>
      </w:r>
    </w:p>
    <w:p w14:paraId="55B2EC02" w14:textId="77777777" w:rsidR="00AE7DD6" w:rsidRPr="00691ED9" w:rsidRDefault="00AE7DD6">
      <w:pPr>
        <w:rPr>
          <w:sz w:val="24"/>
          <w:szCs w:val="24"/>
          <w:lang w:val="en-US"/>
        </w:rPr>
      </w:pPr>
    </w:p>
    <w:p w14:paraId="4C14EB68" w14:textId="77777777" w:rsidR="00AE7DD6" w:rsidRPr="00691ED9" w:rsidRDefault="00A03286">
      <w:pPr>
        <w:rPr>
          <w:sz w:val="24"/>
          <w:szCs w:val="24"/>
          <w:lang w:val="en-US"/>
        </w:rPr>
      </w:pPr>
      <w:r w:rsidRPr="00691ED9">
        <w:rPr>
          <w:sz w:val="24"/>
          <w:szCs w:val="24"/>
          <w:lang w:val="en-US"/>
        </w:rPr>
        <w:t>CAMPOS, S. et al., 2019. Closure and</w:t>
      </w:r>
      <w:r w:rsidRPr="00691ED9">
        <w:rPr>
          <w:sz w:val="24"/>
          <w:szCs w:val="24"/>
          <w:lang w:val="en-US"/>
        </w:rPr>
        <w:t xml:space="preserve"> partitioning of the energy balance in a preserved area of a Brazilian seasonally dry tropical forest. Agricultural and Forest Meteorology, v.471, p.398–412, 2019.</w:t>
      </w:r>
    </w:p>
    <w:p w14:paraId="5997D716" w14:textId="77777777" w:rsidR="00AE7DD6" w:rsidRPr="00691ED9" w:rsidRDefault="00AE7DD6">
      <w:pPr>
        <w:rPr>
          <w:rFonts w:ascii="Arial" w:eastAsia="Arial" w:hAnsi="Arial" w:cs="Arial"/>
          <w:sz w:val="24"/>
          <w:szCs w:val="24"/>
          <w:lang w:val="en-US"/>
        </w:rPr>
      </w:pPr>
    </w:p>
    <w:p w14:paraId="31234CD2" w14:textId="77777777" w:rsidR="00AE7DD6" w:rsidRPr="00691ED9" w:rsidRDefault="00A03286">
      <w:pPr>
        <w:rPr>
          <w:sz w:val="24"/>
          <w:szCs w:val="24"/>
          <w:shd w:val="clear" w:color="auto" w:fill="F9FBFD"/>
          <w:lang w:val="en-US"/>
        </w:rPr>
      </w:pPr>
      <w:r w:rsidRPr="00691ED9">
        <w:rPr>
          <w:sz w:val="24"/>
          <w:szCs w:val="24"/>
          <w:shd w:val="clear" w:color="auto" w:fill="F9FBFD"/>
          <w:lang w:val="en-US"/>
        </w:rPr>
        <w:t xml:space="preserve">CHEN, J. et al. </w:t>
      </w:r>
      <w:r>
        <w:rPr>
          <w:sz w:val="24"/>
          <w:szCs w:val="24"/>
          <w:shd w:val="clear" w:color="auto" w:fill="F9FBFD"/>
        </w:rPr>
        <w:t xml:space="preserve">Energy balance and partitioning over grasslands on the Mongolian Plateau. </w:t>
      </w:r>
      <w:r w:rsidRPr="00691ED9">
        <w:rPr>
          <w:sz w:val="24"/>
          <w:szCs w:val="24"/>
          <w:shd w:val="clear" w:color="auto" w:fill="F9FBFD"/>
          <w:lang w:val="en-US"/>
        </w:rPr>
        <w:t>Ecological Indicators, v. 135, n. 108560, 2022.</w:t>
      </w:r>
    </w:p>
    <w:p w14:paraId="3246E85C" w14:textId="77777777" w:rsidR="00AE7DD6" w:rsidRPr="00691ED9" w:rsidRDefault="00AE7DD6">
      <w:pPr>
        <w:rPr>
          <w:sz w:val="24"/>
          <w:szCs w:val="24"/>
          <w:shd w:val="clear" w:color="auto" w:fill="F9FBFD"/>
          <w:lang w:val="en-US"/>
        </w:rPr>
      </w:pPr>
    </w:p>
    <w:p w14:paraId="654CE39E" w14:textId="77777777" w:rsidR="00AE7DD6" w:rsidRPr="00691ED9" w:rsidRDefault="00A03286">
      <w:pPr>
        <w:rPr>
          <w:sz w:val="24"/>
          <w:szCs w:val="24"/>
          <w:lang w:val="en-US"/>
        </w:rPr>
      </w:pPr>
      <w:r w:rsidRPr="00691ED9">
        <w:rPr>
          <w:sz w:val="24"/>
          <w:szCs w:val="24"/>
          <w:shd w:val="clear" w:color="auto" w:fill="F9FBFD"/>
          <w:lang w:val="en-US"/>
        </w:rPr>
        <w:t>DARE-IDOWU, O. et al. Surface energy balance and flux partitioning of annual crops in southwestern France. Agricultur</w:t>
      </w:r>
      <w:r w:rsidRPr="00691ED9">
        <w:rPr>
          <w:sz w:val="24"/>
          <w:szCs w:val="24"/>
          <w:shd w:val="clear" w:color="auto" w:fill="F9FBFD"/>
          <w:lang w:val="en-US"/>
        </w:rPr>
        <w:t>al and Forest Meteorology, v. 308, n. 108529, 2021</w:t>
      </w:r>
    </w:p>
    <w:p w14:paraId="51C50834" w14:textId="77777777" w:rsidR="00AE7DD6" w:rsidRPr="00691ED9" w:rsidRDefault="00AE7DD6">
      <w:pPr>
        <w:rPr>
          <w:rFonts w:ascii="Verdana" w:eastAsia="Verdana" w:hAnsi="Verdana" w:cs="Verdana"/>
          <w:sz w:val="24"/>
          <w:szCs w:val="24"/>
          <w:shd w:val="clear" w:color="auto" w:fill="F9FBFD"/>
          <w:lang w:val="en-US"/>
        </w:rPr>
      </w:pPr>
    </w:p>
    <w:p w14:paraId="0ED88AA3" w14:textId="77777777" w:rsidR="00AE7DD6" w:rsidRPr="00691ED9" w:rsidRDefault="00A03286">
      <w:pPr>
        <w:rPr>
          <w:sz w:val="24"/>
          <w:szCs w:val="24"/>
          <w:lang w:val="en-US"/>
        </w:rPr>
      </w:pPr>
      <w:r w:rsidRPr="00691ED9">
        <w:rPr>
          <w:sz w:val="24"/>
          <w:szCs w:val="24"/>
          <w:lang w:val="en-US"/>
        </w:rPr>
        <w:t xml:space="preserve">FENG, Y. et al. </w:t>
      </w:r>
      <w:r>
        <w:rPr>
          <w:sz w:val="24"/>
          <w:szCs w:val="24"/>
        </w:rPr>
        <w:t xml:space="preserve">Energy balance and partitioning in partial plastic mulched and non-mulched maize fields on the Loess Plateau of China. </w:t>
      </w:r>
      <w:r w:rsidRPr="00691ED9">
        <w:rPr>
          <w:sz w:val="24"/>
          <w:szCs w:val="24"/>
          <w:lang w:val="en-US"/>
        </w:rPr>
        <w:t>Agricultural Water Management, v. 191, p. 193-206, 2017.</w:t>
      </w:r>
    </w:p>
    <w:p w14:paraId="244B373B" w14:textId="77777777" w:rsidR="00AE7DD6" w:rsidRPr="00691ED9" w:rsidRDefault="00AE7DD6">
      <w:pPr>
        <w:rPr>
          <w:sz w:val="24"/>
          <w:szCs w:val="24"/>
          <w:lang w:val="en-US"/>
        </w:rPr>
      </w:pPr>
    </w:p>
    <w:p w14:paraId="749285C2" w14:textId="77777777" w:rsidR="00AE7DD6" w:rsidRPr="00691ED9" w:rsidRDefault="00A03286">
      <w:pPr>
        <w:rPr>
          <w:sz w:val="24"/>
          <w:szCs w:val="24"/>
          <w:lang w:val="en-US"/>
        </w:rPr>
      </w:pPr>
      <w:r w:rsidRPr="00691ED9">
        <w:rPr>
          <w:sz w:val="24"/>
          <w:szCs w:val="24"/>
          <w:shd w:val="clear" w:color="auto" w:fill="F9FBFD"/>
          <w:lang w:val="en-US"/>
        </w:rPr>
        <w:t>FRANK, J. M</w:t>
      </w:r>
      <w:r w:rsidRPr="00691ED9">
        <w:rPr>
          <w:sz w:val="24"/>
          <w:szCs w:val="24"/>
          <w:shd w:val="clear" w:color="auto" w:fill="F9FBFD"/>
          <w:lang w:val="en-US"/>
        </w:rPr>
        <w:t>.; MASSMAN, W. J. A study of the role of seven historically significant fast-response hygrometers and sensor calibration on eddy covariance H2O fluxes and surface energy balance closure. Agricultural and Forest Meteorology, v. 334, n. 109437, 2023.</w:t>
      </w:r>
    </w:p>
    <w:p w14:paraId="34224D93" w14:textId="77777777" w:rsidR="00AE7DD6" w:rsidRPr="00691ED9" w:rsidRDefault="00AE7DD6">
      <w:pPr>
        <w:rPr>
          <w:sz w:val="24"/>
          <w:szCs w:val="24"/>
          <w:lang w:val="en-US"/>
        </w:rPr>
      </w:pPr>
    </w:p>
    <w:p w14:paraId="2306E209" w14:textId="77777777" w:rsidR="00AE7DD6" w:rsidRPr="00691ED9" w:rsidRDefault="00A03286">
      <w:pPr>
        <w:rPr>
          <w:sz w:val="24"/>
          <w:szCs w:val="24"/>
          <w:lang w:val="en-US"/>
        </w:rPr>
      </w:pPr>
      <w:r w:rsidRPr="00691ED9">
        <w:rPr>
          <w:sz w:val="24"/>
          <w:szCs w:val="24"/>
          <w:lang w:val="en-US"/>
        </w:rPr>
        <w:t>HAO, Y</w:t>
      </w:r>
      <w:r w:rsidRPr="00691ED9">
        <w:rPr>
          <w:sz w:val="24"/>
          <w:szCs w:val="24"/>
          <w:lang w:val="en-US"/>
        </w:rPr>
        <w:t xml:space="preserve">. et al. </w:t>
      </w:r>
      <w:r>
        <w:rPr>
          <w:sz w:val="24"/>
          <w:szCs w:val="24"/>
        </w:rPr>
        <w:t xml:space="preserve">Seasonal and interannual variation in water vapor and energy exchange over a typical steppe in Inner Mongolia, China. </w:t>
      </w:r>
      <w:r w:rsidRPr="00691ED9">
        <w:rPr>
          <w:sz w:val="24"/>
          <w:szCs w:val="24"/>
          <w:lang w:val="en-US"/>
        </w:rPr>
        <w:t>Agricultural and Forest Meteorology, v.146, p.57–69, 2007.</w:t>
      </w:r>
    </w:p>
    <w:p w14:paraId="5A1A40BE" w14:textId="77777777" w:rsidR="00AE7DD6" w:rsidRPr="00691ED9" w:rsidRDefault="00AE7DD6">
      <w:pPr>
        <w:rPr>
          <w:sz w:val="24"/>
          <w:szCs w:val="24"/>
          <w:lang w:val="en-US"/>
        </w:rPr>
      </w:pPr>
    </w:p>
    <w:p w14:paraId="3C32B22F" w14:textId="77777777" w:rsidR="00AE7DD6" w:rsidRPr="00691ED9" w:rsidRDefault="00A03286">
      <w:pPr>
        <w:rPr>
          <w:sz w:val="24"/>
          <w:szCs w:val="24"/>
          <w:lang w:val="en-US"/>
        </w:rPr>
      </w:pPr>
      <w:r w:rsidRPr="00691ED9">
        <w:rPr>
          <w:sz w:val="24"/>
          <w:szCs w:val="24"/>
          <w:lang w:val="en-US"/>
        </w:rPr>
        <w:t xml:space="preserve">MENDES, Keila R. et al. </w:t>
      </w:r>
      <w:r>
        <w:rPr>
          <w:sz w:val="24"/>
          <w:szCs w:val="24"/>
        </w:rPr>
        <w:t>Seasonal variation in net ecosystem CO2 excha</w:t>
      </w:r>
      <w:r>
        <w:rPr>
          <w:sz w:val="24"/>
          <w:szCs w:val="24"/>
        </w:rPr>
        <w:t xml:space="preserve">nge of a Brazilian seasonally dry tropical forest. </w:t>
      </w:r>
      <w:r w:rsidRPr="00691ED9">
        <w:rPr>
          <w:sz w:val="24"/>
          <w:szCs w:val="24"/>
          <w:lang w:val="en-US"/>
        </w:rPr>
        <w:t>Scientific Reports, v. 10, n. 1, p. 9454, 2020.</w:t>
      </w:r>
    </w:p>
    <w:p w14:paraId="7FEA83E5" w14:textId="77777777" w:rsidR="00AE7DD6" w:rsidRPr="00691ED9" w:rsidRDefault="00AE7DD6">
      <w:pPr>
        <w:rPr>
          <w:sz w:val="24"/>
          <w:szCs w:val="24"/>
          <w:lang w:val="en-US"/>
        </w:rPr>
      </w:pPr>
    </w:p>
    <w:p w14:paraId="62D2EBB0" w14:textId="77777777" w:rsidR="00AE7DD6" w:rsidRPr="00691ED9" w:rsidRDefault="00A03286">
      <w:pPr>
        <w:rPr>
          <w:sz w:val="24"/>
          <w:szCs w:val="24"/>
          <w:shd w:val="clear" w:color="auto" w:fill="F9FBFD"/>
          <w:lang w:val="en-US"/>
        </w:rPr>
      </w:pPr>
      <w:r w:rsidRPr="00691ED9">
        <w:rPr>
          <w:sz w:val="24"/>
          <w:szCs w:val="24"/>
          <w:shd w:val="clear" w:color="auto" w:fill="F9FBFD"/>
          <w:lang w:val="en-US"/>
        </w:rPr>
        <w:t xml:space="preserve">SILVA, I. W.H. et al. </w:t>
      </w:r>
      <w:r>
        <w:rPr>
          <w:sz w:val="24"/>
          <w:szCs w:val="24"/>
          <w:shd w:val="clear" w:color="auto" w:fill="F9FBFD"/>
        </w:rPr>
        <w:t xml:space="preserve">Meteorological and biophysical controls of evapotranspiration in tropical grazed pasture under rainfed conditions. </w:t>
      </w:r>
      <w:r w:rsidRPr="00691ED9">
        <w:rPr>
          <w:sz w:val="24"/>
          <w:szCs w:val="24"/>
          <w:shd w:val="clear" w:color="auto" w:fill="F9FBFD"/>
          <w:lang w:val="en-US"/>
        </w:rPr>
        <w:t xml:space="preserve">Agricultural Water </w:t>
      </w:r>
      <w:r w:rsidRPr="00691ED9">
        <w:rPr>
          <w:sz w:val="24"/>
          <w:szCs w:val="24"/>
          <w:shd w:val="clear" w:color="auto" w:fill="F9FBFD"/>
          <w:lang w:val="en-US"/>
        </w:rPr>
        <w:t>Management, 2024, 299: 108884.</w:t>
      </w:r>
    </w:p>
    <w:p w14:paraId="50A8B6BF" w14:textId="77777777" w:rsidR="00AE7DD6" w:rsidRPr="00691ED9" w:rsidRDefault="00AE7DD6">
      <w:pPr>
        <w:rPr>
          <w:sz w:val="24"/>
          <w:szCs w:val="24"/>
          <w:shd w:val="clear" w:color="auto" w:fill="F9FBFD"/>
          <w:lang w:val="en-US"/>
        </w:rPr>
      </w:pPr>
    </w:p>
    <w:p w14:paraId="7377A83B" w14:textId="77777777" w:rsidR="00AE7DD6" w:rsidRDefault="00A03286">
      <w:pPr>
        <w:rPr>
          <w:sz w:val="24"/>
          <w:szCs w:val="24"/>
          <w:shd w:val="clear" w:color="auto" w:fill="F9FBFD"/>
        </w:rPr>
      </w:pPr>
      <w:r w:rsidRPr="00691ED9">
        <w:rPr>
          <w:sz w:val="24"/>
          <w:szCs w:val="24"/>
          <w:lang w:val="en-US"/>
        </w:rPr>
        <w:t xml:space="preserve">VANOMARK, G. M. M. S. et al. </w:t>
      </w:r>
      <w:r>
        <w:rPr>
          <w:sz w:val="24"/>
          <w:szCs w:val="24"/>
        </w:rPr>
        <w:t>Energy balance partitioning and evapotranspiration from irrigated Muskmelon under Semi-Arid Conditions. Bragantia, v. 77, p. 168-180, 2018.</w:t>
      </w:r>
    </w:p>
    <w:p w14:paraId="507DE062" w14:textId="77777777" w:rsidR="00AE7DD6" w:rsidRDefault="00AE7DD6"/>
    <w:p w14:paraId="081600AC" w14:textId="77777777" w:rsidR="00AE7DD6" w:rsidRDefault="00AE7DD6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</w:p>
    <w:p w14:paraId="4F247DA2" w14:textId="77777777" w:rsidR="00AE7DD6" w:rsidRDefault="00AE7DD6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</w:p>
    <w:p w14:paraId="45F47DB4" w14:textId="77777777" w:rsidR="00AE7DD6" w:rsidRDefault="00AE7DD6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</w:p>
    <w:p w14:paraId="4F8731AA" w14:textId="77777777" w:rsidR="00AE7DD6" w:rsidRDefault="00AE7DD6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</w:p>
    <w:p w14:paraId="10892758" w14:textId="77777777" w:rsidR="00AE7DD6" w:rsidRDefault="00AE7DD6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</w:p>
    <w:p w14:paraId="78B7139D" w14:textId="77777777" w:rsidR="00AE7DD6" w:rsidRDefault="00AE7DD6">
      <w:pPr>
        <w:pBdr>
          <w:top w:val="nil"/>
          <w:left w:val="nil"/>
          <w:bottom w:val="nil"/>
          <w:right w:val="nil"/>
          <w:between w:val="nil"/>
        </w:pBdr>
        <w:ind w:right="3991"/>
        <w:rPr>
          <w:color w:val="000000"/>
          <w:sz w:val="20"/>
          <w:szCs w:val="20"/>
        </w:rPr>
      </w:pPr>
    </w:p>
    <w:sectPr w:rsidR="00AE7DD6">
      <w:headerReference w:type="default" r:id="rId7"/>
      <w:footerReference w:type="default" r:id="rId8"/>
      <w:pgSz w:w="11910" w:h="16840"/>
      <w:pgMar w:top="1701" w:right="1134" w:bottom="1134" w:left="1701" w:header="0" w:footer="14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04AAD" w14:textId="77777777" w:rsidR="00A03286" w:rsidRDefault="00A03286">
      <w:r>
        <w:separator/>
      </w:r>
    </w:p>
  </w:endnote>
  <w:endnote w:type="continuationSeparator" w:id="0">
    <w:p w14:paraId="4CB8B4D7" w14:textId="77777777" w:rsidR="00A03286" w:rsidRDefault="00A03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66484A4-DB26-4622-88A1-003D94CBD62E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2" w:fontKey="{D0C69FB6-5034-44AB-99C9-31EBB35DEF8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4C60A6BC-EFF2-42C9-8AD9-3B10102B789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30810EC-EF1D-408C-8CBD-C1CE96062C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AE8CA56-03D3-475E-A0A2-E8D2124A68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2910A" w14:textId="77777777" w:rsidR="00AE7DD6" w:rsidRDefault="00AE7DD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88E66" w14:textId="77777777" w:rsidR="00A03286" w:rsidRDefault="00A03286">
      <w:r>
        <w:separator/>
      </w:r>
    </w:p>
  </w:footnote>
  <w:footnote w:type="continuationSeparator" w:id="0">
    <w:p w14:paraId="1A9FB57E" w14:textId="77777777" w:rsidR="00A03286" w:rsidRDefault="00A03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461E1" w14:textId="77777777" w:rsidR="00AE7DD6" w:rsidRDefault="00A0328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sz w:val="24"/>
        <w:szCs w:val="24"/>
      </w:rPr>
      <w:drawing>
        <wp:anchor distT="0" distB="0" distL="0" distR="0" simplePos="0" relativeHeight="251658240" behindDoc="0" locked="0" layoutInCell="1" hidden="0" allowOverlap="1" wp14:anchorId="76621C38" wp14:editId="2CE18695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7072" cy="1060530"/>
          <wp:effectExtent l="0" t="0" r="0" b="0"/>
          <wp:wrapNone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</w:rPr>
      <w:drawing>
        <wp:inline distT="0" distB="0" distL="0" distR="0" wp14:anchorId="62F4CDE1" wp14:editId="648B2314">
          <wp:extent cx="5753100" cy="996950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996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DD6"/>
    <w:rsid w:val="00691ED9"/>
    <w:rsid w:val="00A03286"/>
    <w:rsid w:val="00AE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C6154"/>
  <w15:docId w15:val="{D621341C-5D2B-4BA2-B7EC-DBC87EB8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jGw01d9ZQnWdo44XmJSy6qwh9g==">CgMxLjAyD2lkLm5rNnhmbjE4bzliYjgAciExNkdxYS1sTUJrcUhmMnI3V2FZeWhzU0ZMRHRfX3ZadWk=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1802</Words>
  <Characters>9735</Characters>
  <Application>Microsoft Office Word</Application>
  <DocSecurity>0</DocSecurity>
  <Lines>81</Lines>
  <Paragraphs>23</Paragraphs>
  <ScaleCrop>false</ScaleCrop>
  <Company/>
  <LinksUpToDate>false</LinksUpToDate>
  <CharactersWithSpaces>11514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LaPlace</dc:creator>
  <cp:lastModifiedBy>LaPlace</cp:lastModifiedBy>
  <cp:revision>2</cp:revision>
  <dcterms:created xsi:type="dcterms:W3CDTF">2026-07-02T14:16:00Z</dcterms:created>
  <dcterms:modified xsi:type="dcterms:W3CDTF">2026-07-02T14:16:00Z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