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48D5" w14:textId="77777777" w:rsidR="00DD3BCC" w:rsidRPr="00230FDC" w:rsidRDefault="00671177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360" w:lineRule="auto"/>
        <w:ind w:left="1" w:hanging="3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230FDC">
        <w:rPr>
          <w:rFonts w:ascii="Times New Roman" w:eastAsia="Times New Roman" w:hAnsi="Times New Roman" w:cs="Times New Roman"/>
          <w:color w:val="C0C0C0"/>
          <w:sz w:val="28"/>
          <w:szCs w:val="28"/>
        </w:rPr>
        <w:t>Relato</w:t>
      </w:r>
      <w:proofErr w:type="spellEnd"/>
      <w:r w:rsidRPr="00230FDC">
        <w:rPr>
          <w:rFonts w:ascii="Times New Roman" w:eastAsia="Times New Roman" w:hAnsi="Times New Roman" w:cs="Times New Roman"/>
          <w:color w:val="C0C0C0"/>
          <w:sz w:val="28"/>
          <w:szCs w:val="28"/>
        </w:rPr>
        <w:t xml:space="preserve"> de </w:t>
      </w:r>
      <w:proofErr w:type="spellStart"/>
      <w:r w:rsidRPr="00230FDC">
        <w:rPr>
          <w:rFonts w:ascii="Times New Roman" w:eastAsia="Times New Roman" w:hAnsi="Times New Roman" w:cs="Times New Roman"/>
          <w:color w:val="C0C0C0"/>
          <w:sz w:val="28"/>
          <w:szCs w:val="28"/>
        </w:rPr>
        <w:t>Experiência</w:t>
      </w:r>
      <w:proofErr w:type="spellEnd"/>
      <w:r w:rsidRPr="00230FDC">
        <w:rPr>
          <w:rFonts w:ascii="Times New Roman" w:eastAsia="Times New Roman" w:hAnsi="Times New Roman" w:cs="Times New Roman"/>
          <w:color w:val="C0C0C0"/>
          <w:sz w:val="28"/>
          <w:szCs w:val="28"/>
        </w:rPr>
        <w:t xml:space="preserve"> </w:t>
      </w:r>
    </w:p>
    <w:p w14:paraId="538404BF" w14:textId="05C6074C" w:rsidR="00DD3BCC" w:rsidRPr="00230FDC" w:rsidRDefault="00671177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230FDC">
        <w:rPr>
          <w:rFonts w:ascii="Times New Roman" w:eastAsia="Times New Roman" w:hAnsi="Times New Roman" w:cs="Times New Roman"/>
          <w:sz w:val="28"/>
          <w:szCs w:val="28"/>
        </w:rPr>
        <w:t>OFICINA: CONSTRUÇÃO E EXPLORAÇÃO DOS POLIEDROS</w:t>
      </w:r>
    </w:p>
    <w:p w14:paraId="0AB6E669" w14:textId="77777777" w:rsidR="00DD3BCC" w:rsidRDefault="00DD3BCC">
      <w:pPr>
        <w:spacing w:line="276" w:lineRule="auto"/>
        <w:ind w:left="1" w:hanging="3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20783" w14:textId="77777777" w:rsidR="00DD3BCC" w:rsidRDefault="00671177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Sthefany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Corso Mikulski (mikulski.sthefany@uft.edu.br)</w:t>
      </w:r>
    </w:p>
    <w:p w14:paraId="39D6FD5D" w14:textId="77777777" w:rsidR="00DD3BCC" w:rsidRDefault="00671177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Acadêmico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Licenciatura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Matemática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UFNT - TO</w:t>
      </w:r>
    </w:p>
    <w:p w14:paraId="07C2AB49" w14:textId="77777777" w:rsidR="00DD3BCC" w:rsidRDefault="00671177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Wellington Dos Santos Gomes (wellington.gomes@uft.edu.br)</w:t>
      </w:r>
    </w:p>
    <w:p w14:paraId="5231C278" w14:textId="77777777" w:rsidR="00DD3BCC" w:rsidRDefault="00671177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Acadêmico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Licenciatura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Matemática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UFNT - TO</w:t>
      </w:r>
    </w:p>
    <w:p w14:paraId="59FE6336" w14:textId="77777777" w:rsidR="00DD3BCC" w:rsidRDefault="00DD3BCC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F3104DB" w14:textId="77777777" w:rsidR="00DD3BCC" w:rsidRDefault="00671177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Federal do Norte do Tocantins</w:t>
      </w:r>
    </w:p>
    <w:p w14:paraId="66941129" w14:textId="77777777" w:rsidR="00DD3BCC" w:rsidRDefault="00DD3BCC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63364C" w14:textId="77777777" w:rsidR="00DD3BCC" w:rsidRDefault="00671177">
      <w:pPr>
        <w:spacing w:line="276" w:lineRule="auto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E26EABC" w14:textId="77777777" w:rsidR="00DD3BCC" w:rsidRDefault="00DD3BCC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080211" w14:textId="77777777" w:rsidR="00DD3BCC" w:rsidRDefault="00DD3BCC">
      <w:pPr>
        <w:spacing w:after="0" w:line="36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C4422DD" w14:textId="77777777" w:rsidR="00DD3BCC" w:rsidRDefault="00DD3BCC">
      <w:pPr>
        <w:spacing w:after="0" w:line="36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CFA4637" w14:textId="77777777" w:rsidR="00DD3BCC" w:rsidRDefault="00DD3BCC" w:rsidP="00230FDC">
      <w:pPr>
        <w:spacing w:after="0" w:line="360" w:lineRule="auto"/>
        <w:ind w:leftChars="0"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</w:rPr>
        <w:sectPr w:rsidR="00DD3BCC">
          <w:headerReference w:type="default" r:id="rId8"/>
          <w:footerReference w:type="default" r:id="rId9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</w:p>
    <w:p w14:paraId="4D24E362" w14:textId="77777777" w:rsidR="00DD3BCC" w:rsidRDefault="00671177" w:rsidP="002976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ind w:leftChars="0" w:right="-193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Start w:id="2" w:name="bookmark=id.1fob9te" w:colFirst="0" w:colLast="0"/>
      <w:bookmarkEnd w:id="1"/>
      <w:bookmarkEnd w:id="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Apresentação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proofErr w:type="spellEnd"/>
    </w:p>
    <w:p w14:paraId="35D67727" w14:textId="6BA982EA" w:rsidR="00DD3BCC" w:rsidRPr="002976BD" w:rsidRDefault="00671177" w:rsidP="002976BD">
      <w:pPr>
        <w:spacing w:before="0" w:after="16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indivíduo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raciocinar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qual ser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conhecedor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aritmética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resolver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que,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dado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extrema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cilitação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 w:rsidR="002976BD"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r w:rsidR="002976BD" w:rsidRPr="002976BD">
        <w:rPr>
          <w:rFonts w:ascii="Times New Roman" w:eastAsia="Times New Roman" w:hAnsi="Times New Roman" w:cs="Times New Roman"/>
          <w:sz w:val="24"/>
          <w:szCs w:val="24"/>
        </w:rPr>
        <w:t xml:space="preserve">Almeida </w:t>
      </w:r>
      <w:r w:rsidR="002976BD">
        <w:rPr>
          <w:rFonts w:ascii="Times New Roman" w:eastAsia="Times New Roman" w:hAnsi="Times New Roman" w:cs="Times New Roman"/>
          <w:sz w:val="24"/>
          <w:szCs w:val="24"/>
        </w:rPr>
        <w:t>“o</w:t>
      </w:r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lúdico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apresenta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sempre um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exploração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é,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desmontar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participar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construir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engajar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-se 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sacrificar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, se a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encarada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espírito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lúdico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desafiador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e de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superação</w:t>
      </w:r>
      <w:proofErr w:type="spellEnd"/>
      <w:r w:rsidRPr="002976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976B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2976BD">
        <w:rPr>
          <w:rFonts w:ascii="Times New Roman" w:eastAsia="Times New Roman" w:hAnsi="Times New Roman" w:cs="Times New Roman"/>
          <w:sz w:val="24"/>
          <w:szCs w:val="24"/>
        </w:rPr>
        <w:t>mites</w:t>
      </w:r>
      <w:proofErr w:type="spellEnd"/>
      <w:r w:rsidR="002976B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97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A5EE81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tanto para o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z w:val="24"/>
          <w:szCs w:val="24"/>
        </w:rPr>
        <w:t>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"Por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Lorenzato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deles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simplesmente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agrupamento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ropriedades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fórmulas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desligados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quaisquer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histórica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intrinsecamente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exprimida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desconectado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cotidiano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</w:t>
      </w:r>
      <w:r>
        <w:rPr>
          <w:rFonts w:ascii="Times New Roman" w:eastAsia="Times New Roman" w:hAnsi="Times New Roman" w:cs="Times New Roman"/>
          <w:sz w:val="24"/>
          <w:szCs w:val="24"/>
        </w:rPr>
        <w:t>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palpáveis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BB4D0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Mediante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Sthefany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Corso Mikulski e Wellington Dos Santos Gomes, sob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professor Diego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Ancelmo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92.01 (9ºano)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Colégio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Silvandira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Sousa Lima. </w:t>
      </w:r>
    </w:p>
    <w:p w14:paraId="0B146369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geométrico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começarem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que, “a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científicos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(Filho, 2010, p.12).</w:t>
      </w:r>
    </w:p>
    <w:p w14:paraId="28367070" w14:textId="77777777" w:rsidR="00DD3BCC" w:rsidRDefault="00671177" w:rsidP="002976BD">
      <w:pPr>
        <w:spacing w:before="200" w:after="24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interesse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visto que,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escolhido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4427E" w14:textId="77777777" w:rsidR="00DD3BCC" w:rsidRDefault="00671177" w:rsidP="002976BD">
      <w:pPr>
        <w:spacing w:before="200" w:after="24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II,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auxílio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sunto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despertando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interesse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curiosidade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Dessa forma,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plausível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alegar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7B264" w14:textId="77777777" w:rsidR="00DD3BCC" w:rsidRDefault="00671177" w:rsidP="002976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ind w:left="-2" w:right="-193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proofErr w:type="spellEnd"/>
    </w:p>
    <w:p w14:paraId="58837F44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Possibilitando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adquiram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enfatizando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vértices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faces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geométrico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644D8" w14:textId="77777777" w:rsidR="00DD3BCC" w:rsidRDefault="00671177" w:rsidP="002976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ind w:left="-2" w:right="-193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proofErr w:type="spellEnd"/>
    </w:p>
    <w:p w14:paraId="367BF6F3" w14:textId="77777777" w:rsidR="00DD3BCC" w:rsidRDefault="00671177" w:rsidP="002976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construtivismo.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construtivista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educacional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valoriza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protagonista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próprio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Essa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enfatiza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ativa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estudantes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permitindo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construam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conheciment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reflexões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próprias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construtivismo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concebe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criança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juntamente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adulto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nosso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o professor.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então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criança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central. </w:t>
      </w:r>
    </w:p>
    <w:p w14:paraId="4CBD9202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7p0o7xrstlv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92.01 do Ensino Fundamental,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pequenos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13:50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14:40 (2º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F972661" w14:textId="77777777" w:rsidR="00DD3BCC" w:rsidRDefault="00671177" w:rsidP="002976BD">
      <w:pPr>
        <w:spacing w:before="20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hexaedro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quadrangular,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hexagonal,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triangular,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tesoura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transparente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80DF1" w14:textId="77777777" w:rsidR="00DD3BCC" w:rsidRDefault="00671177" w:rsidP="002976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ind w:left="-2" w:right="-193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proofErr w:type="spellEnd"/>
    </w:p>
    <w:p w14:paraId="3E2B7A97" w14:textId="77777777" w:rsidR="00DD3BCC" w:rsidRDefault="00671177" w:rsidP="002976BD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ind w:left="-2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base triangul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diálogo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Durante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base quadrangular,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faces, 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interagiram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proveitosa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coleta de dados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legal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ADADC" w14:textId="77777777" w:rsidR="00DD3BCC" w:rsidRDefault="00671177" w:rsidP="002976BD">
      <w:pPr>
        <w:spacing w:before="0" w:after="160" w:line="24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base triangular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construti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Durante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base quadrangular,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faces, 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2E1DCE" w14:textId="77777777" w:rsidR="002976BD" w:rsidRDefault="00671177" w:rsidP="002976BD">
      <w:pPr>
        <w:spacing w:before="0" w:after="160" w:line="24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hexaedro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semelhante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base triangular.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pirâmide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aprofunda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participantes.</w:t>
      </w:r>
      <w:proofErr w:type="spellEnd"/>
    </w:p>
    <w:p w14:paraId="0138DBF9" w14:textId="3A8C3731" w:rsidR="00DD3BCC" w:rsidRDefault="00671177" w:rsidP="002976BD">
      <w:pPr>
        <w:spacing w:before="0" w:after="160" w:line="24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usar?”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próprios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sempre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B8165" w14:textId="77777777" w:rsidR="00DD3BCC" w:rsidRDefault="00671177" w:rsidP="002976BD">
      <w:pPr>
        <w:spacing w:before="0" w:after="160" w:line="24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hexaedro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sólido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geométrico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seis faces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quadradas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vértices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cuidadosa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regular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00AC3" w14:textId="5EDF2E1F" w:rsidR="00DD3BCC" w:rsidRDefault="00671177">
      <w:pPr>
        <w:spacing w:before="0" w:after="160" w:line="259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72BCAEB" wp14:editId="061466DA">
            <wp:extent cx="5274000" cy="3517900"/>
            <wp:effectExtent l="0" t="0" r="0" b="0"/>
            <wp:docPr id="180965070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Fonte: Professor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Diêgo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Ancelmo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da Silva</w:t>
      </w:r>
      <w:r>
        <w:rPr>
          <w:rFonts w:ascii="Times New Roman" w:eastAsia="Times New Roman" w:hAnsi="Times New Roman" w:cs="Times New Roman"/>
        </w:rPr>
        <w:t>, 2023.</w:t>
      </w:r>
    </w:p>
    <w:p w14:paraId="32F934BA" w14:textId="1D6898C4" w:rsidR="00655346" w:rsidRDefault="00655346">
      <w:pPr>
        <w:spacing w:before="0" w:after="160" w:line="259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C030D2C" w14:textId="77777777" w:rsidR="00655346" w:rsidRDefault="00655346" w:rsidP="00655346">
      <w:pPr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1D0967" w14:textId="467EF8F4" w:rsidR="00655346" w:rsidRDefault="00655346" w:rsidP="00655346">
      <w:pPr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geométricos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Pachêco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Silva e Oliveira,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Moderna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despreparo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9784F" w14:textId="77777777" w:rsidR="00655346" w:rsidRDefault="00655346" w:rsidP="00655346">
      <w:pPr>
        <w:spacing w:before="200"/>
        <w:ind w:leftChars="0" w:left="2268" w:right="-193" w:firstLineChars="0"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Concebendo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pouco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domínio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conteúdos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geométricos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professores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lecionar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área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conhecimento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atende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expectativas</w:t>
      </w:r>
      <w:proofErr w:type="spellEnd"/>
      <w:r>
        <w:rPr>
          <w:rFonts w:ascii="Times New Roman" w:eastAsia="Times New Roman" w:hAnsi="Times New Roman" w:cs="Times New Roman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</w:rPr>
        <w:t>alunos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elaboram</w:t>
      </w:r>
      <w:proofErr w:type="spellEnd"/>
      <w:r>
        <w:rPr>
          <w:rFonts w:ascii="Times New Roman" w:eastAsia="Times New Roman" w:hAnsi="Times New Roman" w:cs="Times New Roman"/>
        </w:rPr>
        <w:t xml:space="preserve"> aulas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satisfatórias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repetitivas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emoção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consequência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alunos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vontade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estudar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geometria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Pachêco</w:t>
      </w:r>
      <w:proofErr w:type="spellEnd"/>
      <w:r>
        <w:rPr>
          <w:rFonts w:ascii="Times New Roman" w:eastAsia="Times New Roman" w:hAnsi="Times New Roman" w:cs="Times New Roman"/>
        </w:rPr>
        <w:t xml:space="preserve">, Silva e Oliveira, 2016, </w:t>
      </w:r>
      <w:proofErr w:type="spellStart"/>
      <w:r>
        <w:rPr>
          <w:rFonts w:ascii="Times New Roman" w:eastAsia="Times New Roman" w:hAnsi="Times New Roman" w:cs="Times New Roman"/>
        </w:rPr>
        <w:t>pg</w:t>
      </w:r>
      <w:proofErr w:type="spellEnd"/>
      <w:r>
        <w:rPr>
          <w:rFonts w:ascii="Times New Roman" w:eastAsia="Times New Roman" w:hAnsi="Times New Roman" w:cs="Times New Roman"/>
        </w:rPr>
        <w:t xml:space="preserve"> 3).</w:t>
      </w:r>
    </w:p>
    <w:p w14:paraId="50B95ED5" w14:textId="77777777" w:rsidR="00655346" w:rsidRPr="00655346" w:rsidRDefault="00655346" w:rsidP="00655346">
      <w:pPr>
        <w:spacing w:before="0" w:after="160" w:line="259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299EA6" w14:textId="77777777" w:rsidR="00DD3BCC" w:rsidRDefault="00671177">
      <w:pPr>
        <w:spacing w:before="0" w:after="160" w:line="259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57BA65A0" wp14:editId="24D9A051">
            <wp:extent cx="5274000" cy="3517900"/>
            <wp:effectExtent l="0" t="0" r="0" b="0"/>
            <wp:docPr id="180965070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Fonte: Professor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Diêgo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Ancelmo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da Silva</w:t>
      </w:r>
      <w:r>
        <w:rPr>
          <w:rFonts w:ascii="Times New Roman" w:eastAsia="Times New Roman" w:hAnsi="Times New Roman" w:cs="Times New Roman"/>
        </w:rPr>
        <w:t>, 2023.</w:t>
      </w:r>
    </w:p>
    <w:p w14:paraId="171B7C45" w14:textId="77777777" w:rsidR="00DD3BCC" w:rsidRDefault="00671177" w:rsidP="00655346">
      <w:pPr>
        <w:spacing w:before="200" w:line="240" w:lineRule="auto"/>
        <w:ind w:leftChars="0" w:left="0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Pachêco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haver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monótono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pensamento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Lorenzato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B2B9A" w14:textId="77777777" w:rsidR="00DD3BCC" w:rsidRDefault="00671177" w:rsidP="00655346">
      <w:pPr>
        <w:spacing w:before="200" w:line="240" w:lineRule="auto"/>
        <w:ind w:leftChars="0" w:left="0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sim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Provavelme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satisfatórios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tempo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45FD4" w14:textId="77777777" w:rsidR="00DD3BCC" w:rsidRDefault="00671177" w:rsidP="00655346">
      <w:pPr>
        <w:spacing w:before="0" w:after="16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aspectos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dificultaram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5E1D1A49" w14:textId="77777777" w:rsidR="00DD3BCC" w:rsidRDefault="00671177" w:rsidP="00655346">
      <w:pPr>
        <w:numPr>
          <w:ilvl w:val="0"/>
          <w:numId w:val="1"/>
        </w:numPr>
        <w:spacing w:before="24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disputas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desperdícios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atrasos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D864D4B" w14:textId="77777777" w:rsidR="00DD3BCC" w:rsidRDefault="00671177" w:rsidP="00655346">
      <w:pPr>
        <w:numPr>
          <w:ilvl w:val="0"/>
          <w:numId w:val="1"/>
        </w:numPr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dificuldade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instruções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frustrações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45009DE" w14:textId="77777777" w:rsidR="00DD3BCC" w:rsidRDefault="00671177" w:rsidP="00655346">
      <w:pPr>
        <w:numPr>
          <w:ilvl w:val="0"/>
          <w:numId w:val="1"/>
        </w:numPr>
        <w:spacing w:before="0"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indisciplina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desatenção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atrapalharam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geométricos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D975866" w14:textId="77777777" w:rsidR="00DD3BCC" w:rsidRDefault="00671177" w:rsidP="00655346">
      <w:pPr>
        <w:spacing w:before="240"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Diante dessas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limitações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42271739" w14:textId="77777777" w:rsidR="00DD3BCC" w:rsidRDefault="00671177" w:rsidP="00655346">
      <w:pPr>
        <w:numPr>
          <w:ilvl w:val="0"/>
          <w:numId w:val="2"/>
        </w:numPr>
        <w:spacing w:before="24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Solicitar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rtilhassem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desperdício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estimulando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cooperação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0B2BB33" w14:textId="77777777" w:rsidR="00DD3BCC" w:rsidRDefault="00671177" w:rsidP="00655346">
      <w:pPr>
        <w:numPr>
          <w:ilvl w:val="0"/>
          <w:numId w:val="2"/>
        </w:numPr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Orientar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exemplos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concretos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esclarecendo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dúvidas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3C47709" w14:textId="77777777" w:rsidR="00DD3BCC" w:rsidRDefault="00671177" w:rsidP="00655346">
      <w:pPr>
        <w:numPr>
          <w:ilvl w:val="0"/>
          <w:numId w:val="2"/>
        </w:numPr>
        <w:spacing w:before="0"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Estabelecer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convivência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participaçã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elogiando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empenharam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comportaram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adequadamente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3175022" w14:textId="77777777" w:rsidR="00DD3BCC" w:rsidRDefault="00671177" w:rsidP="00655346">
      <w:pPr>
        <w:spacing w:before="0" w:after="160" w:line="240" w:lineRule="auto"/>
        <w:ind w:leftChars="0"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procuramos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palavras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elogios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dizendo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encontravam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pedíamos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fizessem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análise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consciência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A2D93" w14:textId="77777777" w:rsidR="00DD3BCC" w:rsidRDefault="00671177" w:rsidP="00655346">
      <w:pPr>
        <w:spacing w:before="200" w:line="240" w:lineRule="auto"/>
        <w:ind w:leftChars="0" w:left="0" w:right="-193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aulas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expositivas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compreenderam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puderam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adquirir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auxiliar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incentiva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338BE" w14:textId="489348B7" w:rsidR="00DD3BCC" w:rsidRDefault="00671177">
      <w:pPr>
        <w:spacing w:before="0" w:after="16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BE7FA33" wp14:editId="1D7647E7">
            <wp:extent cx="5274000" cy="3517900"/>
            <wp:effectExtent l="0" t="0" r="0" b="0"/>
            <wp:docPr id="180965070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Fonte: Professor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Diêgo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</w:rPr>
        <w:t>Ancelmo</w:t>
      </w:r>
      <w:proofErr w:type="spellEnd"/>
      <w:r>
        <w:rPr>
          <w:rFonts w:ascii="Times New Roman" w:eastAsia="Times New Roman" w:hAnsi="Times New Roman" w:cs="Times New Roman"/>
          <w:color w:val="171717"/>
        </w:rPr>
        <w:t xml:space="preserve"> da Silva</w:t>
      </w:r>
      <w:r>
        <w:rPr>
          <w:rFonts w:ascii="Times New Roman" w:eastAsia="Times New Roman" w:hAnsi="Times New Roman" w:cs="Times New Roman"/>
        </w:rPr>
        <w:t>, 2023.</w:t>
      </w:r>
    </w:p>
    <w:p w14:paraId="5559749D" w14:textId="63DB8698" w:rsidR="00655346" w:rsidRDefault="00655346">
      <w:pPr>
        <w:spacing w:before="0" w:after="16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7C77412" w14:textId="39BCC43C" w:rsidR="00655346" w:rsidRDefault="00655346">
      <w:pPr>
        <w:spacing w:before="0" w:after="16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9C108A4" w14:textId="77777777" w:rsidR="00655346" w:rsidRDefault="00655346">
      <w:pPr>
        <w:spacing w:before="0" w:after="16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D84B0C8" w14:textId="77777777" w:rsidR="00DD3BCC" w:rsidRDefault="00671177" w:rsidP="006553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Chars="0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Considerações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Finais</w:t>
      </w:r>
      <w:proofErr w:type="spellEnd"/>
    </w:p>
    <w:p w14:paraId="767EC7BD" w14:textId="77777777" w:rsidR="00DD3BCC" w:rsidRDefault="00671177" w:rsidP="00655346">
      <w:pPr>
        <w:spacing w:before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poliedros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tanto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tiveram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z w:val="24"/>
          <w:szCs w:val="24"/>
        </w:rPr>
        <w:t>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C18AC1" w14:textId="77777777" w:rsidR="00DD3BCC" w:rsidRDefault="00671177" w:rsidP="00655346">
      <w:pPr>
        <w:spacing w:before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interagiram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proveitosa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coleta de dados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empenhe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tempo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2009, p.85), logo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proveitoso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investissem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ferramentas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F4F9F0" w14:textId="77777777" w:rsidR="00DD3BCC" w:rsidRDefault="00671177" w:rsidP="00655346">
      <w:pPr>
        <w:spacing w:before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esclarecer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atingimos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êxito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gratificante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atingindo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252E59" w14:textId="77777777" w:rsidR="00DD3BCC" w:rsidRDefault="00671177" w:rsidP="00655346">
      <w:pPr>
        <w:spacing w:before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final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ressaltaram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gostariam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FF515" w14:textId="77777777" w:rsidR="00DD3BCC" w:rsidRDefault="006711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360" w:lineRule="auto"/>
        <w:ind w:right="-193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Bibliográficas</w:t>
      </w:r>
      <w:proofErr w:type="spellEnd"/>
    </w:p>
    <w:p w14:paraId="5319FDEB" w14:textId="294AB70A" w:rsidR="00DD3BCC" w:rsidRDefault="00671177">
      <w:pPr>
        <w:numPr>
          <w:ilvl w:val="0"/>
          <w:numId w:val="3"/>
        </w:numPr>
        <w:spacing w:before="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P.N.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Língua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portuguesa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ludicidade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ensinar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brincando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é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brincar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ensinar</w:t>
      </w:r>
      <w:proofErr w:type="spellEnd"/>
      <w:r w:rsidR="006553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2007. PUC/ SP.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ortuguesa. São Paulo, 2007.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&lt;https://tede.pucsp.br/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bitstream/handle/14465/1/Paulo%20Nunes%20de%20Almeida.pdf&gt;.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10/2023</w:t>
      </w:r>
    </w:p>
    <w:p w14:paraId="272F11AA" w14:textId="0AC73C4B" w:rsidR="00DD3BCC" w:rsidRDefault="00671177">
      <w:pPr>
        <w:numPr>
          <w:ilvl w:val="0"/>
          <w:numId w:val="3"/>
        </w:numPr>
        <w:spacing w:before="0" w:after="0" w:line="360" w:lineRule="auto"/>
        <w:ind w:left="0" w:right="-19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FILHO, Joaquim Borges De S.; BRITO,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Kleisy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Vieira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geometria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contextualizada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médio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IESGO- 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nstituto de 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uperior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Formosa-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10/2023</w:t>
      </w:r>
    </w:p>
    <w:p w14:paraId="53C572CF" w14:textId="4F7CD5C1" w:rsidR="00DD3BCC" w:rsidRDefault="00671177">
      <w:pPr>
        <w:numPr>
          <w:ilvl w:val="0"/>
          <w:numId w:val="3"/>
        </w:numPr>
        <w:spacing w:before="0" w:after="0" w:line="36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Lorenzato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Sergio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Apparecido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Porque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ensinar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Geometria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In: A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55346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Blumenau: SBEM,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III, n.4, 1995, p.3-13.</w:t>
      </w:r>
    </w:p>
    <w:p w14:paraId="58D2570C" w14:textId="4B83A9FA" w:rsidR="00DD3BCC" w:rsidRDefault="00671177">
      <w:pPr>
        <w:numPr>
          <w:ilvl w:val="0"/>
          <w:numId w:val="3"/>
        </w:numPr>
        <w:spacing w:before="0" w:after="0" w:line="360" w:lineRule="auto"/>
        <w:ind w:left="0" w:right="-19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PAVIANI,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Soldatelli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FONTANA,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Maria. </w:t>
      </w:r>
      <w:proofErr w:type="spellStart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>Oficinas</w:t>
      </w:r>
      <w:proofErr w:type="spellEnd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>pedagógicas</w:t>
      </w:r>
      <w:proofErr w:type="spellEnd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>relato</w:t>
      </w:r>
      <w:proofErr w:type="spellEnd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>uma</w:t>
      </w:r>
      <w:proofErr w:type="spellEnd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5346">
        <w:rPr>
          <w:rFonts w:ascii="Times New Roman" w:eastAsia="Times New Roman" w:hAnsi="Times New Roman" w:cs="Times New Roman"/>
          <w:bCs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>Conjectura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14, n.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/ago. 2009.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https://ead.uftm.edu.br/pluginfile.php/138026/mod_resource/content/1/Oficinas%20pedag%C3%B3gicas%20relato%20de%20uma%20experiencia.pdf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10/2023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25E20" w14:textId="151CAE05" w:rsidR="00DD3BCC" w:rsidRDefault="00671177">
      <w:pPr>
        <w:numPr>
          <w:ilvl w:val="0"/>
          <w:numId w:val="3"/>
        </w:numPr>
        <w:spacing w:before="0" w:after="0" w:line="36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Pachêco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 F. F.; Da Silva, R. P.; De Oliveira, G. G. S.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Construções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poliedros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canudos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uma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oficina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mediada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pela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utilização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materiais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didáticos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a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produção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conhecimentos</w:t>
      </w:r>
      <w:proofErr w:type="spellEnd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Cs/>
          <w:sz w:val="24"/>
          <w:szCs w:val="24"/>
        </w:rPr>
        <w:t>geométricos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>Encontro</w:t>
      </w:r>
      <w:proofErr w:type="spellEnd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>Paraibano</w:t>
      </w:r>
      <w:proofErr w:type="spellEnd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>Educação</w:t>
      </w:r>
      <w:proofErr w:type="spellEnd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>Matemática</w:t>
      </w:r>
      <w:proofErr w:type="spellEnd"/>
      <w:r w:rsidR="00655346" w:rsidRPr="0065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IX EPBEM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&lt;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https://www.editorarealize.com.br/editora/anais/epbem/2016/TRABALHO_EV065_MD3_SA4_ID427_26102016212623.pdf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10/2023</w:t>
      </w:r>
      <w:r w:rsidR="00655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E8FF7" w14:textId="0F86695B" w:rsidR="00655346" w:rsidRDefault="00655346" w:rsidP="00655346">
      <w:pPr>
        <w:spacing w:before="0" w:after="0" w:line="360" w:lineRule="auto"/>
        <w:ind w:leftChars="0"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0C1A148" w14:textId="77777777" w:rsidR="00DD3BCC" w:rsidRDefault="006711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80" w:line="360" w:lineRule="auto"/>
        <w:ind w:right="-193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Agradecimentos</w:t>
      </w:r>
      <w:proofErr w:type="spellEnd"/>
    </w:p>
    <w:p w14:paraId="6F550EB6" w14:textId="77777777" w:rsidR="00DD3BCC" w:rsidRDefault="00671177">
      <w:pPr>
        <w:pBdr>
          <w:top w:val="nil"/>
          <w:left w:val="nil"/>
          <w:bottom w:val="nil"/>
          <w:right w:val="nil"/>
          <w:between w:val="nil"/>
        </w:pBdr>
        <w:spacing w:before="200" w:after="80" w:line="360" w:lineRule="auto"/>
        <w:ind w:left="0" w:right="-193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Queremos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agradecer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indiretamente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estiveram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horas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Colégio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Silvandira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Lima,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especial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Elcineia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Walkireny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Cassimiro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247DE" w14:textId="77777777" w:rsidR="00DD3BCC" w:rsidRDefault="00671177">
      <w:pPr>
        <w:pBdr>
          <w:top w:val="nil"/>
          <w:left w:val="nil"/>
          <w:bottom w:val="nil"/>
          <w:right w:val="nil"/>
          <w:between w:val="nil"/>
        </w:pBdr>
        <w:spacing w:before="200" w:after="80" w:line="360" w:lineRule="auto"/>
        <w:ind w:left="0" w:right="-193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agradecimentos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PIBID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UFNT,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núcleo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Colégio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Silvand</w:t>
      </w:r>
      <w:r>
        <w:rPr>
          <w:rFonts w:ascii="Times New Roman" w:eastAsia="Times New Roman" w:hAnsi="Times New Roman" w:cs="Times New Roman"/>
          <w:sz w:val="24"/>
          <w:szCs w:val="24"/>
        </w:rPr>
        <w:t>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modo especial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Professor Dr. Adriano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Supervisor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 Professor Diego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Ancelmo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Silva,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D3BCC">
      <w:footerReference w:type="default" r:id="rId15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4EEF" w14:textId="77777777" w:rsidR="00671177" w:rsidRDefault="00671177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5BC386B4" w14:textId="77777777" w:rsidR="00671177" w:rsidRDefault="00671177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009D" w14:textId="77777777" w:rsidR="00DD3BCC" w:rsidRDefault="00DD3B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32746E5D" w14:textId="77777777" w:rsidR="00DD3BCC" w:rsidRDefault="00DD3B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112" w14:textId="77777777" w:rsidR="00DD3BCC" w:rsidRDefault="006711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0FDC">
      <w:rPr>
        <w:noProof/>
        <w:color w:val="000000"/>
      </w:rPr>
      <w:t>1</w:t>
    </w:r>
    <w:r>
      <w:rPr>
        <w:color w:val="000000"/>
      </w:rPr>
      <w:fldChar w:fldCharType="end"/>
    </w:r>
  </w:p>
  <w:p w14:paraId="686A8479" w14:textId="77777777" w:rsidR="00DD3BCC" w:rsidRDefault="00DD3B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9BE8" w14:textId="77777777" w:rsidR="00671177" w:rsidRDefault="00671177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DB31277" w14:textId="77777777" w:rsidR="00671177" w:rsidRDefault="00671177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63C2" w14:textId="77777777" w:rsidR="00DD3BCC" w:rsidRDefault="0067117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1110"/>
      </w:tabs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DD99ED" wp14:editId="7E66D5F0">
          <wp:simplePos x="0" y="0"/>
          <wp:positionH relativeFrom="column">
            <wp:posOffset>822960</wp:posOffset>
          </wp:positionH>
          <wp:positionV relativeFrom="paragraph">
            <wp:posOffset>-245108</wp:posOffset>
          </wp:positionV>
          <wp:extent cx="3549650" cy="1181100"/>
          <wp:effectExtent l="0" t="0" r="0" b="0"/>
          <wp:wrapNone/>
          <wp:docPr id="180965070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ADF1DA" w14:textId="77777777" w:rsidR="00DD3BCC" w:rsidRDefault="00671177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1" w:hanging="3"/>
      <w:jc w:val="left"/>
      <w:rPr>
        <w:color w:val="000000"/>
        <w:sz w:val="36"/>
        <w:szCs w:val="36"/>
      </w:rPr>
    </w:pPr>
    <w:r>
      <w:rPr>
        <w:b/>
        <w:color w:val="000000"/>
        <w:sz w:val="28"/>
        <w:szCs w:val="28"/>
      </w:rPr>
      <w:tab/>
    </w:r>
  </w:p>
  <w:p w14:paraId="47241315" w14:textId="77777777" w:rsidR="00DD3BCC" w:rsidRDefault="00DD3BCC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spacing w:line="240" w:lineRule="auto"/>
      <w:ind w:left="0" w:hanging="2"/>
      <w:jc w:val="center"/>
      <w:rPr>
        <w:color w:val="000000"/>
      </w:rPr>
    </w:pPr>
  </w:p>
  <w:p w14:paraId="4DFCF321" w14:textId="77777777" w:rsidR="00DD3BCC" w:rsidRDefault="006711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30D"/>
    <w:multiLevelType w:val="multilevel"/>
    <w:tmpl w:val="9EFA7016"/>
    <w:lvl w:ilvl="0">
      <w:start w:val="1"/>
      <w:numFmt w:val="bullet"/>
      <w:pStyle w:val="Commarcadore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14EC0"/>
    <w:multiLevelType w:val="multilevel"/>
    <w:tmpl w:val="BD60BFE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EA1039"/>
    <w:multiLevelType w:val="multilevel"/>
    <w:tmpl w:val="20326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D62B18"/>
    <w:multiLevelType w:val="multilevel"/>
    <w:tmpl w:val="D848BA9E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CC"/>
    <w:rsid w:val="0017179D"/>
    <w:rsid w:val="00230FDC"/>
    <w:rsid w:val="002976BD"/>
    <w:rsid w:val="00655346"/>
    <w:rsid w:val="00671177"/>
    <w:rsid w:val="00DD3BCC"/>
    <w:rsid w:val="00F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67B3"/>
  <w15:docId w15:val="{1BBDD7EB-C2FF-400D-A597-26D95AB5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trt0xe">
    <w:name w:val="trt0xe"/>
    <w:basedOn w:val="Normal"/>
    <w:pPr>
      <w:suppressAutoHyphens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0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ad.uftm.edu.br/pluginfile.php/138026/mod_resource/content/1/Oficinas%20pedag%C3%B3gicas%20relato%20de%20uma%20experienc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ditorarealize.com.br/editora/anais/epbem/2016/TRABALHO_EV065_MD3_SA4_ID427_261020162126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2GIEGPO7csPvX/PxYDiQkdRdg==">CgMxLjAyCGguZ2pkZ3hzMgloLjMwajB6bGwyCmlkLjFmb2I5dGUyCWguM2R5NnZrbTIJaC4xdDNoNXNmMg5oLjI3cDBvN3hyc3RsdjgAciExbi1IUHRNYnZoYjJRWmNlSkhJbEhnR1gxNU5zWlhLNDQ=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2319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Cliente</cp:lastModifiedBy>
  <cp:revision>4</cp:revision>
  <dcterms:created xsi:type="dcterms:W3CDTF">2024-04-09T11:35:00Z</dcterms:created>
  <dcterms:modified xsi:type="dcterms:W3CDTF">2024-04-09T11:57:00Z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