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object w:dxaOrig="2988" w:dyaOrig="2980">
          <v:rect xmlns:o="urn:schemas-microsoft-com:office:office" xmlns:v="urn:schemas-microsoft-com:vml" id="rectole0000000000" style="width:149.400000pt;height:149.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Cuidados em Pacientes Cardiopatas em UTI</w:t>
        <w:br/>
        <w:t xml:space="preserve">Revista Não Indexada</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22"/>
          <w:shd w:fill="auto" w:val="clear"/>
        </w:rPr>
        <w:t xml:space="preserve">Jane cris da silva</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color w:val="auto"/>
          <w:spacing w:val="0"/>
          <w:position w:val="0"/>
          <w:sz w:val="22"/>
          <w:shd w:fill="auto" w:val="clear"/>
        </w:rPr>
        <w:t xml:space="preserve">, Natana Ribeiro Ferreira</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Thiago Ruam Nascimento</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Renato Lemos Mostaert</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Artur Climaco da Silva Filho</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 Rynele Almeida de Fonseca</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Charles Frederico Rocha</w:t>
      </w:r>
      <w:r>
        <w:rPr>
          <w:rFonts w:ascii="Times New Roman" w:hAnsi="Times New Roman" w:cs="Times New Roman" w:eastAsia="Times New Roman"/>
          <w:color w:val="auto"/>
          <w:spacing w:val="0"/>
          <w:position w:val="0"/>
          <w:sz w:val="22"/>
          <w:shd w:fill="auto" w:val="clear"/>
          <w:vertAlign w:val="superscript"/>
        </w:rPr>
        <w:t xml:space="preserve">7</w:t>
      </w:r>
      <w:r>
        <w:rPr>
          <w:rFonts w:ascii="Times New Roman" w:hAnsi="Times New Roman" w:cs="Times New Roman" w:eastAsia="Times New Roman"/>
          <w:color w:val="auto"/>
          <w:spacing w:val="0"/>
          <w:position w:val="0"/>
          <w:sz w:val="22"/>
          <w:shd w:fill="auto" w:val="clear"/>
        </w:rPr>
        <w:t xml:space="preserve">, Deborah Araujo Silva</w:t>
      </w:r>
      <w:r>
        <w:rPr>
          <w:rFonts w:ascii="Times New Roman" w:hAnsi="Times New Roman" w:cs="Times New Roman" w:eastAsia="Times New Roman"/>
          <w:color w:val="auto"/>
          <w:spacing w:val="0"/>
          <w:position w:val="0"/>
          <w:sz w:val="22"/>
          <w:shd w:fill="auto" w:val="clear"/>
          <w:vertAlign w:val="superscript"/>
        </w:rPr>
        <w:t xml:space="preserve">8</w:t>
      </w:r>
      <w:r>
        <w:rPr>
          <w:rFonts w:ascii="Times New Roman" w:hAnsi="Times New Roman" w:cs="Times New Roman" w:eastAsia="Times New Roman"/>
          <w:color w:val="auto"/>
          <w:spacing w:val="0"/>
          <w:position w:val="0"/>
          <w:sz w:val="22"/>
          <w:shd w:fill="auto" w:val="clear"/>
        </w:rPr>
        <w:t xml:space="preserve">, Rafaella Garcia Guedes da Silva</w:t>
      </w:r>
      <w:r>
        <w:rPr>
          <w:rFonts w:ascii="Times New Roman" w:hAnsi="Times New Roman" w:cs="Times New Roman" w:eastAsia="Times New Roman"/>
          <w:color w:val="auto"/>
          <w:spacing w:val="0"/>
          <w:position w:val="0"/>
          <w:sz w:val="22"/>
          <w:shd w:fill="auto" w:val="clear"/>
          <w:vertAlign w:val="superscript"/>
        </w:rPr>
        <w:t xml:space="preserve">9</w:t>
      </w:r>
      <w:r>
        <w:rPr>
          <w:rFonts w:ascii="Times New Roman" w:hAnsi="Times New Roman" w:cs="Times New Roman" w:eastAsia="Times New Roman"/>
          <w:color w:val="auto"/>
          <w:spacing w:val="0"/>
          <w:position w:val="0"/>
          <w:sz w:val="22"/>
          <w:shd w:fill="auto" w:val="clear"/>
        </w:rPr>
        <w:t xml:space="preserve">, Joanna Amélia do Rêgo Santos</w:t>
      </w:r>
      <w:r>
        <w:rPr>
          <w:rFonts w:ascii="Times New Roman" w:hAnsi="Times New Roman" w:cs="Times New Roman" w:eastAsia="Times New Roman"/>
          <w:color w:val="auto"/>
          <w:spacing w:val="0"/>
          <w:position w:val="0"/>
          <w:sz w:val="22"/>
          <w:shd w:fill="auto" w:val="clear"/>
          <w:vertAlign w:val="superscript"/>
        </w:rPr>
        <w:t xml:space="preserve">10</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05" w:left="7735" w:firstLine="552"/>
        <w:jc w:val="righ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0" w:after="0" w:line="240"/>
        <w:ind w:right="0" w:left="0" w:firstLine="0"/>
        <w:jc w:val="left"/>
        <w:rPr>
          <w:rFonts w:ascii="Times New Roman" w:hAnsi="Times New Roman" w:cs="Times New Roman" w:eastAsia="Times New Roman"/>
          <w:color w:val="auto"/>
          <w:spacing w:val="0"/>
          <w:position w:val="0"/>
          <w:sz w:val="17"/>
          <w:shd w:fill="auto" w:val="clear"/>
        </w:rPr>
      </w:pPr>
    </w:p>
    <w:p>
      <w:pPr>
        <w:spacing w:before="0" w:after="0" w:line="240"/>
        <w:ind w:right="0" w:left="82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Resumo:</w:t>
      </w:r>
    </w:p>
    <w:p>
      <w:pPr>
        <w:spacing w:before="0" w:after="0" w:line="240"/>
        <w:ind w:right="103" w:left="8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Identificar, na literatura especializada, as principais mudanças que servem como sinais clínicos de prognóstico ruim em pacientes com problemas cardíacos infectados pelo coronavírus. Metodologia: Foi realizada uma análise integrativa seguindo seis etapas estabelecidas previamente na literatura. A pesquisa dos artigos foi feita nas bases de dados: BVS, PUBMED e CINAHAL. Os critérios de inclusão consideraram artigos em inglês, português ou espanhol, publicados entre 2020 e 2023, disponíveis na íntegra. Já os critérios de exclusão foram artigos duplicados e literatura não convencional. Resultados: Foram escolhidos nove artigos científicos para essa revisão. A amostra analisada totalizou 24.878 indivíduos, com base em nove estudos diferentes. Os resultados apontaram que pacientes com COVID-19 que precisaram de cuidados intensivos tiveram maior probabilidade de desenvolver problemas cardíacos após a infecção. A presença de Troponina I e T foi identificada como um indicador significativo de desfechos adversos nesses pacientes. Doenças cardiovasculares pré-existentes se mostraram um fator de risco importante para a mortalidade em pacientes internados em UTI por COVID-19. Pacientes com diabetes, hipertensão e dislipidemia apresentaram maior probabilidade de óbito. O estudo também evidenciou que níveis elevados de troponina estavam associados a complicações durante a hospitalização, internação em UTI e mortalidade. Conclusão: Diabetes, hipertensão e dislipidemia aumentam o risco de morte por COVID-19. Além disso, problemas como arritmias, bradicardia, miocardite e isquemia foram relacionados a desfechos negativos da doença.</w:t>
      </w:r>
    </w:p>
    <w:p>
      <w:pPr>
        <w:spacing w:before="0" w:after="0" w:line="240"/>
        <w:ind w:right="0" w:left="8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Palavras-chave: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UTI</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Cardiopatias;</w:t>
      </w:r>
      <w:r>
        <w:rPr>
          <w:rFonts w:ascii="Times New Roman" w:hAnsi="Times New Roman" w:cs="Times New Roman" w:eastAsia="Times New Roman"/>
          <w:color w:val="auto"/>
          <w:spacing w:val="-2"/>
          <w:position w:val="0"/>
          <w:sz w:val="20"/>
          <w:shd w:fill="auto" w:val="clear"/>
        </w:rPr>
        <w:t xml:space="preserve"> Cuidados, HAS</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10"/>
        </w:numPr>
        <w:tabs>
          <w:tab w:val="left" w:pos="352" w:leader="none"/>
        </w:tabs>
        <w:spacing w:before="161"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p>
    <w:p>
      <w:pPr>
        <w:spacing w:before="138" w:after="0" w:line="360"/>
        <w:ind w:right="10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pandemia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coronavírus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(COVID-19)</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teve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impactos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significativos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aspectos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vida,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inclusive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saúde. Uma área de particular preocupação são as complicações cardiovasculares que podem surgir da infecção por COVID-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(Thumiki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 Jurcic,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Estudos 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literatura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apontam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há uma forte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doença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manifestações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cardiovasculares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miocardite,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insuficiência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cardíaca,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arritmias,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trombose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venosa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profunda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embolia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pulmonar,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principalmente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idosos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comorbidades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pré-existentes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hipertensão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arterial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diabetes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mellitus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(Bandyopadhyay</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w:t>
      </w:r>
    </w:p>
    <w:p>
      <w:pPr>
        <w:spacing w:before="2" w:after="0" w:line="360"/>
        <w:ind w:right="106"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Complicações cardíacas em pacientes com COVID-19 ocorrem em cerca de 20-44% dos pacientes hospitalizados e 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constitui um importante fator de risco para mortalidade por COVID-19 (Arentz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2020; Huang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2020; Zheng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 As prevalências de complicações cardíacas associadas à doença são: arritmia (16%), isquemia miocárdica (10%),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miocardite (7,2%) e choque (1-2%). Uma revisão sistemática com meta-análise realizada com 198 artigos, identificou 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arritmia,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cardíaca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aguda,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coronariana,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cardiovascular,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hipertensão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arterial,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insuficiência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cardíaca,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tromboembolismo foram associados à maior taxa de admissão de pacientes com COVID-19 em Unidades de Terapia Intensiva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(Hessami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2021).</w:t>
      </w:r>
    </w:p>
    <w:p>
      <w:pPr>
        <w:spacing w:before="0" w:after="0" w:line="360"/>
        <w:ind w:right="108"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envolvimento do sistema cardiovascular no COVID-19 é um fator determinante na evolução da doença, especialmente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naqueles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fatores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cardiovasculares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preexistentes.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manifestação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sinais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sintomas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cardíacos relacionados ao COVID-19 pode ser mais desafiadora e potencialmente letal, em que exige uma atenção especial da equipe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multiprofissional.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cardiovasculares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pré-existentes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têm</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aumentado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complicações,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mortalidade</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internação em unidades de terapia intensiva (UTI). Em suma, a ocorrência de comprometimento cardíaco em pacientes 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COVID-19 é generalizada e pode depender de uma série de fatores, incluindo antecedentes mórbidos pessoais, resposta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inflamatória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liberação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biomarcadores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específicos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(Martins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2020).</w:t>
      </w:r>
    </w:p>
    <w:p>
      <w:pPr>
        <w:spacing w:before="1"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Desde o início da pandemia, tem-se observado que pacientes com doenças cardiovasculares pré-existentes apresentam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 risco de complicações graves e morte por COVID-19. Além disso, é sabido que a infecção pelo vírus SARS-CoV-2 pode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levar a uma resposta inflamatória sistêmica e alterações na coagulação sanguínea, que podem afetar diretamente o 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cardiovascular e aumentar o risco de complicações cardiovasculares. Diante do exposto, é fato que a COVID-19 pode ser 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importante fator para o desenvolvimento destas complicações, contudo, há inconsistência na literatura sobre esses desfechos,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variar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estudada.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isso,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literatura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científica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principais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 que cursam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preditores clínicos de evolução</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desfavorável em</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 com</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cardiopatias infectados pela COVID-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risco associados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desfechos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desfavoráveis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pacientes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cardiopatas.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16"/>
        </w:numPr>
        <w:tabs>
          <w:tab w:val="left" w:pos="352" w:leader="none"/>
        </w:tabs>
        <w:spacing w:before="159"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Metodologia</w:t>
      </w:r>
    </w:p>
    <w:p>
      <w:pPr>
        <w:spacing w:before="141" w:after="0" w:line="360"/>
        <w:ind w:right="103"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Trata-se de um estudo de revisão integrativa com abordagem qualitativa e quantitativa, que consiste em um método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capaz</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sintetizar</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existentes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determinado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problema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utilizando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abordagem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descritiva,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permite reunir resultados pré-existentes, encontrados em bases científicas sólidas e, posteriormente, realizar uma análise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discussão 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aprofundada acerca da temática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estudada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2017).</w:t>
      </w:r>
    </w:p>
    <w:p>
      <w:pPr>
        <w:spacing w:before="0" w:after="0" w:line="360"/>
        <w:ind w:right="10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construção desta revisão seguiu seis etapas pré-estabelecidas pela literatura, sendo: (1) identificação do tema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 da questão de pesquisa, (2) amostragem ou pesquisa da literatura, (3) levantamento de dados, (4) análise crítica 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estudos incluídos, (5) interpretação e discussão dos resultados e (6) apresentação da revisão/síntese de conhecimento (Sousa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 2017).</w:t>
      </w:r>
    </w:p>
    <w:p>
      <w:pPr>
        <w:spacing w:before="10" w:after="0" w:line="240"/>
        <w:ind w:right="0" w:left="0" w:firstLine="0"/>
        <w:jc w:val="left"/>
        <w:rPr>
          <w:rFonts w:ascii="Times New Roman" w:hAnsi="Times New Roman" w:cs="Times New Roman" w:eastAsia="Times New Roman"/>
          <w:color w:val="auto"/>
          <w:spacing w:val="0"/>
          <w:position w:val="0"/>
          <w:sz w:val="29"/>
          <w:shd w:fill="auto" w:val="clear"/>
        </w:rPr>
      </w:pPr>
    </w:p>
    <w:p>
      <w:pPr>
        <w:spacing w:before="0" w:after="0" w:line="240"/>
        <w:ind w:right="1463" w:left="1469"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Quadro 1 - </w:t>
      </w:r>
      <w:r>
        <w:rPr>
          <w:rFonts w:ascii="Times New Roman" w:hAnsi="Times New Roman" w:cs="Times New Roman" w:eastAsia="Times New Roman"/>
          <w:color w:val="auto"/>
          <w:spacing w:val="0"/>
          <w:position w:val="0"/>
          <w:sz w:val="20"/>
          <w:shd w:fill="auto" w:val="clear"/>
        </w:rPr>
        <w:t xml:space="preserve">Construção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pergunta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norteadora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através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estratégia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PVO,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2023.</w:t>
      </w:r>
    </w:p>
    <w:p>
      <w:pPr>
        <w:spacing w:before="0" w:after="0" w:line="240"/>
        <w:ind w:right="0" w:left="0" w:firstLine="0"/>
        <w:jc w:val="left"/>
        <w:rPr>
          <w:rFonts w:ascii="Times New Roman" w:hAnsi="Times New Roman" w:cs="Times New Roman" w:eastAsia="Times New Roman"/>
          <w:color w:val="auto"/>
          <w:spacing w:val="0"/>
          <w:position w:val="0"/>
          <w:sz w:val="10"/>
          <w:shd w:fill="auto" w:val="clear"/>
        </w:rPr>
      </w:pPr>
    </w:p>
    <w:tbl>
      <w:tblPr>
        <w:tblInd w:w="121" w:type="dxa"/>
      </w:tblPr>
      <w:tblGrid>
        <w:gridCol w:w="2559"/>
        <w:gridCol w:w="3935"/>
        <w:gridCol w:w="3704"/>
      </w:tblGrid>
      <w:tr>
        <w:trPr>
          <w:trHeight w:val="372" w:hRule="auto"/>
          <w:jc w:val="left"/>
        </w:trPr>
        <w:tc>
          <w:tcPr>
            <w:tcW w:w="10198" w:type="dxa"/>
            <w:gridSpan w:val="3"/>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41" w:after="0" w:line="240"/>
              <w:ind w:right="3163" w:left="3163" w:firstLine="0"/>
              <w:jc w:val="center"/>
              <w:rPr>
                <w:color w:val="auto"/>
                <w:position w:val="0"/>
                <w:shd w:fill="auto" w:val="clear"/>
              </w:rPr>
            </w:pPr>
            <w:r>
              <w:rPr>
                <w:rFonts w:ascii="Times New Roman" w:hAnsi="Times New Roman" w:cs="Times New Roman" w:eastAsia="Times New Roman"/>
                <w:b/>
                <w:color w:val="auto"/>
                <w:spacing w:val="0"/>
                <w:position w:val="0"/>
                <w:sz w:val="17"/>
                <w:shd w:fill="auto" w:val="clear"/>
              </w:rPr>
              <w:t xml:space="preserve">ESTRUTURA</w:t>
            </w:r>
            <w:r>
              <w:rPr>
                <w:rFonts w:ascii="Times New Roman" w:hAnsi="Times New Roman" w:cs="Times New Roman" w:eastAsia="Times New Roman"/>
                <w:b/>
                <w:color w:val="auto"/>
                <w:spacing w:val="-4"/>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DA</w:t>
            </w:r>
            <w:r>
              <w:rPr>
                <w:rFonts w:ascii="Times New Roman" w:hAnsi="Times New Roman" w:cs="Times New Roman" w:eastAsia="Times New Roman"/>
                <w:b/>
                <w:color w:val="auto"/>
                <w:spacing w:val="-4"/>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PERGUNTA NORTEADORA</w:t>
            </w:r>
          </w:p>
        </w:tc>
      </w:tr>
      <w:tr>
        <w:trPr>
          <w:trHeight w:val="371" w:hRule="auto"/>
          <w:jc w:val="left"/>
        </w:trPr>
        <w:tc>
          <w:tcPr>
            <w:tcW w:w="2559"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40" w:after="0" w:line="240"/>
              <w:ind w:right="878" w:left="885" w:firstLine="0"/>
              <w:jc w:val="center"/>
              <w:rPr>
                <w:color w:val="auto"/>
                <w:spacing w:val="0"/>
                <w:position w:val="0"/>
                <w:shd w:fill="auto" w:val="clear"/>
              </w:rPr>
            </w:pPr>
            <w:r>
              <w:rPr>
                <w:rFonts w:ascii="Times New Roman" w:hAnsi="Times New Roman" w:cs="Times New Roman" w:eastAsia="Times New Roman"/>
                <w:b/>
                <w:color w:val="auto"/>
                <w:spacing w:val="0"/>
                <w:position w:val="0"/>
                <w:sz w:val="17"/>
                <w:shd w:fill="auto" w:val="clear"/>
              </w:rPr>
              <w:t xml:space="preserve">Estratégia</w:t>
            </w:r>
          </w:p>
        </w:tc>
        <w:tc>
          <w:tcPr>
            <w:tcW w:w="3935"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40" w:after="0" w:line="240"/>
              <w:ind w:right="1442" w:left="1451" w:firstLine="0"/>
              <w:jc w:val="center"/>
              <w:rPr>
                <w:color w:val="auto"/>
                <w:spacing w:val="0"/>
                <w:position w:val="0"/>
                <w:shd w:fill="auto" w:val="clear"/>
              </w:rPr>
            </w:pPr>
            <w:r>
              <w:rPr>
                <w:rFonts w:ascii="Times New Roman" w:hAnsi="Times New Roman" w:cs="Times New Roman" w:eastAsia="Times New Roman"/>
                <w:b/>
                <w:color w:val="auto"/>
                <w:spacing w:val="0"/>
                <w:position w:val="0"/>
                <w:sz w:val="17"/>
                <w:shd w:fill="auto" w:val="clear"/>
              </w:rPr>
              <w:t xml:space="preserve">Componentes</w:t>
            </w:r>
          </w:p>
        </w:tc>
        <w:tc>
          <w:tcPr>
            <w:tcW w:w="3704"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40" w:after="0" w:line="240"/>
              <w:ind w:right="0" w:left="1153" w:firstLine="0"/>
              <w:jc w:val="left"/>
              <w:rPr>
                <w:color w:val="auto"/>
                <w:position w:val="0"/>
                <w:shd w:fill="auto" w:val="clear"/>
              </w:rPr>
            </w:pPr>
            <w:r>
              <w:rPr>
                <w:rFonts w:ascii="Times New Roman" w:hAnsi="Times New Roman" w:cs="Times New Roman" w:eastAsia="Times New Roman"/>
                <w:b/>
                <w:color w:val="auto"/>
                <w:spacing w:val="0"/>
                <w:position w:val="0"/>
                <w:sz w:val="17"/>
                <w:shd w:fill="auto" w:val="clear"/>
              </w:rPr>
              <w:t xml:space="preserve">Descritores</w:t>
            </w:r>
            <w:r>
              <w:rPr>
                <w:rFonts w:ascii="Times New Roman" w:hAnsi="Times New Roman" w:cs="Times New Roman" w:eastAsia="Times New Roman"/>
                <w:b/>
                <w:color w:val="auto"/>
                <w:spacing w:val="-5"/>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(DeCS)</w:t>
            </w:r>
          </w:p>
        </w:tc>
      </w:tr>
      <w:tr>
        <w:trPr>
          <w:trHeight w:val="474" w:hRule="auto"/>
          <w:jc w:val="left"/>
        </w:trPr>
        <w:tc>
          <w:tcPr>
            <w:tcW w:w="2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8" w:after="0" w:line="240"/>
              <w:ind w:right="0" w:left="136"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População</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Population</w:t>
            </w:r>
            <w:r>
              <w:rPr>
                <w:rFonts w:ascii="Times New Roman" w:hAnsi="Times New Roman" w:cs="Times New Roman" w:eastAsia="Times New Roman"/>
                <w:i/>
                <w:color w:val="auto"/>
                <w:spacing w:val="-3"/>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(P)</w:t>
            </w:r>
          </w:p>
        </w:tc>
        <w:tc>
          <w:tcPr>
            <w:tcW w:w="39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2" w:after="0" w:line="240"/>
              <w:ind w:right="361" w:left="136"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Pacientes com cardiopatia em Unidade de Terapia</w:t>
            </w:r>
            <w:r>
              <w:rPr>
                <w:rFonts w:ascii="Times New Roman" w:hAnsi="Times New Roman" w:cs="Times New Roman" w:eastAsia="Times New Roman"/>
                <w:color w:val="auto"/>
                <w:spacing w:val="-40"/>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Intensiva</w:t>
            </w:r>
          </w:p>
        </w:tc>
        <w:tc>
          <w:tcPr>
            <w:tcW w:w="370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8" w:after="0" w:line="240"/>
              <w:ind w:right="0" w:left="169"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Unidade</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de</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Terapia</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Intensiva</w:t>
            </w:r>
          </w:p>
        </w:tc>
      </w:tr>
      <w:tr>
        <w:trPr>
          <w:trHeight w:val="474" w:hRule="auto"/>
          <w:jc w:val="left"/>
        </w:trPr>
        <w:tc>
          <w:tcPr>
            <w:tcW w:w="2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8" w:after="0" w:line="240"/>
              <w:ind w:right="0" w:left="136"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Variáveis </w:t>
            </w:r>
            <w:r>
              <w:rPr>
                <w:rFonts w:ascii="Times New Roman" w:hAnsi="Times New Roman" w:cs="Times New Roman" w:eastAsia="Times New Roman"/>
                <w:color w:val="auto"/>
                <w:spacing w:val="0"/>
                <w:position w:val="0"/>
                <w:sz w:val="17"/>
                <w:shd w:fill="auto" w:val="clear"/>
              </w:rPr>
              <w:t xml:space="preserve">–</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Variables</w:t>
            </w:r>
            <w:r>
              <w:rPr>
                <w:rFonts w:ascii="Times New Roman" w:hAnsi="Times New Roman" w:cs="Times New Roman" w:eastAsia="Times New Roman"/>
                <w:i/>
                <w:color w:val="auto"/>
                <w:spacing w:val="-2"/>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(V)</w:t>
            </w:r>
          </w:p>
        </w:tc>
        <w:tc>
          <w:tcPr>
            <w:tcW w:w="39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8" w:after="0" w:line="240"/>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Cardiopatias</w:t>
            </w:r>
          </w:p>
        </w:tc>
        <w:tc>
          <w:tcPr>
            <w:tcW w:w="370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2" w:after="0" w:line="240"/>
              <w:ind w:right="432" w:left="169"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Cardiopatias;</w:t>
            </w:r>
            <w:r>
              <w:rPr>
                <w:rFonts w:ascii="Times New Roman" w:hAnsi="Times New Roman" w:cs="Times New Roman" w:eastAsia="Times New Roman"/>
                <w:color w:val="auto"/>
                <w:spacing w:val="-8"/>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Doenças</w:t>
            </w:r>
            <w:r>
              <w:rPr>
                <w:rFonts w:ascii="Times New Roman" w:hAnsi="Times New Roman" w:cs="Times New Roman" w:eastAsia="Times New Roman"/>
                <w:color w:val="auto"/>
                <w:spacing w:val="-7"/>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cardíacas;</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Cardiopatia</w:t>
            </w:r>
            <w:r>
              <w:rPr>
                <w:rFonts w:ascii="Times New Roman" w:hAnsi="Times New Roman" w:cs="Times New Roman" w:eastAsia="Times New Roman"/>
                <w:color w:val="auto"/>
                <w:spacing w:val="-3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grave</w:t>
            </w:r>
          </w:p>
        </w:tc>
      </w:tr>
      <w:tr>
        <w:trPr>
          <w:trHeight w:val="474" w:hRule="auto"/>
          <w:jc w:val="left"/>
        </w:trPr>
        <w:tc>
          <w:tcPr>
            <w:tcW w:w="255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8" w:after="0" w:line="240"/>
              <w:ind w:right="0" w:left="136"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Desfechos</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Outcomes</w:t>
            </w:r>
            <w:r>
              <w:rPr>
                <w:rFonts w:ascii="Times New Roman" w:hAnsi="Times New Roman" w:cs="Times New Roman" w:eastAsia="Times New Roman"/>
                <w:i/>
                <w:color w:val="auto"/>
                <w:spacing w:val="-4"/>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(O)</w:t>
            </w:r>
          </w:p>
        </w:tc>
        <w:tc>
          <w:tcPr>
            <w:tcW w:w="393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8" w:after="0" w:line="240"/>
              <w:ind w:right="0" w:left="136"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Desfecho</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clínico</w:t>
            </w:r>
          </w:p>
        </w:tc>
        <w:tc>
          <w:tcPr>
            <w:tcW w:w="370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38" w:after="0" w:line="240"/>
              <w:ind w:right="0" w:left="169" w:firstLine="0"/>
              <w:jc w:val="left"/>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COVID-19</w:t>
            </w:r>
          </w:p>
        </w:tc>
      </w:tr>
    </w:tbl>
    <w:p>
      <w:pPr>
        <w:spacing w:before="120" w:after="0" w:line="240"/>
        <w:ind w:right="1463" w:left="1469"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Fonte:</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Autoria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própria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(2023).</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15" w:after="0" w:line="360"/>
        <w:ind w:right="106"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busca dos artigos científicos foi realizada entre fevereiro de 2023 a março de 2023 nas seguintes bases de dados: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Biblioteca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Virtual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(BVS),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PUBMED</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Cumulative</w:t>
      </w:r>
      <w:r>
        <w:rPr>
          <w:rFonts w:ascii="Times New Roman" w:hAnsi="Times New Roman" w:cs="Times New Roman" w:eastAsia="Times New Roman"/>
          <w:i/>
          <w:color w:val="auto"/>
          <w:spacing w:val="-1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Index</w:t>
      </w:r>
      <w:r>
        <w:rPr>
          <w:rFonts w:ascii="Times New Roman" w:hAnsi="Times New Roman" w:cs="Times New Roman" w:eastAsia="Times New Roman"/>
          <w:i/>
          <w:color w:val="auto"/>
          <w:spacing w:val="-1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to</w:t>
      </w:r>
      <w:r>
        <w:rPr>
          <w:rFonts w:ascii="Times New Roman" w:hAnsi="Times New Roman" w:cs="Times New Roman" w:eastAsia="Times New Roman"/>
          <w:i/>
          <w:color w:val="auto"/>
          <w:spacing w:val="-1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Nursing</w:t>
      </w:r>
      <w:r>
        <w:rPr>
          <w:rFonts w:ascii="Times New Roman" w:hAnsi="Times New Roman" w:cs="Times New Roman" w:eastAsia="Times New Roman"/>
          <w:i/>
          <w:color w:val="auto"/>
          <w:spacing w:val="-1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and</w:t>
      </w:r>
      <w:r>
        <w:rPr>
          <w:rFonts w:ascii="Times New Roman" w:hAnsi="Times New Roman" w:cs="Times New Roman" w:eastAsia="Times New Roman"/>
          <w:i/>
          <w:color w:val="auto"/>
          <w:spacing w:val="-1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Allied</w:t>
      </w:r>
      <w:r>
        <w:rPr>
          <w:rFonts w:ascii="Times New Roman" w:hAnsi="Times New Roman" w:cs="Times New Roman" w:eastAsia="Times New Roman"/>
          <w:i/>
          <w:color w:val="auto"/>
          <w:spacing w:val="-1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Health</w:t>
      </w:r>
      <w:r>
        <w:rPr>
          <w:rFonts w:ascii="Times New Roman" w:hAnsi="Times New Roman" w:cs="Times New Roman" w:eastAsia="Times New Roman"/>
          <w:i/>
          <w:color w:val="auto"/>
          <w:spacing w:val="-1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Literature</w:t>
      </w:r>
      <w:r>
        <w:rPr>
          <w:rFonts w:ascii="Times New Roman" w:hAnsi="Times New Roman" w:cs="Times New Roman" w:eastAsia="Times New Roman"/>
          <w:i/>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i/>
          <w:color w:val="auto"/>
          <w:spacing w:val="0"/>
          <w:position w:val="0"/>
          <w:sz w:val="20"/>
          <w:shd w:fill="auto" w:val="clear"/>
        </w:rPr>
        <w:t xml:space="preserve">CINAHL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Ressalta-se que a BVS engloba as bases: </w:t>
      </w:r>
      <w:r>
        <w:rPr>
          <w:rFonts w:ascii="Times New Roman" w:hAnsi="Times New Roman" w:cs="Times New Roman" w:eastAsia="Times New Roman"/>
          <w:i/>
          <w:color w:val="auto"/>
          <w:spacing w:val="0"/>
          <w:position w:val="0"/>
          <w:sz w:val="20"/>
          <w:shd w:fill="auto" w:val="clear"/>
        </w:rPr>
        <w:t xml:space="preserve">Literatura Latino-americana e do Caribe em Ciências da Saúde </w:t>
      </w:r>
      <w:r>
        <w:rPr>
          <w:rFonts w:ascii="Times New Roman" w:hAnsi="Times New Roman" w:cs="Times New Roman" w:eastAsia="Times New Roman"/>
          <w:color w:val="auto"/>
          <w:spacing w:val="0"/>
          <w:position w:val="0"/>
          <w:sz w:val="20"/>
          <w:shd w:fill="auto" w:val="clear"/>
        </w:rPr>
        <w:t xml:space="preserve">(LILACS), </w:t>
      </w:r>
      <w:r>
        <w:rPr>
          <w:rFonts w:ascii="Times New Roman" w:hAnsi="Times New Roman" w:cs="Times New Roman" w:eastAsia="Times New Roman"/>
          <w:i/>
          <w:color w:val="auto"/>
          <w:spacing w:val="0"/>
          <w:position w:val="0"/>
          <w:sz w:val="20"/>
          <w:shd w:fill="auto" w:val="clear"/>
        </w:rPr>
        <w:t xml:space="preserve">Medical Literature</w:t>
      </w:r>
      <w:r>
        <w:rPr>
          <w:rFonts w:ascii="Times New Roman" w:hAnsi="Times New Roman" w:cs="Times New Roman" w:eastAsia="Times New Roman"/>
          <w:i/>
          <w:color w:val="auto"/>
          <w:spacing w:val="-47"/>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Analysis</w:t>
      </w:r>
      <w:r>
        <w:rPr>
          <w:rFonts w:ascii="Times New Roman" w:hAnsi="Times New Roman" w:cs="Times New Roman" w:eastAsia="Times New Roman"/>
          <w:i/>
          <w:color w:val="auto"/>
          <w:spacing w:val="-5"/>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and</w:t>
      </w:r>
      <w:r>
        <w:rPr>
          <w:rFonts w:ascii="Times New Roman" w:hAnsi="Times New Roman" w:cs="Times New Roman" w:eastAsia="Times New Roman"/>
          <w:i/>
          <w:color w:val="auto"/>
          <w:spacing w:val="-4"/>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Retrieval</w:t>
      </w:r>
      <w:r>
        <w:rPr>
          <w:rFonts w:ascii="Times New Roman" w:hAnsi="Times New Roman" w:cs="Times New Roman" w:eastAsia="Times New Roman"/>
          <w:i/>
          <w:color w:val="auto"/>
          <w:spacing w:val="-4"/>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System</w:t>
      </w:r>
      <w:r>
        <w:rPr>
          <w:rFonts w:ascii="Times New Roman" w:hAnsi="Times New Roman" w:cs="Times New Roman" w:eastAsia="Times New Roman"/>
          <w:i/>
          <w:color w:val="auto"/>
          <w:spacing w:val="-5"/>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Online</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i/>
          <w:color w:val="auto"/>
          <w:spacing w:val="0"/>
          <w:position w:val="0"/>
          <w:sz w:val="20"/>
          <w:shd w:fill="auto" w:val="clear"/>
        </w:rPr>
        <w:t xml:space="preserve">MEDLINE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Scientific</w:t>
      </w:r>
      <w:r>
        <w:rPr>
          <w:rFonts w:ascii="Times New Roman" w:hAnsi="Times New Roman" w:cs="Times New Roman" w:eastAsia="Times New Roman"/>
          <w:i/>
          <w:color w:val="auto"/>
          <w:spacing w:val="-4"/>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Electronic</w:t>
      </w:r>
      <w:r>
        <w:rPr>
          <w:rFonts w:ascii="Times New Roman" w:hAnsi="Times New Roman" w:cs="Times New Roman" w:eastAsia="Times New Roman"/>
          <w:i/>
          <w:color w:val="auto"/>
          <w:spacing w:val="-4"/>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Library</w:t>
      </w:r>
      <w:r>
        <w:rPr>
          <w:rFonts w:ascii="Times New Roman" w:hAnsi="Times New Roman" w:cs="Times New Roman" w:eastAsia="Times New Roman"/>
          <w:i/>
          <w:color w:val="auto"/>
          <w:spacing w:val="-4"/>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Online</w:t>
      </w:r>
      <w:r>
        <w:rPr>
          <w:rFonts w:ascii="Times New Roman" w:hAnsi="Times New Roman" w:cs="Times New Roman" w:eastAsia="Times New Roman"/>
          <w:i/>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i/>
          <w:color w:val="auto"/>
          <w:spacing w:val="0"/>
          <w:position w:val="0"/>
          <w:sz w:val="20"/>
          <w:shd w:fill="auto" w:val="clear"/>
        </w:rPr>
        <w:t xml:space="preserve">SciELO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Utilizou-se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estratégia</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busca os descritores disponíveis no Descritores em Ciências de Saúde (DeCS) e termos </w:t>
      </w:r>
      <w:r>
        <w:rPr>
          <w:rFonts w:ascii="Times New Roman" w:hAnsi="Times New Roman" w:cs="Times New Roman" w:eastAsia="Times New Roman"/>
          <w:i/>
          <w:color w:val="auto"/>
          <w:spacing w:val="0"/>
          <w:position w:val="0"/>
          <w:sz w:val="20"/>
          <w:shd w:fill="auto" w:val="clear"/>
        </w:rPr>
        <w:t xml:space="preserve">Medical Subject headings </w:t>
      </w:r>
      <w:r>
        <w:rPr>
          <w:rFonts w:ascii="Times New Roman" w:hAnsi="Times New Roman" w:cs="Times New Roman" w:eastAsia="Times New Roman"/>
          <w:color w:val="auto"/>
          <w:spacing w:val="0"/>
          <w:position w:val="0"/>
          <w:sz w:val="20"/>
          <w:shd w:fill="auto" w:val="clear"/>
        </w:rPr>
        <w:t xml:space="preserve">(MeSH),</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 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operadores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booleanos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OR</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i/>
          <w:color w:val="auto"/>
          <w:spacing w:val="0"/>
          <w:position w:val="0"/>
          <w:sz w:val="20"/>
          <w:shd w:fill="auto" w:val="clear"/>
        </w:rPr>
        <w:t xml:space="preserve">AND</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descritos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Quadro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p>
    <w:p>
      <w:pPr>
        <w:spacing w:before="1" w:after="0" w:line="240"/>
        <w:ind w:right="0" w:left="0" w:firstLine="0"/>
        <w:jc w:val="left"/>
        <w:rPr>
          <w:rFonts w:ascii="Times New Roman" w:hAnsi="Times New Roman" w:cs="Times New Roman" w:eastAsia="Times New Roman"/>
          <w:color w:val="auto"/>
          <w:spacing w:val="0"/>
          <w:position w:val="0"/>
          <w:sz w:val="30"/>
          <w:shd w:fill="auto" w:val="clear"/>
        </w:rPr>
      </w:pPr>
    </w:p>
    <w:p>
      <w:pPr>
        <w:spacing w:before="0" w:after="0" w:line="240"/>
        <w:ind w:right="1465" w:left="1469"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Quadro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2 - </w:t>
      </w:r>
      <w:r>
        <w:rPr>
          <w:rFonts w:ascii="Times New Roman" w:hAnsi="Times New Roman" w:cs="Times New Roman" w:eastAsia="Times New Roman"/>
          <w:color w:val="auto"/>
          <w:spacing w:val="0"/>
          <w:position w:val="0"/>
          <w:sz w:val="20"/>
          <w:shd w:fill="auto" w:val="clear"/>
        </w:rPr>
        <w:t xml:space="preserve">Estratégias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busca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revisão 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literatura, 2023.</w:t>
      </w:r>
    </w:p>
    <w:p>
      <w:pPr>
        <w:spacing w:before="0" w:after="0" w:line="240"/>
        <w:ind w:right="0" w:left="0" w:firstLine="0"/>
        <w:jc w:val="left"/>
        <w:rPr>
          <w:rFonts w:ascii="Times New Roman" w:hAnsi="Times New Roman" w:cs="Times New Roman" w:eastAsia="Times New Roman"/>
          <w:color w:val="auto"/>
          <w:spacing w:val="0"/>
          <w:position w:val="0"/>
          <w:sz w:val="10"/>
          <w:shd w:fill="auto" w:val="clear"/>
        </w:rPr>
      </w:pPr>
    </w:p>
    <w:tbl>
      <w:tblPr>
        <w:tblInd w:w="121" w:type="dxa"/>
      </w:tblPr>
      <w:tblGrid>
        <w:gridCol w:w="3510"/>
        <w:gridCol w:w="3591"/>
        <w:gridCol w:w="3097"/>
      </w:tblGrid>
      <w:tr>
        <w:trPr>
          <w:trHeight w:val="314" w:hRule="auto"/>
          <w:jc w:val="left"/>
        </w:trPr>
        <w:tc>
          <w:tcPr>
            <w:tcW w:w="10198" w:type="dxa"/>
            <w:gridSpan w:val="3"/>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40" w:after="0" w:line="240"/>
              <w:ind w:right="3163" w:left="3167" w:firstLine="0"/>
              <w:jc w:val="center"/>
              <w:rPr>
                <w:color w:val="auto"/>
                <w:position w:val="0"/>
                <w:shd w:fill="auto" w:val="clear"/>
              </w:rPr>
            </w:pPr>
            <w:r>
              <w:rPr>
                <w:rFonts w:ascii="Times New Roman" w:hAnsi="Times New Roman" w:cs="Times New Roman" w:eastAsia="Times New Roman"/>
                <w:b/>
                <w:color w:val="auto"/>
                <w:spacing w:val="0"/>
                <w:position w:val="0"/>
                <w:sz w:val="17"/>
                <w:shd w:fill="auto" w:val="clear"/>
              </w:rPr>
              <w:t xml:space="preserve">ESTRATÉGIA</w:t>
            </w:r>
            <w:r>
              <w:rPr>
                <w:rFonts w:ascii="Times New Roman" w:hAnsi="Times New Roman" w:cs="Times New Roman" w:eastAsia="Times New Roman"/>
                <w:b/>
                <w:color w:val="auto"/>
                <w:spacing w:val="-3"/>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DE</w:t>
            </w:r>
            <w:r>
              <w:rPr>
                <w:rFonts w:ascii="Times New Roman" w:hAnsi="Times New Roman" w:cs="Times New Roman" w:eastAsia="Times New Roman"/>
                <w:b/>
                <w:color w:val="auto"/>
                <w:spacing w:val="-2"/>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BUSCA</w:t>
            </w:r>
            <w:r>
              <w:rPr>
                <w:rFonts w:ascii="Times New Roman" w:hAnsi="Times New Roman" w:cs="Times New Roman" w:eastAsia="Times New Roman"/>
                <w:b/>
                <w:color w:val="auto"/>
                <w:spacing w:val="-2"/>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EM</w:t>
            </w:r>
            <w:r>
              <w:rPr>
                <w:rFonts w:ascii="Times New Roman" w:hAnsi="Times New Roman" w:cs="Times New Roman" w:eastAsia="Times New Roman"/>
                <w:b/>
                <w:color w:val="auto"/>
                <w:spacing w:val="1"/>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BASES</w:t>
            </w:r>
            <w:r>
              <w:rPr>
                <w:rFonts w:ascii="Times New Roman" w:hAnsi="Times New Roman" w:cs="Times New Roman" w:eastAsia="Times New Roman"/>
                <w:b/>
                <w:color w:val="auto"/>
                <w:spacing w:val="-1"/>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DE</w:t>
            </w:r>
            <w:r>
              <w:rPr>
                <w:rFonts w:ascii="Times New Roman" w:hAnsi="Times New Roman" w:cs="Times New Roman" w:eastAsia="Times New Roman"/>
                <w:b/>
                <w:color w:val="auto"/>
                <w:spacing w:val="-2"/>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DADOS</w:t>
            </w:r>
          </w:p>
        </w:tc>
      </w:tr>
      <w:tr>
        <w:trPr>
          <w:trHeight w:val="313" w:hRule="auto"/>
          <w:jc w:val="left"/>
        </w:trPr>
        <w:tc>
          <w:tcPr>
            <w:tcW w:w="3510"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40" w:after="0" w:line="240"/>
              <w:ind w:right="1364" w:left="1368"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17"/>
                <w:shd w:fill="auto" w:val="clear"/>
              </w:rPr>
              <w:t xml:space="preserve">PUBMED</w:t>
            </w:r>
          </w:p>
        </w:tc>
        <w:tc>
          <w:tcPr>
            <w:tcW w:w="3591"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40" w:after="0" w:line="240"/>
              <w:ind w:right="1601" w:left="1608" w:firstLine="0"/>
              <w:jc w:val="center"/>
              <w:rPr>
                <w:color w:val="auto"/>
                <w:spacing w:val="0"/>
                <w:position w:val="0"/>
                <w:shd w:fill="auto" w:val="clear"/>
              </w:rPr>
            </w:pPr>
            <w:r>
              <w:rPr>
                <w:rFonts w:ascii="Times New Roman" w:hAnsi="Times New Roman" w:cs="Times New Roman" w:eastAsia="Times New Roman"/>
                <w:b/>
                <w:color w:val="auto"/>
                <w:spacing w:val="0"/>
                <w:position w:val="0"/>
                <w:sz w:val="17"/>
                <w:shd w:fill="auto" w:val="clear"/>
              </w:rPr>
              <w:t xml:space="preserve">BVS</w:t>
            </w:r>
          </w:p>
        </w:tc>
        <w:tc>
          <w:tcPr>
            <w:tcW w:w="3097"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40" w:after="0" w:line="240"/>
              <w:ind w:right="1196" w:left="1198"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17"/>
                <w:shd w:fill="auto" w:val="clear"/>
              </w:rPr>
              <w:t xml:space="preserve">CINAHL</w:t>
            </w:r>
          </w:p>
        </w:tc>
      </w:tr>
      <w:tr>
        <w:trPr>
          <w:trHeight w:val="1843" w:hRule="auto"/>
          <w:jc w:val="left"/>
        </w:trPr>
        <w:tc>
          <w:tcPr>
            <w:tcW w:w="351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00" w:after="0" w:line="288"/>
              <w:ind w:right="180" w:left="136"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("heart diseases"[MeSH Terms] AND</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"intensive care units"[MeSH Terms] AND</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"covid</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19"[MeSH</w:t>
            </w:r>
            <w:r>
              <w:rPr>
                <w:rFonts w:ascii="Times New Roman" w:hAnsi="Times New Roman" w:cs="Times New Roman" w:eastAsia="Times New Roman"/>
                <w:color w:val="auto"/>
                <w:spacing w:val="-6"/>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Terms])</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AND</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((y_5[Filter])</w:t>
            </w:r>
            <w:r>
              <w:rPr>
                <w:rFonts w:ascii="Times New Roman" w:hAnsi="Times New Roman" w:cs="Times New Roman" w:eastAsia="Times New Roman"/>
                <w:color w:val="auto"/>
                <w:spacing w:val="-3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AND (ffrft[Filter]) AND (fft[Filter]) AND</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(humans[Filter]) AND (english[Filter] OR</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portuguese[Filter] OR spanish[Filter]) AND</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(alladult[Filter]))</w:t>
            </w:r>
          </w:p>
        </w:tc>
        <w:tc>
          <w:tcPr>
            <w:tcW w:w="35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1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88"/>
              <w:ind w:right="81" w:left="177"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(cardiopatias) OR (cardiopatia grave) OR</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(doenças cardíacas) AND (unidades de terapia</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intensiva) AND (covid-19) OR (infecção por</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sars-cov-2) AND ( fulltext:("1") AND la:("en"</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OR "es" OR "pt")) AND (year_cluster:[2020 TO</w:t>
            </w:r>
            <w:r>
              <w:rPr>
                <w:rFonts w:ascii="Times New Roman" w:hAnsi="Times New Roman" w:cs="Times New Roman" w:eastAsia="Times New Roman"/>
                <w:color w:val="auto"/>
                <w:spacing w:val="-40"/>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2023])</w:t>
            </w:r>
          </w:p>
        </w:tc>
        <w:tc>
          <w:tcPr>
            <w:tcW w:w="309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0" w:after="0" w:line="240"/>
              <w:ind w:right="0" w:left="128" w:firstLine="0"/>
              <w:jc w:val="left"/>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S1:</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heart</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diseases;</w:t>
            </w:r>
          </w:p>
          <w:p>
            <w:pPr>
              <w:spacing w:before="81" w:after="0" w:line="240"/>
              <w:ind w:right="0" w:left="128" w:firstLine="0"/>
              <w:jc w:val="left"/>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S2: intensive</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care</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units;</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S3:</w:t>
            </w:r>
            <w:r>
              <w:rPr>
                <w:rFonts w:ascii="Times New Roman" w:hAnsi="Times New Roman" w:cs="Times New Roman" w:eastAsia="Times New Roman"/>
                <w:color w:val="auto"/>
                <w:spacing w:val="3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covid</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19;</w:t>
            </w:r>
          </w:p>
          <w:p>
            <w:pPr>
              <w:spacing w:before="81" w:after="0" w:line="285"/>
              <w:ind w:right="321" w:left="128" w:firstLine="0"/>
              <w:jc w:val="left"/>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17"/>
                <w:shd w:fill="auto" w:val="clear"/>
              </w:rPr>
              <w:t xml:space="preserve">S4:</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((AB</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covid</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19)</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AND</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(S1</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AND</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S2</w:t>
            </w:r>
            <w:r>
              <w:rPr>
                <w:rFonts w:ascii="Times New Roman" w:hAnsi="Times New Roman" w:cs="Times New Roman" w:eastAsia="Times New Roman"/>
                <w:color w:val="auto"/>
                <w:spacing w:val="-39"/>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AND</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S3))</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AND</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(FM P)</w:t>
            </w:r>
          </w:p>
          <w:p>
            <w:pPr>
              <w:spacing w:before="43" w:after="0" w:line="288"/>
              <w:ind w:right="77" w:left="128" w:firstLine="0"/>
              <w:jc w:val="left"/>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Limitadores - Texto completo; Data de</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publicação: 20200101-20230331; Idioma:</w:t>
            </w:r>
            <w:r>
              <w:rPr>
                <w:rFonts w:ascii="Times New Roman" w:hAnsi="Times New Roman" w:cs="Times New Roman" w:eastAsia="Times New Roman"/>
                <w:color w:val="auto"/>
                <w:spacing w:val="-40"/>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English,</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Portuguese,</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Spanish;</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Castilian</w:t>
            </w:r>
          </w:p>
        </w:tc>
      </w:tr>
    </w:tbl>
    <w:p>
      <w:pPr>
        <w:spacing w:before="120" w:after="0" w:line="240"/>
        <w:ind w:right="1465" w:left="1469"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Fonte:</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Autoria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própria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(2023).</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15" w:after="0" w:line="360"/>
        <w:ind w:right="11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critérios de inclusão foram: artigos publicados em inglês, português ou espanhol, no período de 2020 a 2023,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disponíveis na íntegra. Os critérios de exclusão foram: artigos duplicados, literatura cinza (Trabalhos de Conclusão de 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teses,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dissertações,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monografias),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revisões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literatura,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anais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eventos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(resumos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expandidos),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e estudos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gestantes.</w:t>
      </w:r>
    </w:p>
    <w:p>
      <w:pPr>
        <w:spacing w:before="0" w:after="0" w:line="360"/>
        <w:ind w:right="104" w:left="112" w:firstLine="708"/>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títulos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resumos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lidos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pesquisadoras,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elegibilidade. Os estudos selecionados foram lidos inteiramente pelas pesquisadoras, para extrair os seguintes dados: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identificação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do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(autores,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publicação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país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principal),</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métodos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(desenho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longitudinal</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retrospectivo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prospectivo,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idade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resultados/conclusões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(variáveis</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relação significativa e independente dos desfechos cardiovasculares em pacientes com COVID-19 em Unidade de Terapia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Intensiva.</w:t>
      </w:r>
    </w:p>
    <w:p>
      <w:pPr>
        <w:numPr>
          <w:ilvl w:val="0"/>
          <w:numId w:val="68"/>
        </w:numPr>
        <w:tabs>
          <w:tab w:val="left" w:pos="352" w:leader="none"/>
        </w:tabs>
        <w:spacing w:before="0"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Resultados</w:t>
      </w:r>
    </w:p>
    <w:p>
      <w:pPr>
        <w:spacing w:before="138" w:after="0" w:line="360"/>
        <w:ind w:right="111"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Figura 1 demonstra o fluxograma do processo de seleção dos artigos desta revisão. Inicialmente, foram encontrados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329</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encontrados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BVS.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triagem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duplicados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elegibilidade dos artigos por meio dos critérios de inclusão e exclusão, foram selecionados para leitura na íntegra 16 artigos,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onde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destes, nove foram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selecionados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compor esta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revisão.</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124" w:after="0" w:line="240"/>
        <w:ind w:right="1465" w:left="1469"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Figura 1 - </w:t>
      </w:r>
      <w:r>
        <w:rPr>
          <w:rFonts w:ascii="Times New Roman" w:hAnsi="Times New Roman" w:cs="Times New Roman" w:eastAsia="Times New Roman"/>
          <w:color w:val="auto"/>
          <w:spacing w:val="0"/>
          <w:position w:val="0"/>
          <w:sz w:val="20"/>
          <w:shd w:fill="auto" w:val="clear"/>
        </w:rPr>
        <w:t xml:space="preserve">Fluxograma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PRISMA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 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busca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seleção 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p>
    <w:p>
      <w:pPr>
        <w:spacing w:before="0" w:after="0" w:line="240"/>
        <w:ind w:right="0" w:left="799" w:firstLine="0"/>
        <w:jc w:val="left"/>
        <w:rPr>
          <w:rFonts w:ascii="Times New Roman" w:hAnsi="Times New Roman" w:cs="Times New Roman" w:eastAsia="Times New Roman"/>
          <w:color w:val="auto"/>
          <w:spacing w:val="0"/>
          <w:position w:val="0"/>
          <w:sz w:val="20"/>
          <w:shd w:fill="auto" w:val="clear"/>
        </w:rPr>
      </w:pPr>
      <w:r>
        <w:object w:dxaOrig="8402" w:dyaOrig="4845">
          <v:rect xmlns:o="urn:schemas-microsoft-com:office:office" xmlns:v="urn:schemas-microsoft-com:vml" id="rectole0000000001" style="width:420.100000pt;height:242.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179" w:after="0" w:line="240"/>
        <w:ind w:right="1463" w:left="1469"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Fonte:</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Autoria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própria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(2023).</w:t>
      </w:r>
    </w:p>
    <w:p>
      <w:pPr>
        <w:spacing w:before="116" w:after="0" w:line="360"/>
        <w:ind w:right="119" w:left="112" w:firstLine="708"/>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spacing w:before="0" w:after="0" w:line="360"/>
        <w:ind w:right="0" w:left="112"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Quadro</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1</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Síntese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país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origem,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publicação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método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09</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p>
    <w:tbl>
      <w:tblPr>
        <w:tblInd w:w="121" w:type="dxa"/>
      </w:tblPr>
      <w:tblGrid>
        <w:gridCol w:w="3531"/>
        <w:gridCol w:w="1946"/>
        <w:gridCol w:w="1886"/>
        <w:gridCol w:w="2832"/>
      </w:tblGrid>
      <w:tr>
        <w:trPr>
          <w:trHeight w:val="373" w:hRule="auto"/>
          <w:jc w:val="left"/>
        </w:trPr>
        <w:tc>
          <w:tcPr>
            <w:tcW w:w="3531"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90" w:after="0" w:line="240"/>
              <w:ind w:right="578" w:left="588" w:firstLine="0"/>
              <w:jc w:val="center"/>
              <w:rPr>
                <w:color w:val="auto"/>
                <w:spacing w:val="0"/>
                <w:position w:val="0"/>
                <w:shd w:fill="auto" w:val="clear"/>
              </w:rPr>
            </w:pPr>
            <w:r>
              <w:rPr>
                <w:rFonts w:ascii="Times New Roman" w:hAnsi="Times New Roman" w:cs="Times New Roman" w:eastAsia="Times New Roman"/>
                <w:b/>
                <w:color w:val="auto"/>
                <w:spacing w:val="0"/>
                <w:position w:val="0"/>
                <w:sz w:val="17"/>
                <w:shd w:fill="auto" w:val="clear"/>
              </w:rPr>
              <w:t xml:space="preserve">Autor/ano</w:t>
            </w:r>
          </w:p>
        </w:tc>
        <w:tc>
          <w:tcPr>
            <w:tcW w:w="1946"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90" w:after="0" w:line="240"/>
              <w:ind w:right="489" w:left="498" w:firstLine="0"/>
              <w:jc w:val="center"/>
              <w:rPr>
                <w:color w:val="auto"/>
                <w:spacing w:val="0"/>
                <w:position w:val="0"/>
                <w:shd w:fill="auto" w:val="clear"/>
              </w:rPr>
            </w:pPr>
            <w:r>
              <w:rPr>
                <w:rFonts w:ascii="Times New Roman" w:hAnsi="Times New Roman" w:cs="Times New Roman" w:eastAsia="Times New Roman"/>
                <w:b/>
                <w:color w:val="auto"/>
                <w:spacing w:val="0"/>
                <w:position w:val="0"/>
                <w:sz w:val="17"/>
                <w:shd w:fill="auto" w:val="clear"/>
              </w:rPr>
              <w:t xml:space="preserve">País</w:t>
            </w:r>
          </w:p>
        </w:tc>
        <w:tc>
          <w:tcPr>
            <w:tcW w:w="1886"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90" w:after="0" w:line="240"/>
              <w:ind w:right="651" w:left="664" w:firstLine="0"/>
              <w:jc w:val="center"/>
              <w:rPr>
                <w:color w:val="auto"/>
                <w:spacing w:val="0"/>
                <w:position w:val="0"/>
                <w:shd w:fill="auto" w:val="clear"/>
              </w:rPr>
            </w:pPr>
            <w:r>
              <w:rPr>
                <w:rFonts w:ascii="Times New Roman" w:hAnsi="Times New Roman" w:cs="Times New Roman" w:eastAsia="Times New Roman"/>
                <w:b/>
                <w:color w:val="auto"/>
                <w:spacing w:val="0"/>
                <w:position w:val="0"/>
                <w:sz w:val="17"/>
                <w:shd w:fill="auto" w:val="clear"/>
              </w:rPr>
              <w:t xml:space="preserve">Idioma</w:t>
            </w:r>
          </w:p>
        </w:tc>
        <w:tc>
          <w:tcPr>
            <w:tcW w:w="2832" w:type="dxa"/>
            <w:tcBorders>
              <w:top w:val="single" w:color="000000" w:sz="4"/>
              <w:left w:val="single" w:color="000000" w:sz="4"/>
              <w:bottom w:val="single" w:color="000000" w:sz="4"/>
              <w:right w:val="single" w:color="000000" w:sz="4"/>
            </w:tcBorders>
            <w:shd w:color="auto" w:fill="d9d9d9" w:val="clear"/>
            <w:tcMar>
              <w:left w:w="0" w:type="dxa"/>
              <w:right w:w="0" w:type="dxa"/>
            </w:tcMar>
            <w:vAlign w:val="top"/>
          </w:tcPr>
          <w:p>
            <w:pPr>
              <w:spacing w:before="90" w:after="0" w:line="240"/>
              <w:ind w:right="694" w:left="705" w:firstLine="0"/>
              <w:jc w:val="center"/>
              <w:rPr>
                <w:color w:val="auto"/>
                <w:position w:val="0"/>
                <w:shd w:fill="auto" w:val="clear"/>
              </w:rPr>
            </w:pPr>
            <w:r>
              <w:rPr>
                <w:rFonts w:ascii="Times New Roman" w:hAnsi="Times New Roman" w:cs="Times New Roman" w:eastAsia="Times New Roman"/>
                <w:b/>
                <w:color w:val="auto"/>
                <w:spacing w:val="0"/>
                <w:position w:val="0"/>
                <w:sz w:val="17"/>
                <w:shd w:fill="auto" w:val="clear"/>
              </w:rPr>
              <w:t xml:space="preserve">Desenho</w:t>
            </w:r>
            <w:r>
              <w:rPr>
                <w:rFonts w:ascii="Times New Roman" w:hAnsi="Times New Roman" w:cs="Times New Roman" w:eastAsia="Times New Roman"/>
                <w:b/>
                <w:color w:val="auto"/>
                <w:spacing w:val="-4"/>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do</w:t>
            </w:r>
            <w:r>
              <w:rPr>
                <w:rFonts w:ascii="Times New Roman" w:hAnsi="Times New Roman" w:cs="Times New Roman" w:eastAsia="Times New Roman"/>
                <w:b/>
                <w:color w:val="auto"/>
                <w:spacing w:val="-1"/>
                <w:position w:val="0"/>
                <w:sz w:val="17"/>
                <w:shd w:fill="auto" w:val="clear"/>
              </w:rPr>
              <w:t xml:space="preserve"> </w:t>
            </w:r>
            <w:r>
              <w:rPr>
                <w:rFonts w:ascii="Times New Roman" w:hAnsi="Times New Roman" w:cs="Times New Roman" w:eastAsia="Times New Roman"/>
                <w:b/>
                <w:color w:val="auto"/>
                <w:spacing w:val="0"/>
                <w:position w:val="0"/>
                <w:sz w:val="17"/>
                <w:shd w:fill="auto" w:val="clear"/>
              </w:rPr>
              <w:t xml:space="preserve">estudo</w:t>
            </w:r>
          </w:p>
        </w:tc>
      </w:tr>
      <w:tr>
        <w:trPr>
          <w:trHeight w:val="374" w:hRule="auto"/>
          <w:jc w:val="left"/>
        </w:trPr>
        <w:tc>
          <w:tcPr>
            <w:tcW w:w="353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578" w:left="588"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WIEMKEN</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et</w:t>
            </w:r>
            <w:r>
              <w:rPr>
                <w:rFonts w:ascii="Times New Roman" w:hAnsi="Times New Roman" w:cs="Times New Roman" w:eastAsia="Times New Roman"/>
                <w:i/>
                <w:color w:val="auto"/>
                <w:spacing w:val="1"/>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al.</w:t>
            </w:r>
            <w:r>
              <w:rPr>
                <w:rFonts w:ascii="Times New Roman" w:hAnsi="Times New Roman" w:cs="Times New Roman" w:eastAsia="Times New Roman"/>
                <w:color w:val="auto"/>
                <w:spacing w:val="0"/>
                <w:position w:val="0"/>
                <w:sz w:val="17"/>
                <w:shd w:fill="auto" w:val="clear"/>
              </w:rPr>
              <w:t xml:space="preserve">,</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2023</w:t>
            </w:r>
          </w:p>
        </w:tc>
        <w:tc>
          <w:tcPr>
            <w:tcW w:w="194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490" w:left="496"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EUA</w:t>
            </w:r>
          </w:p>
        </w:tc>
        <w:tc>
          <w:tcPr>
            <w:tcW w:w="18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651" w:left="662"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Inglês</w:t>
            </w:r>
          </w:p>
        </w:tc>
        <w:tc>
          <w:tcPr>
            <w:tcW w:w="283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697" w:left="705"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Coorte</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retrospectiva</w:t>
            </w:r>
          </w:p>
        </w:tc>
      </w:tr>
      <w:tr>
        <w:trPr>
          <w:trHeight w:val="373" w:hRule="auto"/>
          <w:jc w:val="left"/>
        </w:trPr>
        <w:tc>
          <w:tcPr>
            <w:tcW w:w="353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580" w:left="588"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TAJARERNMUANG</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et al.</w:t>
            </w:r>
            <w:r>
              <w:rPr>
                <w:rFonts w:ascii="Times New Roman" w:hAnsi="Times New Roman" w:cs="Times New Roman" w:eastAsia="Times New Roman"/>
                <w:color w:val="auto"/>
                <w:spacing w:val="0"/>
                <w:position w:val="0"/>
                <w:sz w:val="17"/>
                <w:shd w:fill="auto" w:val="clear"/>
              </w:rPr>
              <w:t xml:space="preserve">,</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2022</w:t>
            </w:r>
          </w:p>
        </w:tc>
        <w:tc>
          <w:tcPr>
            <w:tcW w:w="194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490" w:left="496"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Tailândia</w:t>
            </w:r>
          </w:p>
        </w:tc>
        <w:tc>
          <w:tcPr>
            <w:tcW w:w="18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651" w:left="662"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Inglês</w:t>
            </w:r>
          </w:p>
        </w:tc>
        <w:tc>
          <w:tcPr>
            <w:tcW w:w="283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694" w:left="705"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Coorte</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prospectiva</w:t>
            </w:r>
          </w:p>
        </w:tc>
      </w:tr>
      <w:tr>
        <w:trPr>
          <w:trHeight w:val="374" w:hRule="auto"/>
          <w:jc w:val="left"/>
        </w:trPr>
        <w:tc>
          <w:tcPr>
            <w:tcW w:w="353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578" w:left="588"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PARWANI</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et al.</w:t>
            </w:r>
            <w:r>
              <w:rPr>
                <w:rFonts w:ascii="Times New Roman" w:hAnsi="Times New Roman" w:cs="Times New Roman" w:eastAsia="Times New Roman"/>
                <w:color w:val="auto"/>
                <w:spacing w:val="0"/>
                <w:position w:val="0"/>
                <w:sz w:val="17"/>
                <w:shd w:fill="auto" w:val="clear"/>
              </w:rPr>
              <w:t xml:space="preserve">,</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2021</w:t>
            </w:r>
          </w:p>
        </w:tc>
        <w:tc>
          <w:tcPr>
            <w:tcW w:w="194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490" w:left="496"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Alemanha</w:t>
            </w:r>
          </w:p>
        </w:tc>
        <w:tc>
          <w:tcPr>
            <w:tcW w:w="18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651" w:left="662"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Inglês</w:t>
            </w:r>
          </w:p>
        </w:tc>
        <w:tc>
          <w:tcPr>
            <w:tcW w:w="283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694" w:left="705"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Coorte</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prospectiva</w:t>
            </w:r>
          </w:p>
        </w:tc>
      </w:tr>
      <w:tr>
        <w:trPr>
          <w:trHeight w:val="373" w:hRule="auto"/>
          <w:jc w:val="left"/>
        </w:trPr>
        <w:tc>
          <w:tcPr>
            <w:tcW w:w="353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580" w:left="588"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BARDAJÍ</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et</w:t>
            </w:r>
            <w:r>
              <w:rPr>
                <w:rFonts w:ascii="Times New Roman" w:hAnsi="Times New Roman" w:cs="Times New Roman" w:eastAsia="Times New Roman"/>
                <w:i/>
                <w:color w:val="auto"/>
                <w:spacing w:val="1"/>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al.</w:t>
            </w:r>
            <w:r>
              <w:rPr>
                <w:rFonts w:ascii="Times New Roman" w:hAnsi="Times New Roman" w:cs="Times New Roman" w:eastAsia="Times New Roman"/>
                <w:color w:val="auto"/>
                <w:spacing w:val="0"/>
                <w:position w:val="0"/>
                <w:sz w:val="17"/>
                <w:shd w:fill="auto" w:val="clear"/>
              </w:rPr>
              <w:t xml:space="preserve">,</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2021</w:t>
            </w:r>
          </w:p>
        </w:tc>
        <w:tc>
          <w:tcPr>
            <w:tcW w:w="194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489" w:left="498"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Espanha</w:t>
            </w:r>
          </w:p>
        </w:tc>
        <w:tc>
          <w:tcPr>
            <w:tcW w:w="18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651" w:left="662"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Inglês</w:t>
            </w:r>
          </w:p>
        </w:tc>
        <w:tc>
          <w:tcPr>
            <w:tcW w:w="283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697" w:left="705"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Coorte</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retrospectiva</w:t>
            </w:r>
          </w:p>
        </w:tc>
      </w:tr>
      <w:tr>
        <w:trPr>
          <w:trHeight w:val="373" w:hRule="auto"/>
          <w:jc w:val="left"/>
        </w:trPr>
        <w:tc>
          <w:tcPr>
            <w:tcW w:w="353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578" w:left="588"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LABBÉ</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et</w:t>
            </w:r>
            <w:r>
              <w:rPr>
                <w:rFonts w:ascii="Times New Roman" w:hAnsi="Times New Roman" w:cs="Times New Roman" w:eastAsia="Times New Roman"/>
                <w:i/>
                <w:color w:val="auto"/>
                <w:spacing w:val="1"/>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al.</w:t>
            </w:r>
            <w:r>
              <w:rPr>
                <w:rFonts w:ascii="Times New Roman" w:hAnsi="Times New Roman" w:cs="Times New Roman" w:eastAsia="Times New Roman"/>
                <w:color w:val="auto"/>
                <w:spacing w:val="0"/>
                <w:position w:val="0"/>
                <w:sz w:val="17"/>
                <w:shd w:fill="auto" w:val="clear"/>
              </w:rPr>
              <w:t xml:space="preserve">,</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2021</w:t>
            </w:r>
          </w:p>
        </w:tc>
        <w:tc>
          <w:tcPr>
            <w:tcW w:w="194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490" w:left="496"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França</w:t>
            </w:r>
          </w:p>
        </w:tc>
        <w:tc>
          <w:tcPr>
            <w:tcW w:w="18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651" w:left="662"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Inglês</w:t>
            </w:r>
          </w:p>
        </w:tc>
        <w:tc>
          <w:tcPr>
            <w:tcW w:w="283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697" w:left="705"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Coorte</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retrospectiva</w:t>
            </w:r>
          </w:p>
        </w:tc>
      </w:tr>
      <w:tr>
        <w:trPr>
          <w:trHeight w:val="374" w:hRule="auto"/>
          <w:jc w:val="left"/>
        </w:trPr>
        <w:tc>
          <w:tcPr>
            <w:tcW w:w="353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580" w:left="588"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DOYEN</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et al.</w:t>
            </w:r>
            <w:r>
              <w:rPr>
                <w:rFonts w:ascii="Times New Roman" w:hAnsi="Times New Roman" w:cs="Times New Roman" w:eastAsia="Times New Roman"/>
                <w:color w:val="auto"/>
                <w:spacing w:val="0"/>
                <w:position w:val="0"/>
                <w:sz w:val="17"/>
                <w:shd w:fill="auto" w:val="clear"/>
              </w:rPr>
              <w:t xml:space="preserve">,</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2021</w:t>
            </w:r>
          </w:p>
        </w:tc>
        <w:tc>
          <w:tcPr>
            <w:tcW w:w="194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490" w:left="496"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França</w:t>
            </w:r>
          </w:p>
        </w:tc>
        <w:tc>
          <w:tcPr>
            <w:tcW w:w="18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651" w:left="662"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Inglês</w:t>
            </w:r>
          </w:p>
        </w:tc>
        <w:tc>
          <w:tcPr>
            <w:tcW w:w="283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695" w:left="705"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Transversal</w:t>
            </w:r>
          </w:p>
        </w:tc>
      </w:tr>
      <w:tr>
        <w:trPr>
          <w:trHeight w:val="374" w:hRule="auto"/>
          <w:jc w:val="left"/>
        </w:trPr>
        <w:tc>
          <w:tcPr>
            <w:tcW w:w="353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1" w:after="0" w:line="240"/>
              <w:ind w:right="578" w:left="588"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COLLARD</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et</w:t>
            </w:r>
            <w:r>
              <w:rPr>
                <w:rFonts w:ascii="Times New Roman" w:hAnsi="Times New Roman" w:cs="Times New Roman" w:eastAsia="Times New Roman"/>
                <w:i/>
                <w:color w:val="auto"/>
                <w:spacing w:val="-2"/>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al.</w:t>
            </w:r>
            <w:r>
              <w:rPr>
                <w:rFonts w:ascii="Times New Roman" w:hAnsi="Times New Roman" w:cs="Times New Roman" w:eastAsia="Times New Roman"/>
                <w:color w:val="auto"/>
                <w:spacing w:val="0"/>
                <w:position w:val="0"/>
                <w:sz w:val="17"/>
                <w:shd w:fill="auto" w:val="clear"/>
              </w:rPr>
              <w:t xml:space="preserve">,</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2021</w:t>
            </w:r>
          </w:p>
        </w:tc>
        <w:tc>
          <w:tcPr>
            <w:tcW w:w="194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1" w:after="0" w:line="240"/>
              <w:ind w:right="490" w:left="498"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Países</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baixos</w:t>
            </w:r>
          </w:p>
        </w:tc>
        <w:tc>
          <w:tcPr>
            <w:tcW w:w="18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1" w:after="0" w:line="240"/>
              <w:ind w:right="651" w:left="662"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Inglês</w:t>
            </w:r>
          </w:p>
        </w:tc>
        <w:tc>
          <w:tcPr>
            <w:tcW w:w="283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1" w:after="0" w:line="240"/>
              <w:ind w:right="694" w:left="705"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Coorte</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prospectiva</w:t>
            </w:r>
          </w:p>
        </w:tc>
      </w:tr>
      <w:tr>
        <w:trPr>
          <w:trHeight w:val="373" w:hRule="auto"/>
          <w:jc w:val="left"/>
        </w:trPr>
        <w:tc>
          <w:tcPr>
            <w:tcW w:w="353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578" w:left="588"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RAAD</w:t>
            </w:r>
            <w:r>
              <w:rPr>
                <w:rFonts w:ascii="Times New Roman" w:hAnsi="Times New Roman" w:cs="Times New Roman" w:eastAsia="Times New Roman"/>
                <w:color w:val="auto"/>
                <w:spacing w:val="-1"/>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et al.</w:t>
            </w:r>
            <w:r>
              <w:rPr>
                <w:rFonts w:ascii="Times New Roman" w:hAnsi="Times New Roman" w:cs="Times New Roman" w:eastAsia="Times New Roman"/>
                <w:color w:val="auto"/>
                <w:spacing w:val="0"/>
                <w:position w:val="0"/>
                <w:sz w:val="17"/>
                <w:shd w:fill="auto" w:val="clear"/>
              </w:rPr>
              <w:t xml:space="preserve">,</w:t>
            </w:r>
            <w:r>
              <w:rPr>
                <w:rFonts w:ascii="Times New Roman" w:hAnsi="Times New Roman" w:cs="Times New Roman" w:eastAsia="Times New Roman"/>
                <w:color w:val="auto"/>
                <w:spacing w:val="-3"/>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2020</w:t>
            </w:r>
          </w:p>
        </w:tc>
        <w:tc>
          <w:tcPr>
            <w:tcW w:w="194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490" w:left="496"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EUA</w:t>
            </w:r>
          </w:p>
        </w:tc>
        <w:tc>
          <w:tcPr>
            <w:tcW w:w="18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651" w:left="662"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Inglês</w:t>
            </w:r>
          </w:p>
        </w:tc>
        <w:tc>
          <w:tcPr>
            <w:tcW w:w="283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697" w:left="705"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Coorte</w:t>
            </w:r>
            <w:r>
              <w:rPr>
                <w:rFonts w:ascii="Times New Roman" w:hAnsi="Times New Roman" w:cs="Times New Roman" w:eastAsia="Times New Roman"/>
                <w:color w:val="auto"/>
                <w:spacing w:val="-4"/>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retrospectiva</w:t>
            </w:r>
          </w:p>
        </w:tc>
      </w:tr>
      <w:tr>
        <w:trPr>
          <w:trHeight w:val="376" w:hRule="auto"/>
          <w:jc w:val="left"/>
        </w:trPr>
        <w:tc>
          <w:tcPr>
            <w:tcW w:w="353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578" w:left="588" w:firstLine="0"/>
              <w:jc w:val="center"/>
              <w:rPr>
                <w:color w:val="auto"/>
                <w:position w:val="0"/>
                <w:shd w:fill="auto" w:val="clear"/>
              </w:rPr>
            </w:pPr>
            <w:r>
              <w:rPr>
                <w:rFonts w:ascii="Times New Roman" w:hAnsi="Times New Roman" w:cs="Times New Roman" w:eastAsia="Times New Roman"/>
                <w:color w:val="auto"/>
                <w:spacing w:val="0"/>
                <w:position w:val="0"/>
                <w:sz w:val="17"/>
                <w:shd w:fill="auto" w:val="clear"/>
              </w:rPr>
              <w:t xml:space="preserve">ZENG</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i/>
                <w:color w:val="auto"/>
                <w:spacing w:val="0"/>
                <w:position w:val="0"/>
                <w:sz w:val="17"/>
                <w:shd w:fill="auto" w:val="clear"/>
              </w:rPr>
              <w:t xml:space="preserve">et al.</w:t>
            </w:r>
            <w:r>
              <w:rPr>
                <w:rFonts w:ascii="Times New Roman" w:hAnsi="Times New Roman" w:cs="Times New Roman" w:eastAsia="Times New Roman"/>
                <w:color w:val="auto"/>
                <w:spacing w:val="0"/>
                <w:position w:val="0"/>
                <w:sz w:val="17"/>
                <w:shd w:fill="auto" w:val="clear"/>
              </w:rPr>
              <w:t xml:space="preserve">,</w:t>
            </w:r>
            <w:r>
              <w:rPr>
                <w:rFonts w:ascii="Times New Roman" w:hAnsi="Times New Roman" w:cs="Times New Roman" w:eastAsia="Times New Roman"/>
                <w:color w:val="auto"/>
                <w:spacing w:val="-2"/>
                <w:position w:val="0"/>
                <w:sz w:val="17"/>
                <w:shd w:fill="auto" w:val="clear"/>
              </w:rPr>
              <w:t xml:space="preserve"> </w:t>
            </w:r>
            <w:r>
              <w:rPr>
                <w:rFonts w:ascii="Times New Roman" w:hAnsi="Times New Roman" w:cs="Times New Roman" w:eastAsia="Times New Roman"/>
                <w:color w:val="auto"/>
                <w:spacing w:val="0"/>
                <w:position w:val="0"/>
                <w:sz w:val="17"/>
                <w:shd w:fill="auto" w:val="clear"/>
              </w:rPr>
              <w:t xml:space="preserve">2020</w:t>
            </w:r>
          </w:p>
        </w:tc>
        <w:tc>
          <w:tcPr>
            <w:tcW w:w="194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490" w:left="496"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China</w:t>
            </w:r>
          </w:p>
        </w:tc>
        <w:tc>
          <w:tcPr>
            <w:tcW w:w="18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651" w:left="662"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Inglês</w:t>
            </w:r>
          </w:p>
        </w:tc>
        <w:tc>
          <w:tcPr>
            <w:tcW w:w="283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0" w:after="0" w:line="240"/>
              <w:ind w:right="695" w:left="705" w:firstLine="0"/>
              <w:jc w:val="center"/>
              <w:rPr>
                <w:color w:val="auto"/>
                <w:spacing w:val="0"/>
                <w:position w:val="0"/>
                <w:shd w:fill="auto" w:val="clear"/>
              </w:rPr>
            </w:pPr>
            <w:r>
              <w:rPr>
                <w:rFonts w:ascii="Times New Roman" w:hAnsi="Times New Roman" w:cs="Times New Roman" w:eastAsia="Times New Roman"/>
                <w:color w:val="auto"/>
                <w:spacing w:val="0"/>
                <w:position w:val="0"/>
                <w:sz w:val="17"/>
                <w:shd w:fill="auto" w:val="clear"/>
              </w:rPr>
              <w:t xml:space="preserve">Transversal</w:t>
            </w:r>
          </w:p>
        </w:tc>
      </w:tr>
    </w:tbl>
    <w:p>
      <w:pPr>
        <w:spacing w:before="118" w:after="0" w:line="240"/>
        <w:ind w:right="1465" w:left="1469"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Fonte:</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Autoria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própria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(2023).</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16" w:after="0" w:line="240"/>
        <w:ind w:right="0" w:left="964"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20" w:after="0" w:line="240"/>
        <w:ind w:right="1465" w:left="1469" w:firstLine="0"/>
        <w:jc w:val="center"/>
        <w:rPr>
          <w:rFonts w:ascii="Times New Roman" w:hAnsi="Times New Roman" w:cs="Times New Roman" w:eastAsia="Times New Roman"/>
          <w:color w:val="auto"/>
          <w:spacing w:val="0"/>
          <w:position w:val="0"/>
          <w:sz w:val="18"/>
          <w:shd w:fill="auto" w:val="clear"/>
        </w:rPr>
      </w:pPr>
    </w:p>
    <w:p>
      <w:pPr>
        <w:spacing w:before="10" w:after="0" w:line="240"/>
        <w:ind w:right="0" w:left="0" w:firstLine="0"/>
        <w:jc w:val="left"/>
        <w:rPr>
          <w:rFonts w:ascii="Times New Roman" w:hAnsi="Times New Roman" w:cs="Times New Roman" w:eastAsia="Times New Roman"/>
          <w:color w:val="auto"/>
          <w:spacing w:val="0"/>
          <w:position w:val="0"/>
          <w:sz w:val="29"/>
          <w:shd w:fill="auto" w:val="clear"/>
        </w:rPr>
      </w:pPr>
    </w:p>
    <w:p>
      <w:pPr>
        <w:numPr>
          <w:ilvl w:val="0"/>
          <w:numId w:val="141"/>
        </w:numPr>
        <w:tabs>
          <w:tab w:val="left" w:pos="352" w:leader="none"/>
        </w:tabs>
        <w:spacing w:before="0"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Discussão</w:t>
      </w:r>
    </w:p>
    <w:p>
      <w:pPr>
        <w:spacing w:before="139" w:after="0" w:line="360"/>
        <w:ind w:right="106"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Comparado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internados,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diagnosticados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COVID-19</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necessitaram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internação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 Unidade de Terapia Intensiva apresentaram um risco substancialmente maior de eventos cardíacos durante o período 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COVID-19 (Labbé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Wiemken</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2023).</w:t>
      </w:r>
    </w:p>
    <w:p>
      <w:pPr>
        <w:spacing w:before="1" w:after="0" w:line="360"/>
        <w:ind w:right="10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aumento do risco de eventos cardiovasculares após infecções agudas, incluindo a COVID-19, não é único. Vários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associaram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infecções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bacteremia,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influenza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pneumonia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agudos.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exemplo,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sobreviventes de sepse tiveram um aumento de 22% a 65% no risco de eventos cardiovasculares por até 5 anos após a alta (OU</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7"/>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hospitalização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pneumonia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cardiovascular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alta (Corrales-Medina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 2015).</w:t>
      </w:r>
    </w:p>
    <w:p>
      <w:pPr>
        <w:spacing w:before="0" w:after="0" w:line="360"/>
        <w:ind w:right="10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contexto,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mecanismos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biológicos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subjacentes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elevado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cardiovasculares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infecção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SARS-CoV-2 permanecem incertos. É possível que o vírus infecte miócitos cardíacos por meio do receptor enzima conversora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angiotensina-2 (ECA-2) e pode persistir, levando a inflamação crônica e subsequente dano tecidual ou fibrose. Outro fator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 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autoimune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antígenos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cardíacos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resultam em danos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tecidos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(Wiemken</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2023).</w:t>
      </w:r>
    </w:p>
    <w:p>
      <w:pPr>
        <w:spacing w:before="0" w:after="0" w:line="360"/>
        <w:ind w:right="109"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Existem outros possíveis mecanismos de dano cardiovascular, que incluem a toxicidade viral direta, causando danos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cardíacos a longo prazo, e a ocorrência de trombose. Ambos esses mecanismos podem resultar em riscos imediatos ou tardios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a saúde cardíaca (Raman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2022). O estudo de Bardají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(2021) evidenciou um aumento nos níveis de Troponina I</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tanto em pacientes com COVID-19 positivo quanto negativo. A ocorrência de lesão miocárdica, indicada pelo aumento 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Troponina I mostrou-se um preditor significativo de mortalidade. A chance de sobrevivência de pacientes com lesões cardíacas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 reduzida significativamente. O estudo de Raad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(2020) apontou dados semelhantes pois pacientes com níveis elevados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Troponina I demonstraram uma probabilidade aumentada de enfrentar complicações significativas durante a internação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hospitalar, incluindo a necessidade de serem admitidos na Unidade de Terapia Intensiva, receber ventilação mecânica e o risco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óbito.</w:t>
      </w:r>
    </w:p>
    <w:p>
      <w:pPr>
        <w:spacing w:before="1"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Existem diversos mecanismos potenciais que explicam a lesão miocárdica relacionada ao COVID-19 como: a 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vírus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miocárdio,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isquemia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microvascular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coronariana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SARS-CoV-2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ECA-2,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cardiomiopatia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estresse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taquicardia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induzida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estimulação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adrenérgica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(Chapman</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6"/>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Troponina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há</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evidências que a elevação dos níveis de Troponina T também age como um importante preditor de mortalidade intra-hospitalar,</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há possibilidade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vírus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injúria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miocárdica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w:t>
      </w:r>
    </w:p>
    <w:p>
      <w:pPr>
        <w:spacing w:before="0" w:after="0" w:line="357"/>
        <w:ind w:right="11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 estudo conduzido no Rio de Janeiro teve como objetivo avaliar o valor prognóstico da troponina T em pacientes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hospitalizados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COVID-19.</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indicaram</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troponina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marcador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mortalidade intra-hospitalar e da necessidade de ventilação mecânica invasiva (Almeida Junior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2020). Além disso, Lippi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(2020)</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revelaram em sua pesquisa que aumentos significativos da troponina T, indicativos de lesão miocárdica, foram observados 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aproximadamente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COVID-19, 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frequentes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doença.</w:t>
      </w:r>
    </w:p>
    <w:p>
      <w:pPr>
        <w:spacing w:before="2" w:after="0" w:line="360"/>
        <w:ind w:right="108"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Collard</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8"/>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i/>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apontou</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presença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cardiovasculares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pré-existentes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significativo para a mortalidade em pacientes hospitalizados em UTI devido à COVID-19. Pacientes com diabetes, hipertensão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dislipidemia apresentaram maior risco de morte. Esta evidência é reforçada pelos achados desta revisão onde 21% da amostra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 de pacientes apresentavam HAS, enquanto 11% tinham diabetes. Segundo uma revisão realizada na Suiça, estas duas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comorbidades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COVID-19 (Fang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w:t>
      </w:r>
    </w:p>
    <w:p>
      <w:pPr>
        <w:spacing w:before="0"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explicação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mortalidade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aqueles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COVID-19</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apresentam altos níveis de glicose no plasma sanguíneo durante o jejum, indicando um possível envolvimento direto da doença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na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disfunção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metabolismo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glicose.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diabetes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há</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baixo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nível</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inflamação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metabolismo,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COVID-</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grau</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inflamação,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evidenciado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aumento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marcadores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proteína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C-reativa,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dímero-D</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ferritina-</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 (Feitoza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w:t>
      </w:r>
    </w:p>
    <w:p>
      <w:pPr>
        <w:spacing w:before="0" w:after="0" w:line="360"/>
        <w:ind w:right="110"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tocante a hipertensão, pode-se atribuir à ECA-2 que é receptora do SARS-CoV-2 e essencial para entrada viral.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ressalta-se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hipertensão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diabetes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anormalidades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comorbidades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associadas,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níveis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triglicérides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bilirrubina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p>
    <w:p>
      <w:pPr>
        <w:spacing w:before="0" w:after="0" w:line="360"/>
        <w:ind w:right="112"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revisados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idade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corrobora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revisão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escopo que identificou média de idade superior a 60 anos. O envelhecimento é um importante fator de risco associado 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COVID-19. Este fato pode ser explicado pelo acúmulo de dano oxidativo devido ao processo de envelhecimento, juntamente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um sistema de defesa antioxidante comprometido que pode levar a um desequilíbrio, resultando em um aumento das espécies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reativas de oxigênio. Como consequência, o estresse oxidativo pode amplificar as respostas celulares da inflamação, além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afetar 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 imunológico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adaptativo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(Ribeiro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Uehara,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p>
    <w:p>
      <w:pPr>
        <w:spacing w:before="1"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estudo de Parwani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(2021) evidenciou a presença de arritmias em cerca de 50 pacientes de sua amostra de 113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indivíduos.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 autores relataram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 esses pacientes foram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associados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 severidade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COVID-19, refletindo 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 de um maior percentual de intubação. López e colaboradores (2020) explicam que a infecção pelo SARS-CoV-2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afeta várias células do corpo e desencadeia uma resposta inflamatória sistêmica que resulta em síndrome do desconforto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respiratório agudo (SDRA) e uma liberação grande de citocinas. Estas características contribuem para danos cardíacos como as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arritmias cardíacas entre outras (miocardite, isquemia etc.). A diminuição da oferta de oxigênio para o miocárdio devido 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hipoxemia da SDRA, juntamente com o aumento do consumo de oxigênio causado pelo aumento do metabolismo basal e 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atividade simpática, contribui para a isquemia miocárdica. Em pacientes com COVID-19, a infecção em si só pode causar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arritmias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cardíacas, mesmo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ausência de doença cardíaca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pré-existente.</w:t>
      </w:r>
    </w:p>
    <w:p>
      <w:pPr>
        <w:spacing w:before="0" w:after="0" w:line="360"/>
        <w:ind w:right="110"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Além das arritmias cardíacas, o estudo de Tajarernmuang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(2022) demonstrou que a incidência de bradicardia nos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 severos e críticos de COVID-19 foi maior e esteve associado a piores desfechos quando comparados àqueles 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bradicardia.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explicação para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fenômeno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possíveis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mecanismos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causadores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arritmia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explicar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bradicardia.</w:t>
      </w:r>
    </w:p>
    <w:p>
      <w:pPr>
        <w:spacing w:before="0" w:after="0" w:line="360"/>
        <w:ind w:right="10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principal motivo e um dos mais aceitos é o dano cardíaco causado pela invasão direta do vírus nas células nodais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sinoatriais,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onde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receptores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ECA-2</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localizados.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apesar</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incertezas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bradicardia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arritmias</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são importantes preditores de piores desfechos para a COVID-19, assim mais estudos devem ser realizados para melhor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compreender 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fisiopatologia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(López</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 2020).</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156"/>
        </w:numPr>
        <w:tabs>
          <w:tab w:val="left" w:pos="352" w:leader="none"/>
        </w:tabs>
        <w:spacing w:before="123"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Considerações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Finais</w:t>
      </w:r>
    </w:p>
    <w:p>
      <w:pPr>
        <w:spacing w:before="141" w:after="0" w:line="360"/>
        <w:ind w:right="106"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Esta revisão foi capaz sintetizar evidências sobre os desfechos cardiológicos em pacientes com COVID-19 internados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UTI. Dentre os principais achados pode-se destacar que pacientes com COVID-19 que necessitaram de internação em UTI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apresentaram maiores riscos de eventos cardíacos no período pós-COVID-19. A Troponina I e T foram considerados importantes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preditores de desfechos desfavoráveis para os pacientes. Os achados apontaram que altos níveis de troponina aumentam 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chances de enfrentar complicações durante a internação hospitalar, de ser admitido em UTI e de morte. Comorbidades prévias,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 hipertensão e diabetes, foram também consideradas fatores de risco para mortalidade em UTI. Além disso, a presença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arritmias, bradicardia, miocardite, isquemia foram associadas a piores desfechos nos pacientes com COVID-19. Sugerem-se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realização de estudos que permitam avaliar, de forma mais aprofundada e específica, a influência da doença em desfechos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cardíacos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desfavoráveis.</w:t>
      </w:r>
    </w:p>
    <w:p>
      <w:pPr>
        <w:spacing w:before="9" w:after="0" w:line="240"/>
        <w:ind w:right="0" w:left="0" w:firstLine="0"/>
        <w:jc w:val="left"/>
        <w:rPr>
          <w:rFonts w:ascii="Times New Roman" w:hAnsi="Times New Roman" w:cs="Times New Roman" w:eastAsia="Times New Roman"/>
          <w:color w:val="auto"/>
          <w:spacing w:val="0"/>
          <w:position w:val="0"/>
          <w:sz w:val="29"/>
          <w:shd w:fill="auto" w:val="clear"/>
        </w:rPr>
      </w:pPr>
    </w:p>
    <w:p>
      <w:pPr>
        <w:spacing w:before="0" w:after="0" w:line="240"/>
        <w:ind w:right="0" w:left="112"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Referências</w:t>
      </w:r>
    </w:p>
    <w:p>
      <w:pPr>
        <w:spacing w:before="140" w:after="0" w:line="240"/>
        <w:ind w:right="103"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Almeida Junior, G. L. G. de, Braga, F., Jorge, J. K., Nobre, G. F., Kalichsztein, M., Faria, P. de M. P. de, Bussade, B., Penna, G. L., Alves, V. O., Pereira, 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 Gorgulho, P. de C., Faria, M. R. dos S. E. de, Drumond, L. E., Carpinete, F. B. S., Neno, A. C. L. B., &amp; Neno, A. C. de A. (2020). Valor Prognóstico da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Troponina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Peptídeo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Natriurético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Tipo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Pacientes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Internados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Arquivos</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Brasileiros</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Cardiologia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115</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660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666.</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4">
        <w:r>
          <w:rPr>
            <w:rFonts w:ascii="Times New Roman" w:hAnsi="Times New Roman" w:cs="Times New Roman" w:eastAsia="Times New Roman"/>
            <w:color w:val="0000FF"/>
            <w:spacing w:val="0"/>
            <w:position w:val="0"/>
            <w:sz w:val="16"/>
            <w:u w:val="single"/>
            <w:shd w:fill="auto" w:val="clear"/>
          </w:rPr>
          <w:t xml:space="preserve">https://doi.org/10.36660/abc.20200385</w:t>
        </w:r>
      </w:hyperlink>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 w:after="0" w:line="240"/>
        <w:ind w:right="106"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Arentz, M., Yim, E., Klaff, L., Lokhandwala, S., Riedo, F. X., Chong, M., &amp; Lee, M. (2020). Characteristics and Outcomes of 21 Critically Ill Patients With</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 in</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Washington</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State.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JAMA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323</w:t>
      </w:r>
      <w:r>
        <w:rPr>
          <w:rFonts w:ascii="Times New Roman" w:hAnsi="Times New Roman" w:cs="Times New Roman" w:eastAsia="Times New Roman"/>
          <w:color w:val="auto"/>
          <w:spacing w:val="0"/>
          <w:position w:val="0"/>
          <w:sz w:val="16"/>
          <w:shd w:fill="auto" w:val="clear"/>
        </w:rPr>
        <w:t xml:space="preserve">(16),</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1612</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1614.</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5">
        <w:r>
          <w:rPr>
            <w:rFonts w:ascii="Times New Roman" w:hAnsi="Times New Roman" w:cs="Times New Roman" w:eastAsia="Times New Roman"/>
            <w:color w:val="0000FF"/>
            <w:spacing w:val="0"/>
            <w:position w:val="0"/>
            <w:sz w:val="16"/>
            <w:u w:val="single"/>
            <w:shd w:fill="auto" w:val="clear"/>
          </w:rPr>
          <w:t xml:space="preserve">https://doi.org/10.1001/jama.2020.4326</w:t>
        </w:r>
      </w:hyperlink>
    </w:p>
    <w:p>
      <w:pPr>
        <w:spacing w:before="11"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6"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Bandyopadhyay, D., Akhtar, T., Hajra, A., Gupta, M., Das, A., Chakraborty, S., Pal, I., Patel, N., Amgai, B., Ghosh, R. K., Fonarow, G. C., Lavie, C. J., &amp;</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1"/>
          <w:position w:val="0"/>
          <w:sz w:val="16"/>
          <w:shd w:fill="auto" w:val="clear"/>
        </w:rPr>
        <w:t xml:space="preserve">Naidu,</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1"/>
          <w:position w:val="0"/>
          <w:sz w:val="16"/>
          <w:shd w:fill="auto" w:val="clear"/>
        </w:rPr>
        <w:t xml:space="preserve">S.</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1"/>
          <w:position w:val="0"/>
          <w:sz w:val="16"/>
          <w:shd w:fill="auto" w:val="clear"/>
        </w:rPr>
        <w:t xml:space="preserve">S.</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1"/>
          <w:position w:val="0"/>
          <w:sz w:val="16"/>
          <w:shd w:fill="auto" w:val="clear"/>
        </w:rPr>
        <w:t xml:space="preserve">(2020).</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1"/>
          <w:position w:val="0"/>
          <w:sz w:val="16"/>
          <w:shd w:fill="auto" w:val="clear"/>
        </w:rPr>
        <w:t xml:space="preserve">COVID-19</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1"/>
          <w:position w:val="0"/>
          <w:sz w:val="16"/>
          <w:shd w:fill="auto" w:val="clear"/>
        </w:rPr>
        <w:t xml:space="preserve">Pandemic:</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1"/>
          <w:position w:val="0"/>
          <w:sz w:val="16"/>
          <w:shd w:fill="auto" w:val="clear"/>
        </w:rPr>
        <w:t xml:space="preserve">Cardiovascular</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1"/>
          <w:position w:val="0"/>
          <w:sz w:val="16"/>
          <w:shd w:fill="auto" w:val="clear"/>
        </w:rPr>
        <w:t xml:space="preserve">Complications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Future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Implications.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American</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Journal</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Cardiovascular</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Drugs</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(4),</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311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324.</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6">
        <w:r>
          <w:rPr>
            <w:rFonts w:ascii="Times New Roman" w:hAnsi="Times New Roman" w:cs="Times New Roman" w:eastAsia="Times New Roman"/>
            <w:color w:val="0000FF"/>
            <w:spacing w:val="0"/>
            <w:position w:val="0"/>
            <w:sz w:val="16"/>
            <w:u w:val="single"/>
            <w:shd w:fill="auto" w:val="clear"/>
          </w:rPr>
          <w:t xml:space="preserve">https://doi.org/10.1007/s40256-020-00420-2</w:t>
        </w:r>
      </w:hyperlink>
    </w:p>
    <w:p>
      <w:pPr>
        <w:spacing w:before="10"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7"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Bardají, A., Carrasquer, A., Sánchez-Giménez, R., Lal-Trehan, N., del-Moral-Ronda, V., Peiró, Ó. M., Bonet, G., Castilho, G., Fort-Gallifa, I., Benavent, C.,</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Recio, G., Gutiérrez, C., Villavicencio, C., Auguet, T., &amp; Boqué, C. (2021). Prognostic implications of myocardial injury in patients with and without COVID-</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19</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infection</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treated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university</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Revista</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Española</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5"/>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Cardiología</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(English</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Edition)</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74</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24</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32.</w:t>
      </w:r>
      <w:r>
        <w:rPr>
          <w:rFonts w:ascii="Times New Roman" w:hAnsi="Times New Roman" w:cs="Times New Roman" w:eastAsia="Times New Roman"/>
          <w:color w:val="auto"/>
          <w:spacing w:val="-3"/>
          <w:position w:val="0"/>
          <w:sz w:val="16"/>
          <w:shd w:fill="auto" w:val="clear"/>
        </w:rPr>
        <w:t xml:space="preserve"> </w:t>
      </w:r>
      <w:hyperlink xmlns:r="http://schemas.openxmlformats.org/officeDocument/2006/relationships" r:id="docRId7">
        <w:r>
          <w:rPr>
            <w:rFonts w:ascii="Times New Roman" w:hAnsi="Times New Roman" w:cs="Times New Roman" w:eastAsia="Times New Roman"/>
            <w:color w:val="0000FF"/>
            <w:spacing w:val="0"/>
            <w:position w:val="0"/>
            <w:sz w:val="16"/>
            <w:u w:val="single"/>
            <w:shd w:fill="auto" w:val="clear"/>
          </w:rPr>
          <w:t xml:space="preserve">https://doi.org/10.1016/j.rec.2020.08.027</w:t>
        </w:r>
      </w:hyperlink>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1"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Chapman, A. R., Bularga, A., &amp; Mills, N. L. (2020). High-Sensitivity Cardiac Troponin Can Be an Ally in the Fight Against COVID-19. </w:t>
      </w:r>
      <w:r>
        <w:rPr>
          <w:rFonts w:ascii="Times New Roman" w:hAnsi="Times New Roman" w:cs="Times New Roman" w:eastAsia="Times New Roman"/>
          <w:i/>
          <w:color w:val="auto"/>
          <w:spacing w:val="0"/>
          <w:position w:val="0"/>
          <w:sz w:val="16"/>
          <w:shd w:fill="auto" w:val="clear"/>
        </w:rPr>
        <w:t xml:space="preserve">Circulation</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141</w:t>
      </w:r>
      <w:r>
        <w:rPr>
          <w:rFonts w:ascii="Times New Roman" w:hAnsi="Times New Roman" w:cs="Times New Roman" w:eastAsia="Times New Roman"/>
          <w:color w:val="auto"/>
          <w:spacing w:val="0"/>
          <w:position w:val="0"/>
          <w:sz w:val="16"/>
          <w:shd w:fill="auto" w:val="clear"/>
        </w:rPr>
        <w:t xml:space="preserve">(22),</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1733</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1735.</w:t>
      </w:r>
      <w:r>
        <w:rPr>
          <w:rFonts w:ascii="Times New Roman" w:hAnsi="Times New Roman" w:cs="Times New Roman" w:eastAsia="Times New Roman"/>
          <w:color w:val="auto"/>
          <w:spacing w:val="-2"/>
          <w:position w:val="0"/>
          <w:sz w:val="16"/>
          <w:shd w:fill="auto" w:val="clear"/>
        </w:rPr>
        <w:t xml:space="preserve"> </w:t>
      </w:r>
      <w:hyperlink xmlns:r="http://schemas.openxmlformats.org/officeDocument/2006/relationships" r:id="docRId8">
        <w:r>
          <w:rPr>
            <w:rFonts w:ascii="Times New Roman" w:hAnsi="Times New Roman" w:cs="Times New Roman" w:eastAsia="Times New Roman"/>
            <w:color w:val="0000FF"/>
            <w:spacing w:val="0"/>
            <w:position w:val="0"/>
            <w:sz w:val="16"/>
            <w:u w:val="single"/>
            <w:shd w:fill="auto" w:val="clear"/>
          </w:rPr>
          <w:t xml:space="preserve">https://doi.org/10.1161/CIRCULATIONAHA.120.047008</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Collard,</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Nurmohamed,</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Kaiser,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Y.,</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Reeskamp,</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Dormans,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Moeniralam,</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Simsek,</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Douma,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Eerens,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Reidinga,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Elbers,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 Beudel, M., Vogt, L., Stroes, E. S. G., &amp; Born, B.-J. H. van den. (2021). Cardiovascular risk factors and COVID-19 outcomes in hospitalised patients: 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prospective cohort study.</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BMJ</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Open</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11</w:t>
      </w: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e045482. </w:t>
      </w:r>
      <w:hyperlink xmlns:r="http://schemas.openxmlformats.org/officeDocument/2006/relationships" r:id="docRId9">
        <w:r>
          <w:rPr>
            <w:rFonts w:ascii="Times New Roman" w:hAnsi="Times New Roman" w:cs="Times New Roman" w:eastAsia="Times New Roman"/>
            <w:color w:val="0000FF"/>
            <w:spacing w:val="0"/>
            <w:position w:val="0"/>
            <w:sz w:val="16"/>
            <w:u w:val="single"/>
            <w:shd w:fill="auto" w:val="clear"/>
          </w:rPr>
          <w:t xml:space="preserve">https://doi.org/10.1136/bmjopen-2020-045482</w:t>
        </w:r>
      </w:hyperlink>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3"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Corrales-Medina,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Alvarez,</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K.</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 Weissfeld,</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Angus,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Chirinos,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Chang,</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C.-C.</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Newman,</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Loehr,</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Folsom,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Elkind,</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Lyles,</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Kronmal,</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Yende,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(2015).</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Association</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Between</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Hospitalization</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Pneumonia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Subsequent</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Risk</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of</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Cardiovascular</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Disease.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JAMA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313</w:t>
      </w: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264</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274.</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10">
        <w:r>
          <w:rPr>
            <w:rFonts w:ascii="Times New Roman" w:hAnsi="Times New Roman" w:cs="Times New Roman" w:eastAsia="Times New Roman"/>
            <w:color w:val="0000FF"/>
            <w:spacing w:val="0"/>
            <w:position w:val="0"/>
            <w:sz w:val="16"/>
            <w:u w:val="single"/>
            <w:shd w:fill="auto" w:val="clear"/>
          </w:rPr>
          <w:t xml:space="preserve">https://doi.org/10.1001/jama.2014.18229</w:t>
        </w:r>
      </w:hyperlink>
    </w:p>
    <w:p>
      <w:pPr>
        <w:spacing w:before="10"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6"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Deng, Y., Xie, W., Liu, T., Wang, S., Wang, M., Zan, Y., Meng, X., Deng, Y., Xiong, H., &amp; Fu, X. (2021). Associação da Hipertensão com a Gravidade e 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Mortalidade de Pacientes Hospitalizados com COVID-19 em Wuhan, China: Estudo Unicêntrico e Retrospectivo. </w:t>
      </w:r>
      <w:r>
        <w:rPr>
          <w:rFonts w:ascii="Times New Roman" w:hAnsi="Times New Roman" w:cs="Times New Roman" w:eastAsia="Times New Roman"/>
          <w:i/>
          <w:color w:val="auto"/>
          <w:spacing w:val="0"/>
          <w:position w:val="0"/>
          <w:sz w:val="16"/>
          <w:shd w:fill="auto" w:val="clear"/>
        </w:rPr>
        <w:t xml:space="preserve">Arquivos Brasileiros de Cardiologia</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117</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911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921.</w:t>
      </w:r>
      <w:r>
        <w:rPr>
          <w:rFonts w:ascii="Times New Roman" w:hAnsi="Times New Roman" w:cs="Times New Roman" w:eastAsia="Times New Roman"/>
          <w:color w:val="auto"/>
          <w:spacing w:val="-2"/>
          <w:position w:val="0"/>
          <w:sz w:val="16"/>
          <w:shd w:fill="auto" w:val="clear"/>
        </w:rPr>
        <w:t xml:space="preserve"> </w:t>
      </w:r>
      <w:hyperlink xmlns:r="http://schemas.openxmlformats.org/officeDocument/2006/relationships" r:id="docRId11">
        <w:r>
          <w:rPr>
            <w:rFonts w:ascii="Times New Roman" w:hAnsi="Times New Roman" w:cs="Times New Roman" w:eastAsia="Times New Roman"/>
            <w:color w:val="0000FF"/>
            <w:spacing w:val="0"/>
            <w:position w:val="0"/>
            <w:sz w:val="16"/>
            <w:u w:val="single"/>
            <w:shd w:fill="auto" w:val="clear"/>
          </w:rPr>
          <w:t xml:space="preserve">https://doi.org/10.36660/abc.20200733</w:t>
        </w:r>
      </w:hyperlink>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Doyen, D., Dupland, P., Morand, L., Fourrier, E., Saccheri, C., Buscot, M., Hyvernat, H., Ferrari, E., Bernardin, G., Cariou, A., Mira, J.-P., Jamme, 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Dellamonica, J., &amp; Jozwiak, M. (2021). Characteristics of Cardiac Injury in Critically Ill Patients with Coronavirus Disease 2019. </w:t>
      </w:r>
      <w:r>
        <w:rPr>
          <w:rFonts w:ascii="Times New Roman" w:hAnsi="Times New Roman" w:cs="Times New Roman" w:eastAsia="Times New Roman"/>
          <w:i/>
          <w:color w:val="auto"/>
          <w:spacing w:val="0"/>
          <w:position w:val="0"/>
          <w:sz w:val="16"/>
          <w:shd w:fill="auto" w:val="clear"/>
        </w:rPr>
        <w:t xml:space="preserve">Chest</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159</w:t>
      </w:r>
      <w:r>
        <w:rPr>
          <w:rFonts w:ascii="Times New Roman" w:hAnsi="Times New Roman" w:cs="Times New Roman" w:eastAsia="Times New Roman"/>
          <w:color w:val="auto"/>
          <w:spacing w:val="0"/>
          <w:position w:val="0"/>
          <w:sz w:val="16"/>
          <w:shd w:fill="auto" w:val="clear"/>
        </w:rPr>
        <w:t xml:space="preserve">(5), 1974</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1985.</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12">
        <w:r>
          <w:rPr>
            <w:rFonts w:ascii="Times New Roman" w:hAnsi="Times New Roman" w:cs="Times New Roman" w:eastAsia="Times New Roman"/>
            <w:color w:val="0000FF"/>
            <w:spacing w:val="0"/>
            <w:position w:val="0"/>
            <w:sz w:val="16"/>
            <w:u w:val="single"/>
            <w:shd w:fill="auto" w:val="clear"/>
          </w:rPr>
          <w:t xml:space="preserve">https://doi.org/10.1016/j.chest.2020.10.056</w:t>
        </w:r>
      </w:hyperlink>
    </w:p>
    <w:p>
      <w:pPr>
        <w:spacing w:before="10"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1"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Fang, L., Karakiulakis, G., &amp; Roth, M. (2020). Are patients with hypertension and diabetes mellitus at increased risk for COVID-19 infection? </w:t>
      </w:r>
      <w:r>
        <w:rPr>
          <w:rFonts w:ascii="Times New Roman" w:hAnsi="Times New Roman" w:cs="Times New Roman" w:eastAsia="Times New Roman"/>
          <w:i/>
          <w:color w:val="auto"/>
          <w:spacing w:val="0"/>
          <w:position w:val="0"/>
          <w:sz w:val="16"/>
          <w:shd w:fill="auto" w:val="clear"/>
        </w:rPr>
        <w:t xml:space="preserve">The Lancet</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Respiratory</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Medicine</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8</w:t>
      </w:r>
      <w:r>
        <w:rPr>
          <w:rFonts w:ascii="Times New Roman" w:hAnsi="Times New Roman" w:cs="Times New Roman" w:eastAsia="Times New Roman"/>
          <w:color w:val="auto"/>
          <w:spacing w:val="0"/>
          <w:position w:val="0"/>
          <w:sz w:val="16"/>
          <w:shd w:fill="auto" w:val="clear"/>
        </w:rPr>
        <w:t xml:space="preserve">(4),</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e21.</w:t>
      </w:r>
      <w:r>
        <w:rPr>
          <w:rFonts w:ascii="Times New Roman" w:hAnsi="Times New Roman" w:cs="Times New Roman" w:eastAsia="Times New Roman"/>
          <w:color w:val="auto"/>
          <w:spacing w:val="-2"/>
          <w:position w:val="0"/>
          <w:sz w:val="16"/>
          <w:shd w:fill="auto" w:val="clear"/>
        </w:rPr>
        <w:t xml:space="preserve"> </w:t>
      </w:r>
      <w:hyperlink xmlns:r="http://schemas.openxmlformats.org/officeDocument/2006/relationships" r:id="docRId13">
        <w:r>
          <w:rPr>
            <w:rFonts w:ascii="Times New Roman" w:hAnsi="Times New Roman" w:cs="Times New Roman" w:eastAsia="Times New Roman"/>
            <w:color w:val="0000FF"/>
            <w:spacing w:val="0"/>
            <w:position w:val="0"/>
            <w:sz w:val="16"/>
            <w:u w:val="single"/>
            <w:shd w:fill="auto" w:val="clear"/>
          </w:rPr>
          <w:t xml:space="preserve">https://doi.org/10.1016/S2213-2600(20)30116-8</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7"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Feitoza, T. M. O., Chaves, A. M., Muniz, G. T. S., Cruz, M. C. C. da, &amp; Junior, I. de F. C. (2020). Comorbidades e COVID-19. </w:t>
      </w:r>
      <w:r>
        <w:rPr>
          <w:rFonts w:ascii="Times New Roman" w:hAnsi="Times New Roman" w:cs="Times New Roman" w:eastAsia="Times New Roman"/>
          <w:i/>
          <w:color w:val="auto"/>
          <w:spacing w:val="0"/>
          <w:position w:val="0"/>
          <w:sz w:val="16"/>
          <w:shd w:fill="auto" w:val="clear"/>
        </w:rPr>
        <w:t xml:space="preserve">Revista Interfaces: Saúde,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Humanas</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Tecnologia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8</w:t>
      </w: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711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723.</w:t>
      </w:r>
      <w:r>
        <w:rPr>
          <w:rFonts w:ascii="Times New Roman" w:hAnsi="Times New Roman" w:cs="Times New Roman" w:eastAsia="Times New Roman"/>
          <w:color w:val="auto"/>
          <w:spacing w:val="-2"/>
          <w:position w:val="0"/>
          <w:sz w:val="16"/>
          <w:shd w:fill="auto" w:val="clear"/>
        </w:rPr>
        <w:t xml:space="preserve"> </w:t>
      </w:r>
      <w:hyperlink xmlns:r="http://schemas.openxmlformats.org/officeDocument/2006/relationships" r:id="docRId14">
        <w:r>
          <w:rPr>
            <w:rFonts w:ascii="Times New Roman" w:hAnsi="Times New Roman" w:cs="Times New Roman" w:eastAsia="Times New Roman"/>
            <w:color w:val="0000FF"/>
            <w:spacing w:val="0"/>
            <w:position w:val="0"/>
            <w:sz w:val="16"/>
            <w:u w:val="single"/>
            <w:shd w:fill="auto" w:val="clear"/>
          </w:rPr>
          <w:t xml:space="preserve">https://doi.org/10.16891/800</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Hessami,</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Shamshirian,</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Heydari,</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K.,</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Pourali,</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Alizadeh-Navaei,</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Moosazadeh,</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Abrotan,</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Shojaie,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Sedighi,</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Shamshirian,</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Rezaei,</w:t>
      </w:r>
    </w:p>
    <w:p>
      <w:pPr>
        <w:spacing w:before="1"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N.</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Cardiovascular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diseases burden</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Systematic</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review</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meta-analysis.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The</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American</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Journal</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Emergency</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Medicine</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46</w:t>
      </w:r>
      <w:r>
        <w:rPr>
          <w:rFonts w:ascii="Times New Roman" w:hAnsi="Times New Roman" w:cs="Times New Roman" w:eastAsia="Times New Roman"/>
          <w:color w:val="auto"/>
          <w:spacing w:val="0"/>
          <w:position w:val="0"/>
          <w:sz w:val="16"/>
          <w:shd w:fill="auto" w:val="clear"/>
        </w:rPr>
        <w:t xml:space="preserve">, 382</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391.</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15">
        <w:r>
          <w:rPr>
            <w:rFonts w:ascii="Times New Roman" w:hAnsi="Times New Roman" w:cs="Times New Roman" w:eastAsia="Times New Roman"/>
            <w:color w:val="0000FF"/>
            <w:spacing w:val="0"/>
            <w:position w:val="0"/>
            <w:sz w:val="16"/>
            <w:u w:val="single"/>
            <w:shd w:fill="auto" w:val="clear"/>
          </w:rPr>
          <w:t xml:space="preserve">https://doi.org/10.1016/j.ajem.2020.10.022</w:t>
        </w:r>
      </w:hyperlink>
    </w:p>
    <w:p>
      <w:pPr>
        <w:spacing w:before="11"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Huang,</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 Wang,</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Y.,</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Li, X.,</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Ren, 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Zhao,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Hu,</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Y.,</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Zhang,</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 Fan,</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Xu, J.,</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Gu, X.,</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Cheng,</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Z.,</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Yu,</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 Xia,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 Wei,</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Y.,</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Wu, W., Xie,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X., Yin,</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 Li, H.,</w:t>
      </w:r>
    </w:p>
    <w:p>
      <w:pPr>
        <w:spacing w:before="1" w:after="0" w:line="240"/>
        <w:ind w:right="106"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Liu, M., … Cao, B. (2020). Clinical features of patients infected with 2019 novel coronavirus in Wuhan, China.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The Lancet</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395</w:t>
      </w:r>
      <w:r>
        <w:rPr>
          <w:rFonts w:ascii="Times New Roman" w:hAnsi="Times New Roman" w:cs="Times New Roman" w:eastAsia="Times New Roman"/>
          <w:color w:val="auto"/>
          <w:spacing w:val="0"/>
          <w:position w:val="0"/>
          <w:sz w:val="16"/>
          <w:shd w:fill="auto" w:val="clear"/>
        </w:rPr>
        <w:t xml:space="preserve">(10223), 497</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506.</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16">
        <w:r>
          <w:rPr>
            <w:rFonts w:ascii="Times New Roman" w:hAnsi="Times New Roman" w:cs="Times New Roman" w:eastAsia="Times New Roman"/>
            <w:color w:val="0000FF"/>
            <w:spacing w:val="0"/>
            <w:position w:val="0"/>
            <w:sz w:val="16"/>
            <w:u w:val="single"/>
            <w:shd w:fill="auto" w:val="clear"/>
          </w:rPr>
          <w:t xml:space="preserve">https://doi.org/10.1016/S0140-6736(20)30183-5</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1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Labbé, V., Ederhy, S., Lapidus, N., Salem, J.-E., Trinh-Duc, A., Cohen, A., Fartoukh, M., &amp; Voiriot, G. (2021). Characterization and outcomes of acute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myocardial</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injury</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 intensive care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patients. </w:t>
      </w:r>
      <w:r>
        <w:rPr>
          <w:rFonts w:ascii="Times New Roman" w:hAnsi="Times New Roman" w:cs="Times New Roman" w:eastAsia="Times New Roman"/>
          <w:i/>
          <w:color w:val="auto"/>
          <w:spacing w:val="0"/>
          <w:position w:val="0"/>
          <w:sz w:val="16"/>
          <w:shd w:fill="auto" w:val="clear"/>
        </w:rPr>
        <w:t xml:space="preserve">Infection</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49</w:t>
      </w: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563</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566.</w:t>
      </w:r>
      <w:r>
        <w:rPr>
          <w:rFonts w:ascii="Times New Roman" w:hAnsi="Times New Roman" w:cs="Times New Roman" w:eastAsia="Times New Roman"/>
          <w:color w:val="auto"/>
          <w:spacing w:val="-2"/>
          <w:position w:val="0"/>
          <w:sz w:val="16"/>
          <w:shd w:fill="auto" w:val="clear"/>
        </w:rPr>
        <w:t xml:space="preserve"> </w:t>
      </w:r>
      <w:hyperlink xmlns:r="http://schemas.openxmlformats.org/officeDocument/2006/relationships" r:id="docRId17">
        <w:r>
          <w:rPr>
            <w:rFonts w:ascii="Times New Roman" w:hAnsi="Times New Roman" w:cs="Times New Roman" w:eastAsia="Times New Roman"/>
            <w:color w:val="0000FF"/>
            <w:spacing w:val="0"/>
            <w:position w:val="0"/>
            <w:sz w:val="16"/>
            <w:u w:val="single"/>
            <w:shd w:fill="auto" w:val="clear"/>
          </w:rPr>
          <w:t xml:space="preserve">https://doi.org/10.1007/s15010-020-01560-y</w:t>
        </w:r>
      </w:hyperlink>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126"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Lippi,</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Lavie,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Sanchis-Gomar,</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(2020).</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Cardiac</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troponin</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patients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with</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coronavirus</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disease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2019</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 Evidence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from</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meta-analysis.</w:t>
      </w:r>
    </w:p>
    <w:p>
      <w:pPr>
        <w:spacing w:before="1"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i/>
          <w:color w:val="auto"/>
          <w:spacing w:val="0"/>
          <w:position w:val="0"/>
          <w:sz w:val="16"/>
          <w:shd w:fill="auto" w:val="clear"/>
        </w:rPr>
        <w:t xml:space="preserve">Progress</w:t>
      </w:r>
      <w:r>
        <w:rPr>
          <w:rFonts w:ascii="Times New Roman" w:hAnsi="Times New Roman" w:cs="Times New Roman" w:eastAsia="Times New Roman"/>
          <w:i/>
          <w:color w:val="auto"/>
          <w:spacing w:val="-9"/>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in</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Cardiovascular</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Diseases</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63</w:t>
      </w: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390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391.</w:t>
      </w:r>
      <w:r>
        <w:rPr>
          <w:rFonts w:ascii="Times New Roman" w:hAnsi="Times New Roman" w:cs="Times New Roman" w:eastAsia="Times New Roman"/>
          <w:color w:val="auto"/>
          <w:spacing w:val="-7"/>
          <w:position w:val="0"/>
          <w:sz w:val="16"/>
          <w:shd w:fill="auto" w:val="clear"/>
        </w:rPr>
        <w:t xml:space="preserve"> </w:t>
      </w:r>
      <w:hyperlink xmlns:r="http://schemas.openxmlformats.org/officeDocument/2006/relationships" r:id="docRId18">
        <w:r>
          <w:rPr>
            <w:rFonts w:ascii="Times New Roman" w:hAnsi="Times New Roman" w:cs="Times New Roman" w:eastAsia="Times New Roman"/>
            <w:color w:val="0000FF"/>
            <w:spacing w:val="0"/>
            <w:position w:val="0"/>
            <w:sz w:val="16"/>
            <w:u w:val="single"/>
            <w:shd w:fill="auto" w:val="clear"/>
          </w:rPr>
          <w:t xml:space="preserve">https://doi.org/10.1016/j.pcad.2020.03.001</w:t>
        </w:r>
      </w:hyperlink>
    </w:p>
    <w:p>
      <w:pPr>
        <w:spacing w:before="10"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López,</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Cardentey, 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Betancourt,</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 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Chirino,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López,</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Rodríguez,</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(2020).</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Arritmias cardíacas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en</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pacientes con</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la COVID-</w:t>
      </w:r>
    </w:p>
    <w:p>
      <w:pPr>
        <w:spacing w:before="1"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19.</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Escenarios</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y</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tratamiento.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Revista</w:t>
      </w:r>
      <w:r>
        <w:rPr>
          <w:rFonts w:ascii="Times New Roman" w:hAnsi="Times New Roman" w:cs="Times New Roman" w:eastAsia="Times New Roman"/>
          <w:i/>
          <w:color w:val="auto"/>
          <w:spacing w:val="-5"/>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Cubana</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5"/>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Cardiología</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y</w:t>
      </w:r>
      <w:r>
        <w:rPr>
          <w:rFonts w:ascii="Times New Roman" w:hAnsi="Times New Roman" w:cs="Times New Roman" w:eastAsia="Times New Roman"/>
          <w:i/>
          <w:color w:val="auto"/>
          <w:spacing w:val="-5"/>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Cirugía</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Cardiovascular</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26</w:t>
      </w: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12.</w:t>
      </w:r>
    </w:p>
    <w:p>
      <w:pPr>
        <w:spacing w:before="11"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Martins, J. D. N., Sardinha, D. M., Silva, R. R. da, Lima, K. V. B., &amp; Lima, L. N. G. C. (2020). As implicações da COVID-19 no sistema cardiovascular: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Prognóstico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intercorrências.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Journal</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Health</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&amp;</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Biological</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Sciences</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8</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Artigo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2"/>
          <w:position w:val="0"/>
          <w:sz w:val="16"/>
          <w:shd w:fill="auto" w:val="clear"/>
        </w:rPr>
        <w:t xml:space="preserve"> </w:t>
      </w:r>
      <w:hyperlink xmlns:r="http://schemas.openxmlformats.org/officeDocument/2006/relationships" r:id="docRId19">
        <w:r>
          <w:rPr>
            <w:rFonts w:ascii="Times New Roman" w:hAnsi="Times New Roman" w:cs="Times New Roman" w:eastAsia="Times New Roman"/>
            <w:color w:val="0000FF"/>
            <w:spacing w:val="0"/>
            <w:position w:val="0"/>
            <w:sz w:val="16"/>
            <w:u w:val="single"/>
            <w:shd w:fill="auto" w:val="clear"/>
          </w:rPr>
          <w:t xml:space="preserve">https://doi.org/10.12662/2317-3076jhbs.v8i1.3355.p1-9.2020</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Nascimento,</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Gomes,</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Oliveira,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(2020).</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Troponina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Cardíaca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Preditor</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Injúria</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Miocárdica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Mortalidade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por</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w:t>
      </w:r>
    </w:p>
    <w:p>
      <w:pPr>
        <w:spacing w:before="1"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19.</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Arquivos</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Brasileiros</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Cardiologia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115</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667</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668.</w:t>
      </w:r>
      <w:r>
        <w:rPr>
          <w:rFonts w:ascii="Times New Roman" w:hAnsi="Times New Roman" w:cs="Times New Roman" w:eastAsia="Times New Roman"/>
          <w:color w:val="auto"/>
          <w:spacing w:val="-7"/>
          <w:position w:val="0"/>
          <w:sz w:val="16"/>
          <w:shd w:fill="auto" w:val="clear"/>
        </w:rPr>
        <w:t xml:space="preserve"> </w:t>
      </w:r>
      <w:hyperlink xmlns:r="http://schemas.openxmlformats.org/officeDocument/2006/relationships" r:id="docRId20">
        <w:r>
          <w:rPr>
            <w:rFonts w:ascii="Times New Roman" w:hAnsi="Times New Roman" w:cs="Times New Roman" w:eastAsia="Times New Roman"/>
            <w:color w:val="0000FF"/>
            <w:spacing w:val="0"/>
            <w:position w:val="0"/>
            <w:sz w:val="16"/>
            <w:u w:val="single"/>
            <w:shd w:fill="auto" w:val="clear"/>
          </w:rPr>
          <w:t xml:space="preserve">https://doi.org/10.36660/abc.20200862</w:t>
        </w:r>
      </w:hyperlink>
    </w:p>
    <w:p>
      <w:pPr>
        <w:spacing w:before="10"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3"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Parwani, A. S., Haug, M., Keller, T., Guthof, T., Blaschke, F., Tscholl, V., Biewener, S., Kamieniarz, P., Zieckler, D., Kruse, J., Angermair, S., Treskatsch, 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Müller-Redetzky, H., Pieske, B., Stangl, K., Landmesser, U., Boldt, L.-H., Huemer, M., &amp; Attanasio, P. (2021). Cardiac arrhythmias in patients with COVID-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19:</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Lessons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from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2300</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telemetric</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monitoring</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days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on</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the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intensive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unit.</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Journal</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Electrocardiology</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66</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102</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107.</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21">
        <w:r>
          <w:rPr>
            <w:rFonts w:ascii="Times New Roman" w:hAnsi="Times New Roman" w:cs="Times New Roman" w:eastAsia="Times New Roman"/>
            <w:color w:val="0000FF"/>
            <w:spacing w:val="0"/>
            <w:position w:val="0"/>
            <w:sz w:val="16"/>
            <w:u w:val="single"/>
            <w:shd w:fill="auto" w:val="clear"/>
          </w:rPr>
          <w:t xml:space="preserve">https://doi.org/10.1016/j.jelectrocard.2021.04.001</w:t>
        </w:r>
      </w:hyperlink>
    </w:p>
    <w:p>
      <w:pPr>
        <w:spacing w:before="11"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Raad, M., Dabbagh, M., Gorgis, S., Yan, J., Chehab, O., Dagher, C., Jamoor, K., Hussein, I. H., Cook, B., Van Harn, M., Singh, G., McCord, J., &amp; Parikh, 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(2020). Cardiac Injury Patterns and Inpatient Outcomes Among Patients Admitted With COVID-19. </w:t>
      </w:r>
      <w:r>
        <w:rPr>
          <w:rFonts w:ascii="Times New Roman" w:hAnsi="Times New Roman" w:cs="Times New Roman" w:eastAsia="Times New Roman"/>
          <w:i/>
          <w:color w:val="auto"/>
          <w:spacing w:val="0"/>
          <w:position w:val="0"/>
          <w:sz w:val="16"/>
          <w:shd w:fill="auto" w:val="clear"/>
        </w:rPr>
        <w:t xml:space="preserve">The American Journal of Cardiology</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133</w:t>
      </w:r>
      <w:r>
        <w:rPr>
          <w:rFonts w:ascii="Times New Roman" w:hAnsi="Times New Roman" w:cs="Times New Roman" w:eastAsia="Times New Roman"/>
          <w:color w:val="auto"/>
          <w:spacing w:val="0"/>
          <w:position w:val="0"/>
          <w:sz w:val="16"/>
          <w:shd w:fill="auto" w:val="clear"/>
        </w:rPr>
        <w:t xml:space="preserve">, 154</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161.</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22">
        <w:r>
          <w:rPr>
            <w:rFonts w:ascii="Times New Roman" w:hAnsi="Times New Roman" w:cs="Times New Roman" w:eastAsia="Times New Roman"/>
            <w:color w:val="0000FF"/>
            <w:spacing w:val="0"/>
            <w:position w:val="0"/>
            <w:sz w:val="16"/>
            <w:u w:val="single"/>
            <w:shd w:fill="auto" w:val="clear"/>
          </w:rPr>
          <w:t xml:space="preserve">https://doi.org/10.1016/j.amjcard.2020.07.040</w:t>
        </w:r>
      </w:hyperlink>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 w:after="0" w:line="240"/>
        <w:ind w:right="107"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Raman, B., Bluemke, D. A., Lüscher, T. F., &amp; Neubauer, S. (2022). Long COVID: Post-acute sequelae of COVID-19 with a cardiovascular focus. </w:t>
      </w:r>
      <w:r>
        <w:rPr>
          <w:rFonts w:ascii="Times New Roman" w:hAnsi="Times New Roman" w:cs="Times New Roman" w:eastAsia="Times New Roman"/>
          <w:i/>
          <w:color w:val="auto"/>
          <w:spacing w:val="0"/>
          <w:position w:val="0"/>
          <w:sz w:val="16"/>
          <w:shd w:fill="auto" w:val="clear"/>
        </w:rPr>
        <w:t xml:space="preserve">European</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Heart</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Journal</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43</w:t>
      </w:r>
      <w:r>
        <w:rPr>
          <w:rFonts w:ascii="Times New Roman" w:hAnsi="Times New Roman" w:cs="Times New Roman" w:eastAsia="Times New Roman"/>
          <w:color w:val="auto"/>
          <w:spacing w:val="0"/>
          <w:position w:val="0"/>
          <w:sz w:val="16"/>
          <w:shd w:fill="auto" w:val="clear"/>
        </w:rPr>
        <w:t xml:space="preserve">(11),</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1157</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1172.</w:t>
      </w:r>
      <w:r>
        <w:rPr>
          <w:rFonts w:ascii="Times New Roman" w:hAnsi="Times New Roman" w:cs="Times New Roman" w:eastAsia="Times New Roman"/>
          <w:color w:val="auto"/>
          <w:spacing w:val="-2"/>
          <w:position w:val="0"/>
          <w:sz w:val="16"/>
          <w:shd w:fill="auto" w:val="clear"/>
        </w:rPr>
        <w:t xml:space="preserve"> </w:t>
      </w:r>
      <w:hyperlink xmlns:r="http://schemas.openxmlformats.org/officeDocument/2006/relationships" r:id="docRId23">
        <w:r>
          <w:rPr>
            <w:rFonts w:ascii="Times New Roman" w:hAnsi="Times New Roman" w:cs="Times New Roman" w:eastAsia="Times New Roman"/>
            <w:color w:val="0000FF"/>
            <w:spacing w:val="0"/>
            <w:position w:val="0"/>
            <w:sz w:val="16"/>
            <w:u w:val="single"/>
            <w:shd w:fill="auto" w:val="clear"/>
          </w:rPr>
          <w:t xml:space="preserve">https://doi.org/10.1093/eurheartj/ehac031</w:t>
        </w:r>
      </w:hyperlink>
    </w:p>
    <w:p>
      <w:pPr>
        <w:spacing w:before="11"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7"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Ribeiro, A. C., &amp; Uehara, S. C. da S. A. (2022). Hipertensão arterial sistêmica como fator de risco para a forma grave da covid-19: Revisão de escopo. </w:t>
      </w:r>
      <w:r>
        <w:rPr>
          <w:rFonts w:ascii="Times New Roman" w:hAnsi="Times New Roman" w:cs="Times New Roman" w:eastAsia="Times New Roman"/>
          <w:i/>
          <w:color w:val="auto"/>
          <w:spacing w:val="0"/>
          <w:position w:val="0"/>
          <w:sz w:val="16"/>
          <w:shd w:fill="auto" w:val="clear"/>
        </w:rPr>
        <w:t xml:space="preserve">Revista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Saúde</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Pública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56</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Sousa,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Marques-Vieira,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Severino,</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Antunes,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(2017).</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metodologia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revisão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integrativa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literatura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enfermagem.</w:t>
      </w:r>
    </w:p>
    <w:p>
      <w:pPr>
        <w:spacing w:before="1"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i/>
          <w:color w:val="auto"/>
          <w:spacing w:val="0"/>
          <w:position w:val="0"/>
          <w:sz w:val="16"/>
          <w:shd w:fill="auto" w:val="clear"/>
        </w:rPr>
        <w:t xml:space="preserve">Revista</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Investigação</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em</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Enfermagem</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17</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17</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26.</w:t>
      </w:r>
    </w:p>
    <w:p>
      <w:pPr>
        <w:spacing w:before="11"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Tajarernmuang, P., Trongtrakul, K., Chaiwong, W., Nantsupawat, T., Deesomchok, A., Chanayat, P., Niyatiwatchanchai, N., Theerakittikul, T., Limsukon, A.,</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Pothirat, C., Liwsrisakun, C., &amp; Bumroongkit, C. (2022). Bradycardia and Heart Rate Fluctuation Are Associated with a Prolonged Intensive Care Unit Stay in</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Patients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with Severe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Medicina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58</w:t>
      </w:r>
      <w:r>
        <w:rPr>
          <w:rFonts w:ascii="Times New Roman" w:hAnsi="Times New Roman" w:cs="Times New Roman" w:eastAsia="Times New Roman"/>
          <w:color w:val="auto"/>
          <w:spacing w:val="0"/>
          <w:position w:val="0"/>
          <w:sz w:val="16"/>
          <w:shd w:fill="auto" w:val="clear"/>
        </w:rPr>
        <w:t xml:space="preserve">(7),</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Artigo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24">
        <w:r>
          <w:rPr>
            <w:rFonts w:ascii="Times New Roman" w:hAnsi="Times New Roman" w:cs="Times New Roman" w:eastAsia="Times New Roman"/>
            <w:color w:val="0000FF"/>
            <w:spacing w:val="0"/>
            <w:position w:val="0"/>
            <w:sz w:val="16"/>
            <w:u w:val="single"/>
            <w:shd w:fill="auto" w:val="clear"/>
          </w:rPr>
          <w:t xml:space="preserve">https://doi.org/10.3390/medicina58070950</w:t>
        </w:r>
      </w:hyperlink>
    </w:p>
    <w:p>
      <w:pPr>
        <w:spacing w:before="10"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0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Thumiki, V. R. R., &amp; Jurcic, A. (2021). Impact of COVID-19 Crisis on Knowledge Management Practices in Sultanate of Oman. </w:t>
      </w:r>
      <w:r>
        <w:rPr>
          <w:rFonts w:ascii="Times New Roman" w:hAnsi="Times New Roman" w:cs="Times New Roman" w:eastAsia="Times New Roman"/>
          <w:i/>
          <w:color w:val="auto"/>
          <w:spacing w:val="0"/>
          <w:position w:val="0"/>
          <w:sz w:val="16"/>
          <w:shd w:fill="auto" w:val="clear"/>
        </w:rPr>
        <w:t xml:space="preserve">Electronic Journal of</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Knowledge</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Management</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19</w:t>
      </w: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Artigo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 </w:t>
      </w:r>
      <w:hyperlink xmlns:r="http://schemas.openxmlformats.org/officeDocument/2006/relationships" r:id="docRId25">
        <w:r>
          <w:rPr>
            <w:rFonts w:ascii="Times New Roman" w:hAnsi="Times New Roman" w:cs="Times New Roman" w:eastAsia="Times New Roman"/>
            <w:color w:val="0000FF"/>
            <w:spacing w:val="0"/>
            <w:position w:val="0"/>
            <w:sz w:val="16"/>
            <w:u w:val="single"/>
            <w:shd w:fill="auto" w:val="clear"/>
          </w:rPr>
          <w:t xml:space="preserve">https://doi.org/10.34190/ejkm.19.3.2102</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3"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Wiemken, T. L., McGrath, L. J., Andersen, K. M., Khan, F., Malhotra, D., Alfred, T., Nguyen, J. L., Puzniak, L., Thoburn, E., Jodar, L., &amp; McLaughlin, J. 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(2023).</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Coronavirus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Disease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2019</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Severity</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Risk</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of</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Subsequent</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Cardiovascular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Events.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Clinical</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Infectious</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Diseases</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76</w:t>
      </w: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e42</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e50.</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26">
        <w:r>
          <w:rPr>
            <w:rFonts w:ascii="Times New Roman" w:hAnsi="Times New Roman" w:cs="Times New Roman" w:eastAsia="Times New Roman"/>
            <w:color w:val="0000FF"/>
            <w:spacing w:val="0"/>
            <w:position w:val="0"/>
            <w:sz w:val="16"/>
            <w:u w:val="single"/>
            <w:shd w:fill="auto" w:val="clear"/>
          </w:rPr>
          <w:t xml:space="preserve">https://doi.org/10.1093/cid/ciac661</w:t>
        </w:r>
      </w:hyperlink>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Zeng, J.-H., Wu, W.-B., Qu, J.-X., Wang, Y., Dong, C.-F., Luo, Y.-F., Zhou, D., Feng, W.-X., &amp; Feng, C. (2020). Cardiac manifestations of COVID-19 in</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Shenzhen,</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China.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Infection</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48</w:t>
      </w:r>
      <w:r>
        <w:rPr>
          <w:rFonts w:ascii="Times New Roman" w:hAnsi="Times New Roman" w:cs="Times New Roman" w:eastAsia="Times New Roman"/>
          <w:color w:val="auto"/>
          <w:spacing w:val="0"/>
          <w:position w:val="0"/>
          <w:sz w:val="16"/>
          <w:shd w:fill="auto" w:val="clear"/>
        </w:rPr>
        <w:t xml:space="preserve">(6),</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861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870.</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27">
        <w:r>
          <w:rPr>
            <w:rFonts w:ascii="Times New Roman" w:hAnsi="Times New Roman" w:cs="Times New Roman" w:eastAsia="Times New Roman"/>
            <w:color w:val="0000FF"/>
            <w:spacing w:val="0"/>
            <w:position w:val="0"/>
            <w:sz w:val="16"/>
            <w:u w:val="single"/>
            <w:shd w:fill="auto" w:val="clear"/>
          </w:rPr>
          <w:t xml:space="preserve">https://doi.org/10.1007/s15010-020-01473-w</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Zheng,</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Y.-Y.,</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Y.-T.,</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Zhang,</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J.-Y.,</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Xie,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X.</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(2020).</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the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cardiovascular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system.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Nature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Reviews</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Cardiology</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17</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Artigo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28">
        <w:r>
          <w:rPr>
            <w:rFonts w:ascii="Times New Roman" w:hAnsi="Times New Roman" w:cs="Times New Roman" w:eastAsia="Times New Roman"/>
            <w:color w:val="0000FF"/>
            <w:spacing w:val="0"/>
            <w:position w:val="0"/>
            <w:sz w:val="16"/>
            <w:u w:val="single"/>
            <w:shd w:fill="auto" w:val="clear"/>
          </w:rPr>
          <w:t xml:space="preserve">https://doi.org/10.1038/s41569-020-0360-5</w:t>
        </w:r>
      </w:hyperlink>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0">
    <w:abstractNumId w:val="24"/>
  </w:num>
  <w:num w:numId="16">
    <w:abstractNumId w:val="18"/>
  </w:num>
  <w:num w:numId="68">
    <w:abstractNumId w:val="12"/>
  </w:num>
  <w:num w:numId="141">
    <w:abstractNumId w:val="6"/>
  </w:num>
  <w:num w:numId="15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oi.org/10.1007/s15010-020-01560-y" Id="docRId17" Type="http://schemas.openxmlformats.org/officeDocument/2006/relationships/hyperlink" /><Relationship TargetMode="External" Target="https://doi.org/10.3390/medicina58070950" Id="docRId24" Type="http://schemas.openxmlformats.org/officeDocument/2006/relationships/hyperlink" /><Relationship TargetMode="External" Target="https://doi.org/10.1016/j.rec.2020.08.027" Id="docRId7" Type="http://schemas.openxmlformats.org/officeDocument/2006/relationships/hyperlink" /><Relationship TargetMode="External" Target="https://doi.org/10.16891/800" Id="docRId14" Type="http://schemas.openxmlformats.org/officeDocument/2006/relationships/hyperlink" /><Relationship TargetMode="External" Target="https://doi.org/10.1093/eurheartj/ehac031" Id="docRId23" Type="http://schemas.openxmlformats.org/officeDocument/2006/relationships/hyperlink" /><Relationship TargetMode="External" Target="https://doi.org/10.1007/s40256-020-00420-2" Id="docRId6" Type="http://schemas.openxmlformats.org/officeDocument/2006/relationships/hyperlink" /><Relationship Target="media/image0.wmf" Id="docRId1" Type="http://schemas.openxmlformats.org/officeDocument/2006/relationships/image" /><Relationship TargetMode="External" Target="https://doi.org/10.1016/j.ajem.2020.10.022" Id="docRId15" Type="http://schemas.openxmlformats.org/officeDocument/2006/relationships/hyperlink" /><Relationship TargetMode="External" Target="https://doi.org/10.1016/j.amjcard.2020.07.040" Id="docRId22" Type="http://schemas.openxmlformats.org/officeDocument/2006/relationships/hyperlink" /><Relationship TargetMode="External" Target="https://doi.org/10.1136/bmjopen-2020-045482" Id="docRId9" Type="http://schemas.openxmlformats.org/officeDocument/2006/relationships/hyperlink" /><Relationship Target="embeddings/oleObject0.bin" Id="docRId0" Type="http://schemas.openxmlformats.org/officeDocument/2006/relationships/oleObject" /><Relationship TargetMode="External" Target="https://doi.org/10.1016/j.chest.2020.10.056" Id="docRId12" Type="http://schemas.openxmlformats.org/officeDocument/2006/relationships/hyperlink" /><Relationship TargetMode="External" Target="https://doi.org/10.1016/j.jelectrocard.2021.04.001" Id="docRId21" Type="http://schemas.openxmlformats.org/officeDocument/2006/relationships/hyperlink" /><Relationship Target="numbering.xml" Id="docRId29" Type="http://schemas.openxmlformats.org/officeDocument/2006/relationships/numbering" /><Relationship TargetMode="External" Target="https://doi.org/10.1161/CIRCULATIONAHA.120.047008" Id="docRId8" Type="http://schemas.openxmlformats.org/officeDocument/2006/relationships/hyperlink" /><Relationship TargetMode="External" Target="https://doi.org/10.1016/S2213-2600(20)30116-8" Id="docRId13" Type="http://schemas.openxmlformats.org/officeDocument/2006/relationships/hyperlink" /><Relationship TargetMode="External" Target="https://doi.org/10.36660/abc.20200862" Id="docRId20" Type="http://schemas.openxmlformats.org/officeDocument/2006/relationships/hyperlink" /><Relationship TargetMode="External" Target="https://doi.org/10.1038/s41569-020-0360-5" Id="docRId28" Type="http://schemas.openxmlformats.org/officeDocument/2006/relationships/hyperlink" /><Relationship Target="media/image1.wmf" Id="docRId3" Type="http://schemas.openxmlformats.org/officeDocument/2006/relationships/image" /><Relationship TargetMode="External" Target="https://doi.org/10.1001/jama.2014.18229" Id="docRId10" Type="http://schemas.openxmlformats.org/officeDocument/2006/relationships/hyperlink" /><Relationship TargetMode="External" Target="https://doi.org/10.1016/j.pcad.2020.03.001" Id="docRId18" Type="http://schemas.openxmlformats.org/officeDocument/2006/relationships/hyperlink" /><Relationship Target="embeddings/oleObject1.bin" Id="docRId2" Type="http://schemas.openxmlformats.org/officeDocument/2006/relationships/oleObject" /><Relationship TargetMode="External" Target="https://doi.org/10.1007/s15010-020-01473-w" Id="docRId27" Type="http://schemas.openxmlformats.org/officeDocument/2006/relationships/hyperlink" /><Relationship Target="styles.xml" Id="docRId30" Type="http://schemas.openxmlformats.org/officeDocument/2006/relationships/styles" /><Relationship TargetMode="External" Target="https://doi.org/10.36660/abc.20200733" Id="docRId11" Type="http://schemas.openxmlformats.org/officeDocument/2006/relationships/hyperlink" /><Relationship TargetMode="External" Target="https://doi.org/10.12662/2317-3076jhbs.v8i1.3355.p1-9.2020" Id="docRId19" Type="http://schemas.openxmlformats.org/officeDocument/2006/relationships/hyperlink" /><Relationship TargetMode="External" Target="https://doi.org/10.1093/cid/ciac661" Id="docRId26" Type="http://schemas.openxmlformats.org/officeDocument/2006/relationships/hyperlink" /><Relationship TargetMode="External" Target="https://doi.org/10.1001/jama.2020.4326" Id="docRId5" Type="http://schemas.openxmlformats.org/officeDocument/2006/relationships/hyperlink" /><Relationship TargetMode="External" Target="https://doi.org/10.1016/S0140-6736(20)30183-5" Id="docRId16" Type="http://schemas.openxmlformats.org/officeDocument/2006/relationships/hyperlink" /><Relationship TargetMode="External" Target="https://doi.org/10.34190/ejkm.19.3.2102" Id="docRId25" Type="http://schemas.openxmlformats.org/officeDocument/2006/relationships/hyperlink" /><Relationship TargetMode="External" Target="https://doi.org/10.36660/abc.20200385" Id="docRId4" Type="http://schemas.openxmlformats.org/officeDocument/2006/relationships/hyperlink" /></Relationships>
</file>