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75899BF" w14:textId="77777777" w:rsidR="005B558E" w:rsidRDefault="005B558E" w:rsidP="005B558E">
      <w:pPr>
        <w:spacing w:before="280" w:after="280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5B558E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Jejum Pré-Operatório e Recuperação Pós-cirúrgica em cirurgia geral: impacto dos protocolos modernos de cuidados </w:t>
      </w:r>
      <w:proofErr w:type="spellStart"/>
      <w:r w:rsidRPr="005B558E">
        <w:rPr>
          <w:rFonts w:ascii="Times New Roman" w:eastAsia="Times New Roman" w:hAnsi="Times New Roman" w:cs="Times New Roman"/>
          <w:b/>
          <w:bCs/>
          <w:sz w:val="32"/>
          <w:szCs w:val="32"/>
        </w:rPr>
        <w:t>perioperatórios</w:t>
      </w:r>
      <w:proofErr w:type="spellEnd"/>
    </w:p>
    <w:p w14:paraId="5D0F0C93" w14:textId="77777777" w:rsidR="00DC4AF5" w:rsidRDefault="00B90AD8">
      <w:pPr>
        <w:spacing w:before="280" w:after="28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Pedro Duarte Moreira Andrade, Médico pelo Hospital Marcio Cunha, Pedroduarte08@hotmail.com</w:t>
      </w:r>
    </w:p>
    <w:p w14:paraId="25625B97" w14:textId="77777777" w:rsidR="00DC4AF5" w:rsidRDefault="00B90AD8">
      <w:pPr>
        <w:spacing w:before="280" w:after="280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Laren</w:t>
      </w:r>
      <w:proofErr w:type="spellEnd"/>
      <w:r>
        <w:rPr>
          <w:rFonts w:ascii="Times New Roman" w:eastAsia="Times New Roman" w:hAnsi="Times New Roman" w:cs="Times New Roman"/>
        </w:rPr>
        <w:t xml:space="preserve"> Carvalho Santos, Médica pelo Hospital Marcio Cunha, laren.carvalho@gmail.com</w:t>
      </w:r>
    </w:p>
    <w:p w14:paraId="496070D1" w14:textId="77777777" w:rsidR="00DC4AF5" w:rsidRDefault="00B90AD8">
      <w:pPr>
        <w:spacing w:before="280" w:after="28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Ana Luiza Faria Rabelo, Médica pelo Hospital Marcio Cunha, ana_rabelo95@hotmail.com</w:t>
      </w:r>
    </w:p>
    <w:p w14:paraId="13D4EE46" w14:textId="77777777" w:rsidR="00DC4AF5" w:rsidRDefault="00B90AD8">
      <w:pPr>
        <w:spacing w:before="280" w:after="280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Marilan</w:t>
      </w:r>
      <w:proofErr w:type="spellEnd"/>
      <w:r>
        <w:rPr>
          <w:rFonts w:ascii="Times New Roman" w:eastAsia="Times New Roman" w:hAnsi="Times New Roman" w:cs="Times New Roman"/>
        </w:rPr>
        <w:t xml:space="preserve"> Rossi, Médica pelo Centro Universitário do Espírito Santos e Cirurgiã Geral pela Santa Casa de Misericórdia de Vitória RQE 9513, marilanrossi@gmail.com</w:t>
      </w:r>
    </w:p>
    <w:p w14:paraId="6AC5BFEE" w14:textId="77777777" w:rsidR="00DC4AF5" w:rsidRDefault="00DC4AF5">
      <w:pPr>
        <w:spacing w:before="280" w:after="280"/>
        <w:rPr>
          <w:rFonts w:ascii="Times New Roman" w:eastAsia="Times New Roman" w:hAnsi="Times New Roman" w:cs="Times New Roman"/>
        </w:rPr>
      </w:pPr>
    </w:p>
    <w:p w14:paraId="3F60F8C2" w14:textId="5096F2FD" w:rsidR="005B558E" w:rsidRDefault="00B90AD8">
      <w:pPr>
        <w:spacing w:before="280" w:after="28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Introdução:</w:t>
      </w:r>
      <w:r>
        <w:rPr>
          <w:rFonts w:ascii="Times New Roman" w:eastAsia="Times New Roman" w:hAnsi="Times New Roman" w:cs="Times New Roman"/>
          <w:color w:val="000000"/>
        </w:rPr>
        <w:t> </w:t>
      </w:r>
      <w:r w:rsidR="005B558E" w:rsidRPr="005B558E">
        <w:rPr>
          <w:rFonts w:ascii="Times New Roman" w:eastAsia="Times New Roman" w:hAnsi="Times New Roman" w:cs="Times New Roman"/>
        </w:rPr>
        <w:t xml:space="preserve">O jejum pré-operatório constitui uma prática tradicional destinada à redução do risco de regurgitação e aspiração pulmonar durante procedimentos anestésico-cirúrgicos. Entretanto, períodos prolongados de restrição alimentar podem intensificar a resposta metabólica ao trauma, favorecer resistência à insulina, desidratação, desconforto e atraso na recuperação pós-operatória. Protocolos modernos de cuidados </w:t>
      </w:r>
      <w:proofErr w:type="spellStart"/>
      <w:r w:rsidR="005B558E" w:rsidRPr="005B558E">
        <w:rPr>
          <w:rFonts w:ascii="Times New Roman" w:eastAsia="Times New Roman" w:hAnsi="Times New Roman" w:cs="Times New Roman"/>
        </w:rPr>
        <w:t>perioperatórios</w:t>
      </w:r>
      <w:proofErr w:type="spellEnd"/>
      <w:r w:rsidR="005B558E" w:rsidRPr="005B558E">
        <w:rPr>
          <w:rFonts w:ascii="Times New Roman" w:eastAsia="Times New Roman" w:hAnsi="Times New Roman" w:cs="Times New Roman"/>
        </w:rPr>
        <w:t xml:space="preserve">, como o </w:t>
      </w:r>
      <w:proofErr w:type="spellStart"/>
      <w:r w:rsidR="005B558E" w:rsidRPr="005B558E">
        <w:rPr>
          <w:rFonts w:ascii="Times New Roman" w:eastAsia="Times New Roman" w:hAnsi="Times New Roman" w:cs="Times New Roman"/>
        </w:rPr>
        <w:t>Enhanced</w:t>
      </w:r>
      <w:proofErr w:type="spellEnd"/>
      <w:r w:rsidR="005B558E" w:rsidRPr="005B558E">
        <w:rPr>
          <w:rFonts w:ascii="Times New Roman" w:eastAsia="Times New Roman" w:hAnsi="Times New Roman" w:cs="Times New Roman"/>
        </w:rPr>
        <w:t xml:space="preserve"> </w:t>
      </w:r>
      <w:proofErr w:type="spellStart"/>
      <w:r w:rsidR="005B558E" w:rsidRPr="005B558E">
        <w:rPr>
          <w:rFonts w:ascii="Times New Roman" w:eastAsia="Times New Roman" w:hAnsi="Times New Roman" w:cs="Times New Roman"/>
        </w:rPr>
        <w:t>Recovery</w:t>
      </w:r>
      <w:proofErr w:type="spellEnd"/>
      <w:r w:rsidR="005B558E" w:rsidRPr="005B558E">
        <w:rPr>
          <w:rFonts w:ascii="Times New Roman" w:eastAsia="Times New Roman" w:hAnsi="Times New Roman" w:cs="Times New Roman"/>
        </w:rPr>
        <w:t xml:space="preserve"> </w:t>
      </w:r>
      <w:proofErr w:type="spellStart"/>
      <w:r w:rsidR="005B558E" w:rsidRPr="005B558E">
        <w:rPr>
          <w:rFonts w:ascii="Times New Roman" w:eastAsia="Times New Roman" w:hAnsi="Times New Roman" w:cs="Times New Roman"/>
        </w:rPr>
        <w:t>After</w:t>
      </w:r>
      <w:proofErr w:type="spellEnd"/>
      <w:r w:rsidR="005B558E" w:rsidRPr="005B558E">
        <w:rPr>
          <w:rFonts w:ascii="Times New Roman" w:eastAsia="Times New Roman" w:hAnsi="Times New Roman" w:cs="Times New Roman"/>
        </w:rPr>
        <w:t xml:space="preserve"> </w:t>
      </w:r>
      <w:proofErr w:type="spellStart"/>
      <w:r w:rsidR="005B558E" w:rsidRPr="005B558E">
        <w:rPr>
          <w:rFonts w:ascii="Times New Roman" w:eastAsia="Times New Roman" w:hAnsi="Times New Roman" w:cs="Times New Roman"/>
        </w:rPr>
        <w:t>Surgery</w:t>
      </w:r>
      <w:proofErr w:type="spellEnd"/>
      <w:r w:rsidR="005B558E" w:rsidRPr="005B558E">
        <w:rPr>
          <w:rFonts w:ascii="Times New Roman" w:eastAsia="Times New Roman" w:hAnsi="Times New Roman" w:cs="Times New Roman"/>
        </w:rPr>
        <w:t xml:space="preserve"> (ERAS), propõem abreviação segura do jejum e recuperação nutricional precoce, visa</w:t>
      </w:r>
      <w:r w:rsidR="005B558E">
        <w:rPr>
          <w:rFonts w:ascii="Times New Roman" w:eastAsia="Times New Roman" w:hAnsi="Times New Roman" w:cs="Times New Roman"/>
        </w:rPr>
        <w:t>ndo melhores desfechos clínicos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color w:val="000000"/>
        </w:rPr>
        <w:t>Objetivo:</w:t>
      </w:r>
      <w:r>
        <w:rPr>
          <w:rFonts w:ascii="Times New Roman" w:eastAsia="Times New Roman" w:hAnsi="Times New Roman" w:cs="Times New Roman"/>
          <w:color w:val="000000"/>
        </w:rPr>
        <w:t> </w:t>
      </w:r>
      <w:r w:rsidR="005B558E" w:rsidRPr="005B558E">
        <w:rPr>
          <w:rFonts w:ascii="Times New Roman" w:eastAsia="Times New Roman" w:hAnsi="Times New Roman" w:cs="Times New Roman"/>
        </w:rPr>
        <w:t xml:space="preserve">Analisar as evidências científicas sobre o impacto da abreviação do jejum pré-operatório e dos protocolos modernos de cuidados </w:t>
      </w:r>
      <w:proofErr w:type="spellStart"/>
      <w:r w:rsidR="005B558E" w:rsidRPr="005B558E">
        <w:rPr>
          <w:rFonts w:ascii="Times New Roman" w:eastAsia="Times New Roman" w:hAnsi="Times New Roman" w:cs="Times New Roman"/>
        </w:rPr>
        <w:t>perioperatórios</w:t>
      </w:r>
      <w:proofErr w:type="spellEnd"/>
      <w:r w:rsidR="005B558E" w:rsidRPr="005B558E">
        <w:rPr>
          <w:rFonts w:ascii="Times New Roman" w:eastAsia="Times New Roman" w:hAnsi="Times New Roman" w:cs="Times New Roman"/>
        </w:rPr>
        <w:t xml:space="preserve"> na recuperação de pacientes submetidos à cirurgia geral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color w:val="000000"/>
        </w:rPr>
        <w:t>Métodos:</w:t>
      </w:r>
      <w:r>
        <w:rPr>
          <w:rFonts w:ascii="Times New Roman" w:eastAsia="Times New Roman" w:hAnsi="Times New Roman" w:cs="Times New Roman"/>
          <w:color w:val="000000"/>
        </w:rPr>
        <w:t> </w:t>
      </w:r>
      <w:r>
        <w:rPr>
          <w:rFonts w:ascii="Times New Roman" w:eastAsia="Times New Roman" w:hAnsi="Times New Roman" w:cs="Times New Roman"/>
        </w:rPr>
        <w:t xml:space="preserve"> </w:t>
      </w:r>
      <w:r w:rsidR="005B558E" w:rsidRPr="005B558E">
        <w:rPr>
          <w:rFonts w:ascii="Times New Roman" w:eastAsia="Times New Roman" w:hAnsi="Times New Roman" w:cs="Times New Roman"/>
        </w:rPr>
        <w:t xml:space="preserve">Trata-se de uma revisão narrativa da literatura, realizada nas bases PubMed, </w:t>
      </w:r>
      <w:proofErr w:type="spellStart"/>
      <w:r w:rsidR="005B558E" w:rsidRPr="005B558E">
        <w:rPr>
          <w:rFonts w:ascii="Times New Roman" w:eastAsia="Times New Roman" w:hAnsi="Times New Roman" w:cs="Times New Roman"/>
        </w:rPr>
        <w:t>SciELO</w:t>
      </w:r>
      <w:proofErr w:type="spellEnd"/>
      <w:r w:rsidR="005B558E" w:rsidRPr="005B558E">
        <w:rPr>
          <w:rFonts w:ascii="Times New Roman" w:eastAsia="Times New Roman" w:hAnsi="Times New Roman" w:cs="Times New Roman"/>
        </w:rPr>
        <w:t>, Biblioteca Virtual em Saúde (BVS) e Cochrane Library. Foram considerados arti</w:t>
      </w:r>
      <w:r w:rsidR="00161B95">
        <w:rPr>
          <w:rFonts w:ascii="Times New Roman" w:eastAsia="Times New Roman" w:hAnsi="Times New Roman" w:cs="Times New Roman"/>
        </w:rPr>
        <w:t xml:space="preserve">gos publicados entre 2019 </w:t>
      </w:r>
      <w:r w:rsidR="00DA3CD3">
        <w:rPr>
          <w:rFonts w:ascii="Times New Roman" w:eastAsia="Times New Roman" w:hAnsi="Times New Roman" w:cs="Times New Roman"/>
        </w:rPr>
        <w:t>a</w:t>
      </w:r>
      <w:r w:rsidR="00161B95">
        <w:rPr>
          <w:rFonts w:ascii="Times New Roman" w:eastAsia="Times New Roman" w:hAnsi="Times New Roman" w:cs="Times New Roman"/>
        </w:rPr>
        <w:t xml:space="preserve"> 2026</w:t>
      </w:r>
      <w:r w:rsidR="005B558E" w:rsidRPr="005B558E">
        <w:rPr>
          <w:rFonts w:ascii="Times New Roman" w:eastAsia="Times New Roman" w:hAnsi="Times New Roman" w:cs="Times New Roman"/>
        </w:rPr>
        <w:t xml:space="preserve">, nos idiomas português e inglês, além de diretrizes nacionais e internacionais relacionadas ao cuidado </w:t>
      </w:r>
      <w:proofErr w:type="spellStart"/>
      <w:r w:rsidR="005B558E" w:rsidRPr="005B558E">
        <w:rPr>
          <w:rFonts w:ascii="Times New Roman" w:eastAsia="Times New Roman" w:hAnsi="Times New Roman" w:cs="Times New Roman"/>
        </w:rPr>
        <w:t>perioperatório</w:t>
      </w:r>
      <w:proofErr w:type="spellEnd"/>
      <w:r w:rsidR="005B558E" w:rsidRPr="005B558E">
        <w:rPr>
          <w:rFonts w:ascii="Times New Roman" w:eastAsia="Times New Roman" w:hAnsi="Times New Roman" w:cs="Times New Roman"/>
        </w:rPr>
        <w:t>. Os estudos foram analisados qualitativa e descritivamente</w:t>
      </w:r>
      <w:r>
        <w:rPr>
          <w:rFonts w:ascii="Times New Roman" w:eastAsia="Times New Roman" w:hAnsi="Times New Roman" w:cs="Times New Roman"/>
        </w:rPr>
        <w:t>.</w:t>
      </w:r>
      <w:r w:rsidR="00DA3CD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Resultados:</w:t>
      </w:r>
      <w:r>
        <w:rPr>
          <w:rFonts w:ascii="Times New Roman" w:eastAsia="Times New Roman" w:hAnsi="Times New Roman" w:cs="Times New Roman"/>
          <w:color w:val="000000"/>
        </w:rPr>
        <w:t> </w:t>
      </w:r>
      <w:r w:rsidR="005B558E" w:rsidRPr="005B558E">
        <w:rPr>
          <w:rFonts w:ascii="Times New Roman" w:eastAsia="Times New Roman" w:hAnsi="Times New Roman" w:cs="Times New Roman"/>
        </w:rPr>
        <w:t>As evidências demonstraram que protocolos que permitem líquidos claros até aproximadamente duas horas antes da anestesia, em pacientes adequadamente selecionados, apresentam segurança e reduzem sede, fome, ansiedade e desconforto pré-operatório. Estratégias multimodais, incluindo abreviação do jejum, alimentação pós-operatória precoce, analgesia adequada e mobilização antecipada, mostraram associação com menor resistência insulínica, preservação funcional, recuperação gastrointestinal mais rápida e redução do tempo de internação. Entretanto, a indicação deve ser individualizada diante de condições associadas ao esvaziamento gástrico retardado ou maior risco de aspiração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06340884" w14:textId="77777777" w:rsidR="00DC4AF5" w:rsidRDefault="00B90AD8">
      <w:pPr>
        <w:spacing w:before="280" w:after="28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lastRenderedPageBreak/>
        <w:t>Conclusão:</w:t>
      </w:r>
      <w:r>
        <w:rPr>
          <w:rFonts w:ascii="Times New Roman" w:eastAsia="Times New Roman" w:hAnsi="Times New Roman" w:cs="Times New Roman"/>
          <w:color w:val="000000"/>
        </w:rPr>
        <w:t> </w:t>
      </w:r>
      <w:r w:rsidR="005B558E" w:rsidRPr="005B558E">
        <w:rPr>
          <w:rFonts w:ascii="Times New Roman" w:eastAsia="Times New Roman" w:hAnsi="Times New Roman" w:cs="Times New Roman"/>
        </w:rPr>
        <w:t xml:space="preserve">A modernização do manejo nutricional </w:t>
      </w:r>
      <w:proofErr w:type="spellStart"/>
      <w:r w:rsidR="005B558E" w:rsidRPr="005B558E">
        <w:rPr>
          <w:rFonts w:ascii="Times New Roman" w:eastAsia="Times New Roman" w:hAnsi="Times New Roman" w:cs="Times New Roman"/>
        </w:rPr>
        <w:t>perioperatório</w:t>
      </w:r>
      <w:proofErr w:type="spellEnd"/>
      <w:r w:rsidR="005B558E" w:rsidRPr="005B558E">
        <w:rPr>
          <w:rFonts w:ascii="Times New Roman" w:eastAsia="Times New Roman" w:hAnsi="Times New Roman" w:cs="Times New Roman"/>
        </w:rPr>
        <w:t xml:space="preserve"> representa importante estratégia para otimizar a recuperação em cirurgia geral. A abreviação criteriosa do jejum, integrada a protocolos multimodais, pode favorecer conforto, recuperação funcional e redução da permanência hospitalar sem comprometer a segurança quando adequadamente indicada. Sua implementação requer protocolos institucionais, avaliação individualizada e integração multiprofissional.</w:t>
      </w:r>
    </w:p>
    <w:p w14:paraId="153761DC" w14:textId="77777777" w:rsidR="00DC4AF5" w:rsidRDefault="00B90AD8">
      <w:pPr>
        <w:spacing w:before="280" w:after="280"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Palavras Chave: </w:t>
      </w:r>
      <w:r w:rsidR="005B558E" w:rsidRPr="005B558E">
        <w:rPr>
          <w:rFonts w:ascii="Times New Roman" w:eastAsia="Times New Roman" w:hAnsi="Times New Roman" w:cs="Times New Roman"/>
        </w:rPr>
        <w:t xml:space="preserve">Jejum pré-operatório. Recuperação pós-operatória. Cirurgia geral. Cuidados </w:t>
      </w:r>
      <w:proofErr w:type="spellStart"/>
      <w:r w:rsidR="005B558E" w:rsidRPr="005B558E">
        <w:rPr>
          <w:rFonts w:ascii="Times New Roman" w:eastAsia="Times New Roman" w:hAnsi="Times New Roman" w:cs="Times New Roman"/>
        </w:rPr>
        <w:t>perioperatórios</w:t>
      </w:r>
      <w:proofErr w:type="spellEnd"/>
      <w:r w:rsidR="005B558E" w:rsidRPr="005B558E">
        <w:rPr>
          <w:rFonts w:ascii="Times New Roman" w:eastAsia="Times New Roman" w:hAnsi="Times New Roman" w:cs="Times New Roman"/>
        </w:rPr>
        <w:t>. ERAS.</w:t>
      </w:r>
    </w:p>
    <w:p w14:paraId="08B1E75A" w14:textId="77777777" w:rsidR="00DC4AF5" w:rsidRDefault="00B90AD8">
      <w:pPr>
        <w:spacing w:before="28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Referências </w:t>
      </w:r>
    </w:p>
    <w:p w14:paraId="2C05248A" w14:textId="77777777" w:rsidR="005B558E" w:rsidRDefault="005B558E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color w:val="222222"/>
        </w:rPr>
      </w:pPr>
      <w:r w:rsidRPr="005B558E">
        <w:rPr>
          <w:rFonts w:ascii="Times New Roman" w:eastAsia="Times New Roman" w:hAnsi="Times New Roman" w:cs="Times New Roman"/>
          <w:color w:val="222222"/>
        </w:rPr>
        <w:t>LYRA, Elisa et al. Estado nutricional e tempo de jejum pré-operatório de pacientes oncológicos submetidos à cirurgia. Revista da Associação Brasileira de Nutrição-RASBRAN, v. 14, n. 1, p. 1-15, 2023.</w:t>
      </w:r>
    </w:p>
    <w:p w14:paraId="5C57887D" w14:textId="77777777" w:rsidR="005B558E" w:rsidRDefault="005B558E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color w:val="222222"/>
        </w:rPr>
      </w:pPr>
      <w:r w:rsidRPr="005B558E">
        <w:rPr>
          <w:rFonts w:ascii="Times New Roman" w:eastAsia="Times New Roman" w:hAnsi="Times New Roman" w:cs="Times New Roman"/>
          <w:color w:val="222222"/>
        </w:rPr>
        <w:t>GONÇALVES, Rodrigo Costa et al. Protocolo eletrônico de abreviação de jejum pré-operatório: criação, aplicação e capacitação da equipe de assistência ao paciente. Revista do Colégio Brasileiro de Cirurgiões, v. 52, p. e20253755, 2025.</w:t>
      </w:r>
    </w:p>
    <w:p w14:paraId="251C12C1" w14:textId="77777777" w:rsidR="005B558E" w:rsidRDefault="005B558E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color w:val="222222"/>
        </w:rPr>
      </w:pPr>
      <w:r w:rsidRPr="005B558E">
        <w:rPr>
          <w:rFonts w:ascii="Times New Roman" w:eastAsia="Times New Roman" w:hAnsi="Times New Roman" w:cs="Times New Roman"/>
          <w:color w:val="222222"/>
        </w:rPr>
        <w:t xml:space="preserve">DE ALENCAR NETO, Francisco Nunes; DA SILVA JÚNIOR, João Manoel. Jejum pré-operatório prolongado e complicações </w:t>
      </w:r>
      <w:proofErr w:type="spellStart"/>
      <w:r w:rsidRPr="005B558E">
        <w:rPr>
          <w:rFonts w:ascii="Times New Roman" w:eastAsia="Times New Roman" w:hAnsi="Times New Roman" w:cs="Times New Roman"/>
          <w:color w:val="222222"/>
        </w:rPr>
        <w:t>perioperatórias</w:t>
      </w:r>
      <w:proofErr w:type="spellEnd"/>
      <w:r w:rsidRPr="005B558E">
        <w:rPr>
          <w:rFonts w:ascii="Times New Roman" w:eastAsia="Times New Roman" w:hAnsi="Times New Roman" w:cs="Times New Roman"/>
          <w:color w:val="222222"/>
        </w:rPr>
        <w:t xml:space="preserve">: </w:t>
      </w:r>
      <w:proofErr w:type="spellStart"/>
      <w:r w:rsidRPr="005B558E">
        <w:rPr>
          <w:rFonts w:ascii="Times New Roman" w:eastAsia="Times New Roman" w:hAnsi="Times New Roman" w:cs="Times New Roman"/>
          <w:color w:val="222222"/>
        </w:rPr>
        <w:t>Prolonged</w:t>
      </w:r>
      <w:proofErr w:type="spellEnd"/>
      <w:r w:rsidRPr="005B558E">
        <w:rPr>
          <w:rFonts w:ascii="Times New Roman" w:eastAsia="Times New Roman" w:hAnsi="Times New Roman" w:cs="Times New Roman"/>
          <w:color w:val="222222"/>
        </w:rPr>
        <w:t xml:space="preserve"> </w:t>
      </w:r>
      <w:proofErr w:type="spellStart"/>
      <w:r w:rsidRPr="005B558E">
        <w:rPr>
          <w:rFonts w:ascii="Times New Roman" w:eastAsia="Times New Roman" w:hAnsi="Times New Roman" w:cs="Times New Roman"/>
          <w:color w:val="222222"/>
        </w:rPr>
        <w:t>preoperative</w:t>
      </w:r>
      <w:proofErr w:type="spellEnd"/>
      <w:r w:rsidRPr="005B558E">
        <w:rPr>
          <w:rFonts w:ascii="Times New Roman" w:eastAsia="Times New Roman" w:hAnsi="Times New Roman" w:cs="Times New Roman"/>
          <w:color w:val="222222"/>
        </w:rPr>
        <w:t xml:space="preserve"> </w:t>
      </w:r>
      <w:proofErr w:type="spellStart"/>
      <w:r w:rsidRPr="005B558E">
        <w:rPr>
          <w:rFonts w:ascii="Times New Roman" w:eastAsia="Times New Roman" w:hAnsi="Times New Roman" w:cs="Times New Roman"/>
          <w:color w:val="222222"/>
        </w:rPr>
        <w:t>fasting</w:t>
      </w:r>
      <w:proofErr w:type="spellEnd"/>
      <w:r w:rsidRPr="005B558E">
        <w:rPr>
          <w:rFonts w:ascii="Times New Roman" w:eastAsia="Times New Roman" w:hAnsi="Times New Roman" w:cs="Times New Roman"/>
          <w:color w:val="222222"/>
        </w:rPr>
        <w:t xml:space="preserve"> and </w:t>
      </w:r>
      <w:proofErr w:type="spellStart"/>
      <w:r w:rsidRPr="005B558E">
        <w:rPr>
          <w:rFonts w:ascii="Times New Roman" w:eastAsia="Times New Roman" w:hAnsi="Times New Roman" w:cs="Times New Roman"/>
          <w:color w:val="222222"/>
        </w:rPr>
        <w:t>perioperative</w:t>
      </w:r>
      <w:proofErr w:type="spellEnd"/>
      <w:r w:rsidRPr="005B558E">
        <w:rPr>
          <w:rFonts w:ascii="Times New Roman" w:eastAsia="Times New Roman" w:hAnsi="Times New Roman" w:cs="Times New Roman"/>
          <w:color w:val="222222"/>
        </w:rPr>
        <w:t xml:space="preserve"> </w:t>
      </w:r>
      <w:proofErr w:type="spellStart"/>
      <w:r w:rsidRPr="005B558E">
        <w:rPr>
          <w:rFonts w:ascii="Times New Roman" w:eastAsia="Times New Roman" w:hAnsi="Times New Roman" w:cs="Times New Roman"/>
          <w:color w:val="222222"/>
        </w:rPr>
        <w:t>complications</w:t>
      </w:r>
      <w:proofErr w:type="spellEnd"/>
      <w:r w:rsidRPr="005B558E">
        <w:rPr>
          <w:rFonts w:ascii="Times New Roman" w:eastAsia="Times New Roman" w:hAnsi="Times New Roman" w:cs="Times New Roman"/>
          <w:color w:val="222222"/>
        </w:rPr>
        <w:t xml:space="preserve">. Revista Científica do </w:t>
      </w:r>
      <w:proofErr w:type="spellStart"/>
      <w:r w:rsidRPr="005B558E">
        <w:rPr>
          <w:rFonts w:ascii="Times New Roman" w:eastAsia="Times New Roman" w:hAnsi="Times New Roman" w:cs="Times New Roman"/>
          <w:color w:val="222222"/>
        </w:rPr>
        <w:t>Iamspe</w:t>
      </w:r>
      <w:proofErr w:type="spellEnd"/>
      <w:r w:rsidRPr="005B558E">
        <w:rPr>
          <w:rFonts w:ascii="Times New Roman" w:eastAsia="Times New Roman" w:hAnsi="Times New Roman" w:cs="Times New Roman"/>
          <w:color w:val="222222"/>
        </w:rPr>
        <w:t>, v. 15, n. 1, 2026.</w:t>
      </w:r>
    </w:p>
    <w:p w14:paraId="41084CCE" w14:textId="77777777" w:rsidR="00DC4AF5" w:rsidRDefault="00881475" w:rsidP="00881475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color w:val="222222"/>
        </w:rPr>
      </w:pPr>
      <w:r w:rsidRPr="00881475">
        <w:rPr>
          <w:rFonts w:ascii="Times New Roman" w:eastAsia="Times New Roman" w:hAnsi="Times New Roman" w:cs="Times New Roman"/>
          <w:color w:val="222222"/>
        </w:rPr>
        <w:t xml:space="preserve">RÊGO, Hosana Maria Araújo et al. Cuidados </w:t>
      </w:r>
      <w:proofErr w:type="spellStart"/>
      <w:r w:rsidRPr="00881475">
        <w:rPr>
          <w:rFonts w:ascii="Times New Roman" w:eastAsia="Times New Roman" w:hAnsi="Times New Roman" w:cs="Times New Roman"/>
          <w:color w:val="222222"/>
        </w:rPr>
        <w:t>perioperatórios</w:t>
      </w:r>
      <w:proofErr w:type="spellEnd"/>
      <w:r w:rsidRPr="00881475">
        <w:rPr>
          <w:rFonts w:ascii="Times New Roman" w:eastAsia="Times New Roman" w:hAnsi="Times New Roman" w:cs="Times New Roman"/>
          <w:color w:val="222222"/>
        </w:rPr>
        <w:t xml:space="preserve">: estratégias para melhorar os resultados em cirurgia geral. Brazilian Journal of </w:t>
      </w:r>
      <w:proofErr w:type="spellStart"/>
      <w:r w:rsidRPr="00881475">
        <w:rPr>
          <w:rFonts w:ascii="Times New Roman" w:eastAsia="Times New Roman" w:hAnsi="Times New Roman" w:cs="Times New Roman"/>
          <w:color w:val="222222"/>
        </w:rPr>
        <w:t>Implantology</w:t>
      </w:r>
      <w:proofErr w:type="spellEnd"/>
      <w:r w:rsidRPr="00881475">
        <w:rPr>
          <w:rFonts w:ascii="Times New Roman" w:eastAsia="Times New Roman" w:hAnsi="Times New Roman" w:cs="Times New Roman"/>
          <w:color w:val="222222"/>
        </w:rPr>
        <w:t xml:space="preserve"> and Health Sciences, v. 5, n. 5, p. 5115-5139, 2023.</w:t>
      </w:r>
    </w:p>
    <w:sectPr w:rsidR="00DC4AF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1418" w:left="1418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4598106" w14:textId="77777777" w:rsidR="00E011E8" w:rsidRDefault="00E011E8">
      <w:r>
        <w:separator/>
      </w:r>
    </w:p>
  </w:endnote>
  <w:endnote w:type="continuationSeparator" w:id="0">
    <w:p w14:paraId="32277301" w14:textId="77777777" w:rsidR="00E011E8" w:rsidRDefault="00E011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  <w:embedRegular r:id="rId1" w:fontKey="{B563E0F0-29B9-4E52-AE6F-4C49AAC75E8C}"/>
    <w:embedBold r:id="rId2" w:fontKey="{85929907-B77A-4159-917A-B0BA89F27D1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DAF74381-6C1A-4874-BDCB-684D64526F8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0455162D-5036-C744-A263-5BFE0C60507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098AD53" w14:textId="77777777" w:rsidR="00DC4AF5" w:rsidRDefault="00DC4AF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9D39949" w14:textId="77777777" w:rsidR="00DC4AF5" w:rsidRDefault="00DC4AF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646ED14" w14:textId="77777777" w:rsidR="00DC4AF5" w:rsidRDefault="00DC4AF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56442EC" w14:textId="77777777" w:rsidR="00E011E8" w:rsidRDefault="00E011E8">
      <w:r>
        <w:separator/>
      </w:r>
    </w:p>
  </w:footnote>
  <w:footnote w:type="continuationSeparator" w:id="0">
    <w:p w14:paraId="061C99B8" w14:textId="77777777" w:rsidR="00E011E8" w:rsidRDefault="00E011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A4C2BF6" w14:textId="77777777" w:rsidR="00DC4AF5" w:rsidRDefault="00B90AD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  <w:color w:val="000000"/>
      </w:rPr>
      <w:drawing>
        <wp:anchor distT="0" distB="0" distL="0" distR="0" simplePos="0" relativeHeight="251657728" behindDoc="1" locked="0" layoutInCell="1" hidden="0" allowOverlap="1" wp14:anchorId="4C3687DB" wp14:editId="6306B40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8081009" cy="11430000"/>
          <wp:effectExtent l="0" t="0" r="0" b="0"/>
          <wp:wrapNone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081009" cy="11430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1CA18B8" w14:textId="77777777" w:rsidR="00DC4AF5" w:rsidRDefault="00B90AD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  <w:color w:val="000000"/>
      </w:rPr>
      <w:drawing>
        <wp:anchor distT="0" distB="0" distL="0" distR="0" simplePos="0" relativeHeight="251656704" behindDoc="1" locked="0" layoutInCell="1" hidden="0" allowOverlap="1" wp14:anchorId="13343CDE" wp14:editId="560FD475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8081009" cy="11430000"/>
          <wp:effectExtent l="0" t="0" r="0" b="0"/>
          <wp:wrapNone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081009" cy="11430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1F850E7" w14:textId="77777777" w:rsidR="00DC4AF5" w:rsidRDefault="00523EE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  <w:color w:val="000000"/>
      </w:rPr>
    </w:r>
    <w:r w:rsidR="00523EE0">
      <w:rPr>
        <w:noProof/>
        <w:color w:val="000000"/>
      </w:rPr>
      <w:pict w14:anchorId="55FEEFD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alt="" style="position:absolute;margin-left:0;margin-top:0;width:636.3pt;height:900pt;z-index:-251655168;mso-position-horizontal:center;mso-position-horizontal-relative:margin;mso-position-vertical:center;mso-position-vertical-relative:margin">
          <v:imagedata r:id="rId1" o:title="image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60"/>
  <w:embedTrueTypeFonts/>
  <w:proofState w:spelling="clean"/>
  <w:revisionView w:inkAnnotations="0"/>
  <w:defaultTabStop w:val="720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4AF5"/>
    <w:rsid w:val="00161B95"/>
    <w:rsid w:val="003411E7"/>
    <w:rsid w:val="00523EE0"/>
    <w:rsid w:val="005B558E"/>
    <w:rsid w:val="00881475"/>
    <w:rsid w:val="00AA3D06"/>
    <w:rsid w:val="00B90AD8"/>
    <w:rsid w:val="00DA3CD3"/>
    <w:rsid w:val="00DC4AF5"/>
    <w:rsid w:val="00E01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  <w14:docId w14:val="1702D10C"/>
  <w15:docId w15:val="{94012FD4-BD9F-4549-A07D-B1390ECD4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/Fe31l5CcwCu6DudOz4UOwyLyw==">CgMxLjA4AHIhMWh5T0FHMXpsTHpQY0piSjB3LWtlVzhfTmx1cTNxTW1k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608</Words>
  <Characters>3289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Vitoria Vilas Boas</cp:lastModifiedBy>
  <cp:revision>2</cp:revision>
  <dcterms:created xsi:type="dcterms:W3CDTF">2026-08-24T15:28:00Z</dcterms:created>
  <dcterms:modified xsi:type="dcterms:W3CDTF">2026-08-24T15:28:00Z</dcterms:modified>
</cp:coreProperties>
</file>