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92998" w14:textId="77777777" w:rsidR="0059783F" w:rsidRDefault="0059783F">
      <w:pPr>
        <w:rPr>
          <w:rFonts w:ascii="Times New Roman" w:eastAsia="Times New Roman" w:hAnsi="Times New Roman" w:cs="Times New Roman"/>
        </w:rPr>
      </w:pPr>
    </w:p>
    <w:p w14:paraId="794D57F9" w14:textId="77777777" w:rsidR="0059783F" w:rsidRDefault="00000000">
      <w:pPr>
        <w:spacing w:before="240" w:after="24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LETRAMENTO DIGITAL E INTELIGÊNCIA ARTIFICIAL NA PÓS-GRADUAÇÃO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STRICTO SENSU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implicações éticas, cognitivas e formativas</w:t>
      </w:r>
    </w:p>
    <w:p w14:paraId="2734EEA9" w14:textId="77777777" w:rsidR="0059783F" w:rsidRDefault="00000000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Regiani Coser Cravo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34B47EF8" w14:textId="77777777" w:rsidR="0059783F" w:rsidRDefault="00000000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Rodolfo Bello Exler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</w:p>
    <w:p w14:paraId="0B77C511" w14:textId="77777777" w:rsidR="0059783F" w:rsidRDefault="00000000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Marcus Túlio de Freitas Pinheiro</w:t>
      </w:r>
      <w:r>
        <w:rPr>
          <w:rFonts w:ascii="Times New Roman" w:eastAsia="Times New Roman" w:hAnsi="Times New Roman" w:cs="Times New Roman"/>
          <w:vertAlign w:val="superscript"/>
        </w:rPr>
        <w:footnoteReference w:id="3"/>
      </w:r>
    </w:p>
    <w:p w14:paraId="0CCFCFE8" w14:textId="77777777" w:rsidR="0059783F" w:rsidRDefault="0059783F">
      <w:pPr>
        <w:tabs>
          <w:tab w:val="left" w:pos="504"/>
        </w:tabs>
        <w:spacing w:before="120" w:after="120" w:line="240" w:lineRule="auto"/>
        <w:ind w:right="16" w:firstLine="0"/>
        <w:jc w:val="both"/>
        <w:rPr>
          <w:rFonts w:ascii="Roboto" w:eastAsia="Roboto" w:hAnsi="Roboto" w:cs="Roboto"/>
          <w:b/>
        </w:rPr>
      </w:pPr>
    </w:p>
    <w:p w14:paraId="1B67A9A3" w14:textId="14D8067D" w:rsidR="0059783F" w:rsidRDefault="00000000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RESUMO.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Esta pesquisa analisa os desafios e as possibilidades do letramento digital crítico no uso da Inteligência Artificial (IA) na pós-graduação</w:t>
      </w:r>
      <w:r>
        <w:rPr>
          <w:rFonts w:ascii="Times New Roman" w:eastAsia="Times New Roman" w:hAnsi="Times New Roman" w:cs="Times New Roman"/>
          <w:i/>
          <w:highlight w:val="white"/>
        </w:rPr>
        <w:t xml:space="preserve"> stricto sensu</w:t>
      </w:r>
      <w:r>
        <w:rPr>
          <w:rFonts w:ascii="Times New Roman" w:eastAsia="Times New Roman" w:hAnsi="Times New Roman" w:cs="Times New Roman"/>
          <w:highlight w:val="white"/>
        </w:rPr>
        <w:t>, concebendo a IA como ideografia contemporânea que reconfigura a produção do conhecimento e demanda a “religação dos saberes” e a valorização do “saber local”. Objetiva-se compreender como mestrandos e doutorandos utilizam ferramentas de IA Generativa na escrita acadêmica, com ênfase em implicações éticas, cognitivas e formativas. Metodologicamente, trata-se de pesquisa qualitativa e descritiva, com aplicação de questionário on-line de formato misto a pós-graduandos de diferentes áreas, com vinte e sete respondentes, do total de quarenta e nove convidados. O instrumento contemplou cinco eixos: perfil sociodemográfico e acadêmico; frequência, ferramentas e finalidades de uso da IA; percepções sobre ética e autoria; competências de letramento digital crítico (análise, validação, uso responsável); e apropriação/práticas cognitivas na escrita mediada por IA. Os resultados indicam predominância de mestrandos e experiência de pesquisa concentrada entre 1-3 anos, sugerindo fase formativa propícia à incorporação situada da IA</w:t>
      </w:r>
      <w:r>
        <w:rPr>
          <w:rFonts w:ascii="Times New Roman" w:eastAsia="Times New Roman" w:hAnsi="Times New Roman" w:cs="Times New Roman"/>
        </w:rPr>
        <w:t xml:space="preserve">. Quanto ao uso, verificou-se que 15% dos respondentes utilizam diariamente, 37% semanalmente, 26% algumas vezes por mês e 22% raramente, com predominância no emprego de modelos de linguagem e tradutores para revisão linguística, apoio à escrita, organização de referências e elaboração de apresentações. No campo ético, </w:t>
      </w:r>
      <w:r w:rsidR="00E509CC">
        <w:rPr>
          <w:rFonts w:ascii="Times New Roman" w:eastAsia="Times New Roman" w:hAnsi="Times New Roman" w:cs="Times New Roman"/>
        </w:rPr>
        <w:t>88% dos respondentes entendem</w:t>
      </w:r>
      <w:r>
        <w:rPr>
          <w:rFonts w:ascii="Times New Roman" w:eastAsia="Times New Roman" w:hAnsi="Times New Roman" w:cs="Times New Roman"/>
        </w:rPr>
        <w:t xml:space="preserve"> que o impacto na autoria depende do contexto de uso, apontando maturidade situacional, mas também lacunas institucionais: parte relevante dos estudantes não recebeu orientações formais sobre práticas éticas. Em relação à criticidade, prevalecem autoavaliações médias a altas (88%) e a adoção de estratégias de verificação (74%) das saídas de IA, ao tempo que 70% dos respondentes relatam ganhos de autonomia acadêmica. Nas práticas cognitivas, os participantes reportam melhorias em clareza, coesão, organização textual, planejamento e aderência a normas, embora </w:t>
      </w:r>
      <w:r w:rsidR="00E509CC">
        <w:rPr>
          <w:rFonts w:ascii="Times New Roman" w:eastAsia="Times New Roman" w:hAnsi="Times New Roman" w:cs="Times New Roman"/>
        </w:rPr>
        <w:t>48% dos respondentes não</w:t>
      </w:r>
      <w:r w:rsidR="00E509CC">
        <w:rPr>
          <w:rFonts w:ascii="Times New Roman" w:eastAsia="Times New Roman" w:hAnsi="Times New Roman" w:cs="Times New Roman"/>
          <w:highlight w:val="white"/>
        </w:rPr>
        <w:t xml:space="preserve"> identifiquem</w:t>
      </w:r>
      <w:r>
        <w:rPr>
          <w:rFonts w:ascii="Times New Roman" w:eastAsia="Times New Roman" w:hAnsi="Times New Roman" w:cs="Times New Roman"/>
          <w:highlight w:val="white"/>
        </w:rPr>
        <w:t xml:space="preserve"> mudanças estilísticas, utilizando a IA de modo mais instrumental. Em síntese, a IA é percebida menos como geradora autônoma de conhecimento e mais como mediadora técnica que agiliza e qualifica a </w:t>
      </w:r>
      <w:r>
        <w:rPr>
          <w:rFonts w:ascii="Times New Roman" w:eastAsia="Times New Roman" w:hAnsi="Times New Roman" w:cs="Times New Roman"/>
          <w:highlight w:val="white"/>
        </w:rPr>
        <w:lastRenderedPageBreak/>
        <w:t>redação, desde que acompanhada de validação crítica e diretrizes éticas claras. Conclui-se que o letramento digital crítico, ancorado na integração interdisciplinar e no respeito a contextos e saberes locais, é condição para converter o potencial da IA em benefícios formativos sem comprometer autoria, originalidade e qualidade epistêmica. Recomenda-se que programas de pós-graduação desenvolvam políticas explícitas, formações continuadas e protocolos de uso responsável da IA,</w:t>
      </w:r>
      <w:r w:rsidR="00E509CC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articulando ética, cognição e tecnologia para fortalecer a integridade e a relevância social da produção científica.</w:t>
      </w:r>
    </w:p>
    <w:p w14:paraId="72E38816" w14:textId="70026F80" w:rsidR="0059783F" w:rsidRDefault="00000000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</w:t>
      </w:r>
      <w:r>
        <w:rPr>
          <w:rFonts w:ascii="Times New Roman" w:eastAsia="Times New Roman" w:hAnsi="Times New Roman" w:cs="Times New Roman"/>
        </w:rPr>
        <w:t>: Inteligência Artificial; Letramento digital; Escrita acadêmica</w:t>
      </w:r>
      <w:r w:rsidR="00E509CC">
        <w:rPr>
          <w:rFonts w:ascii="Times New Roman" w:eastAsia="Times New Roman" w:hAnsi="Times New Roman" w:cs="Times New Roman"/>
        </w:rPr>
        <w:t>.</w:t>
      </w:r>
    </w:p>
    <w:p w14:paraId="1DE8A4D6" w14:textId="77777777" w:rsidR="0059783F" w:rsidRDefault="0059783F">
      <w:pPr>
        <w:spacing w:before="240" w:after="240"/>
        <w:ind w:firstLine="0"/>
        <w:rPr>
          <w:rFonts w:ascii="Times New Roman" w:eastAsia="Times New Roman" w:hAnsi="Times New Roman" w:cs="Times New Roman"/>
          <w:b/>
        </w:rPr>
      </w:pPr>
    </w:p>
    <w:p w14:paraId="01086E80" w14:textId="77777777" w:rsidR="0059783F" w:rsidRDefault="00000000">
      <w:pPr>
        <w:spacing w:before="240" w:after="240"/>
        <w:ind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</w:t>
      </w:r>
    </w:p>
    <w:p w14:paraId="3B83E64A" w14:textId="77777777" w:rsidR="0059783F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color w:val="131314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ALMEIDA FILHO, C. L. de; FIGUEIREDO, M. P. M.; SILVEIRA, G. E.; EIDELWEIN, T. </w:t>
      </w:r>
      <w:r>
        <w:rPr>
          <w:rFonts w:ascii="Times New Roman" w:eastAsia="Times New Roman" w:hAnsi="Times New Roman" w:cs="Times New Roman"/>
          <w:b/>
        </w:rPr>
        <w:t>Desafios éticos para o uso de inteligência artificial na educação e na pesquisa</w:t>
      </w:r>
      <w:r>
        <w:rPr>
          <w:rFonts w:ascii="Times New Roman" w:eastAsia="Times New Roman" w:hAnsi="Times New Roman" w:cs="Times New Roman"/>
        </w:rPr>
        <w:t>. Campos Neutrais.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Revista Latino-Americana de Relações Internacionais, Rio Grande, v. 6, n. 3, p. 220–243, dez. 2024. Disponível em: https://periodicos.furg.br/cn/article/view/18391. Acesso em: 9 jul. 2025.</w:t>
      </w:r>
    </w:p>
    <w:p w14:paraId="4E266ACB" w14:textId="77777777" w:rsidR="0059783F" w:rsidRDefault="00000000">
      <w:pPr>
        <w:tabs>
          <w:tab w:val="left" w:pos="720"/>
          <w:tab w:val="left" w:pos="720"/>
        </w:tabs>
        <w:spacing w:before="240" w:after="240" w:line="240" w:lineRule="auto"/>
        <w:ind w:firstLine="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GEERTZ, C. </w:t>
      </w:r>
      <w:r>
        <w:rPr>
          <w:rFonts w:ascii="Times New Roman" w:eastAsia="Times New Roman" w:hAnsi="Times New Roman" w:cs="Times New Roman"/>
          <w:b/>
          <w:highlight w:val="white"/>
        </w:rPr>
        <w:t>O saber local</w:t>
      </w:r>
      <w:r>
        <w:rPr>
          <w:rFonts w:ascii="Times New Roman" w:eastAsia="Times New Roman" w:hAnsi="Times New Roman" w:cs="Times New Roman"/>
          <w:highlight w:val="white"/>
        </w:rPr>
        <w:t>: novos ensaios em antropologia interpretativa. Tradução de Vera Mello Joscelyne. Petrópolis, RJ: Vozes, 1997.</w:t>
      </w:r>
    </w:p>
    <w:p w14:paraId="32DBBEBF" w14:textId="77777777" w:rsidR="0059783F" w:rsidRDefault="00000000">
      <w:pPr>
        <w:tabs>
          <w:tab w:val="left" w:pos="720"/>
          <w:tab w:val="left" w:pos="720"/>
        </w:tabs>
        <w:spacing w:line="240" w:lineRule="auto"/>
        <w:ind w:firstLine="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GERHARDT, T. E.; SILVEIRA, D. T. </w:t>
      </w:r>
      <w:r>
        <w:rPr>
          <w:rFonts w:ascii="Times New Roman" w:eastAsia="Times New Roman" w:hAnsi="Times New Roman" w:cs="Times New Roman"/>
          <w:b/>
          <w:highlight w:val="white"/>
        </w:rPr>
        <w:t>Métodos de pesquisa</w:t>
      </w:r>
      <w:r>
        <w:rPr>
          <w:rFonts w:ascii="Times New Roman" w:eastAsia="Times New Roman" w:hAnsi="Times New Roman" w:cs="Times New Roman"/>
          <w:highlight w:val="white"/>
        </w:rPr>
        <w:t>. Coordenado pela Universidade Aberta do Brasil – UAB/UFRGS e pelo Curso de Graduação Tecnológica – Planejamento e Gestão para o Desenvolvimento Rural da SEAD/UFRGS. Porto Alegre: Editora da UFRGS, 2009.</w:t>
      </w:r>
    </w:p>
    <w:p w14:paraId="3331666D" w14:textId="77777777" w:rsidR="0059783F" w:rsidRDefault="00000000">
      <w:pPr>
        <w:tabs>
          <w:tab w:val="left" w:pos="720"/>
          <w:tab w:val="left" w:pos="720"/>
        </w:tabs>
        <w:spacing w:before="240" w:after="240" w:line="240" w:lineRule="auto"/>
        <w:ind w:firstLine="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LÉVY, P. </w:t>
      </w:r>
      <w:r>
        <w:rPr>
          <w:rFonts w:ascii="Times New Roman" w:eastAsia="Times New Roman" w:hAnsi="Times New Roman" w:cs="Times New Roman"/>
          <w:b/>
          <w:highlight w:val="white"/>
        </w:rPr>
        <w:t>A ideografia dinâmica</w:t>
      </w:r>
      <w:r>
        <w:rPr>
          <w:rFonts w:ascii="Times New Roman" w:eastAsia="Times New Roman" w:hAnsi="Times New Roman" w:cs="Times New Roman"/>
          <w:highlight w:val="white"/>
        </w:rPr>
        <w:t>: rumo a uma imaginação artificial? Tradução de Marcos Marcionilo e Saulo Krieger. São Paulo: Edições Loyola, 1998.</w:t>
      </w:r>
    </w:p>
    <w:p w14:paraId="0933308D" w14:textId="77777777" w:rsidR="0059783F" w:rsidRDefault="00000000">
      <w:pPr>
        <w:tabs>
          <w:tab w:val="left" w:pos="720"/>
          <w:tab w:val="left" w:pos="720"/>
        </w:tabs>
        <w:spacing w:before="240" w:after="240" w:line="240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MORIN, E (org.). </w:t>
      </w:r>
      <w:r>
        <w:rPr>
          <w:rFonts w:ascii="Times New Roman" w:eastAsia="Times New Roman" w:hAnsi="Times New Roman" w:cs="Times New Roman"/>
          <w:b/>
          <w:highlight w:val="white"/>
        </w:rPr>
        <w:t>Relier les connaissances</w:t>
      </w:r>
      <w:r>
        <w:rPr>
          <w:rFonts w:ascii="Times New Roman" w:eastAsia="Times New Roman" w:hAnsi="Times New Roman" w:cs="Times New Roman"/>
          <w:highlight w:val="white"/>
        </w:rPr>
        <w:t>: jornadas temáticas (1998: Paris, França, 1998): o desafio do século XXI. Tradução de Flávia Nascimento. 2. ed. Rio de Janeiro: Bertrand Brasil, 2002.</w:t>
      </w:r>
    </w:p>
    <w:p w14:paraId="0BDA599B" w14:textId="77777777" w:rsidR="0059783F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color w:val="131314"/>
          <w:highlight w:val="white"/>
        </w:rPr>
      </w:pPr>
      <w:r>
        <w:rPr>
          <w:rFonts w:ascii="Times New Roman" w:eastAsia="Times New Roman" w:hAnsi="Times New Roman" w:cs="Times New Roman"/>
          <w:color w:val="131314"/>
          <w:highlight w:val="white"/>
        </w:rPr>
        <w:t xml:space="preserve">PEIRCE, C. S.. </w:t>
      </w:r>
      <w:r>
        <w:rPr>
          <w:rFonts w:ascii="Times New Roman" w:eastAsia="Times New Roman" w:hAnsi="Times New Roman" w:cs="Times New Roman"/>
          <w:b/>
          <w:color w:val="131314"/>
          <w:highlight w:val="white"/>
        </w:rPr>
        <w:t>Collected Papers of Charles Sanders Peirce.</w:t>
      </w:r>
      <w:r>
        <w:rPr>
          <w:rFonts w:ascii="Times New Roman" w:eastAsia="Times New Roman" w:hAnsi="Times New Roman" w:cs="Times New Roman"/>
          <w:color w:val="131314"/>
          <w:highlight w:val="white"/>
        </w:rPr>
        <w:t xml:space="preserve"> Editado por Charles Hartshorne, Paul Weiss e Arthur W. Burks. Cambridge, MA: Harvard University Press, 1931–1958.</w:t>
      </w:r>
    </w:p>
    <w:p w14:paraId="52AC549E" w14:textId="77777777" w:rsidR="0059783F" w:rsidRDefault="0059783F">
      <w:pPr>
        <w:spacing w:line="240" w:lineRule="auto"/>
        <w:ind w:firstLine="0"/>
        <w:rPr>
          <w:rFonts w:ascii="Times New Roman" w:eastAsia="Times New Roman" w:hAnsi="Times New Roman" w:cs="Times New Roman"/>
          <w:color w:val="131314"/>
          <w:highlight w:val="white"/>
        </w:rPr>
      </w:pPr>
    </w:p>
    <w:p w14:paraId="38370BEA" w14:textId="77777777" w:rsidR="0059783F" w:rsidRDefault="00000000">
      <w:pPr>
        <w:spacing w:line="240" w:lineRule="auto"/>
        <w:ind w:firstLine="0"/>
        <w:rPr>
          <w:rFonts w:ascii="Times New Roman" w:eastAsia="Times New Roman" w:hAnsi="Times New Roman" w:cs="Times New Roman"/>
          <w:color w:val="131314"/>
          <w:highlight w:val="white"/>
        </w:rPr>
      </w:pPr>
      <w:r>
        <w:rPr>
          <w:rFonts w:ascii="Times New Roman" w:eastAsia="Times New Roman" w:hAnsi="Times New Roman" w:cs="Times New Roman"/>
          <w:color w:val="131314"/>
          <w:highlight w:val="white"/>
        </w:rPr>
        <w:t xml:space="preserve">SANTAELLA, L. </w:t>
      </w:r>
      <w:r>
        <w:rPr>
          <w:rFonts w:ascii="Times New Roman" w:eastAsia="Times New Roman" w:hAnsi="Times New Roman" w:cs="Times New Roman"/>
          <w:b/>
          <w:color w:val="131314"/>
          <w:highlight w:val="white"/>
        </w:rPr>
        <w:t>Pensar a inteligência artificial</w:t>
      </w:r>
      <w:r>
        <w:rPr>
          <w:rFonts w:ascii="Times New Roman" w:eastAsia="Times New Roman" w:hAnsi="Times New Roman" w:cs="Times New Roman"/>
          <w:color w:val="131314"/>
          <w:highlight w:val="white"/>
        </w:rPr>
        <w:t xml:space="preserve">: cultura de plataforma e desafios à criatividade. Organizadores: RIBEIRO, Daniel Melo; ALZAMORA, Geane. Belo Horizonte, MG: Fafich/Selo PPGCOM/UFMG, 2023. </w:t>
      </w:r>
    </w:p>
    <w:p w14:paraId="32D0D3AB" w14:textId="77777777" w:rsidR="0059783F" w:rsidRDefault="0059783F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105521CA" w14:textId="77777777" w:rsidR="0059783F" w:rsidRDefault="00000000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UNESCO.</w:t>
      </w:r>
      <w:r>
        <w:rPr>
          <w:rFonts w:ascii="Times New Roman" w:eastAsia="Times New Roman" w:hAnsi="Times New Roman" w:cs="Times New Roman"/>
          <w:b/>
        </w:rPr>
        <w:t xml:space="preserve"> ChatGPT e outras IA geradoras</w:t>
      </w:r>
      <w:r>
        <w:rPr>
          <w:rFonts w:ascii="Times New Roman" w:eastAsia="Times New Roman" w:hAnsi="Times New Roman" w:cs="Times New Roman"/>
        </w:rPr>
        <w:t>: orientações para educadores. Paris: Unesco, 2023. Disponível em: https://unesdoc.unesco.org/ark:/48223/pf0000385146_por</w:t>
      </w:r>
      <w:r>
        <w:rPr>
          <w:rFonts w:ascii="Times New Roman" w:eastAsia="Times New Roman" w:hAnsi="Times New Roman" w:cs="Times New Roman"/>
          <w:color w:val="444746"/>
        </w:rPr>
        <w:t xml:space="preserve">. </w:t>
      </w:r>
      <w:r>
        <w:rPr>
          <w:rFonts w:ascii="Times New Roman" w:eastAsia="Times New Roman" w:hAnsi="Times New Roman" w:cs="Times New Roman"/>
        </w:rPr>
        <w:t>Acesso em: 9 jul. 2025.</w:t>
      </w:r>
    </w:p>
    <w:p w14:paraId="2CFDED9E" w14:textId="77777777" w:rsidR="0059783F" w:rsidRDefault="0059783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</w:p>
    <w:sectPr w:rsidR="0059783F">
      <w:headerReference w:type="default" r:id="rId7"/>
      <w:footerReference w:type="default" r:id="rId8"/>
      <w:pgSz w:w="11906" w:h="16838"/>
      <w:pgMar w:top="1417" w:right="1701" w:bottom="1417" w:left="1701" w:header="90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85455" w14:textId="77777777" w:rsidR="005043C1" w:rsidRDefault="005043C1">
      <w:pPr>
        <w:spacing w:line="240" w:lineRule="auto"/>
      </w:pPr>
      <w:r>
        <w:separator/>
      </w:r>
    </w:p>
  </w:endnote>
  <w:endnote w:type="continuationSeparator" w:id="0">
    <w:p w14:paraId="68019836" w14:textId="77777777" w:rsidR="005043C1" w:rsidRDefault="005043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B832F07-C13B-4650-AAF7-793711178AA3}"/>
    <w:embedItalic r:id="rId2" w:fontKey="{BB41B871-0F04-46EC-A249-260D58D2407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81DF9AAE-80D7-45E7-BBC7-ECD15E7310D2}"/>
    <w:embedBold r:id="rId4" w:fontKey="{B4D014EC-9DF2-4C37-AEFA-B1FCEF00C5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01B16BE-46C1-4291-924D-D994528442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F9E48C1-87C4-4503-A779-E1B20C4EE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F64E8" w14:textId="77777777" w:rsidR="0059783F" w:rsidRDefault="005978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E4EC8" w14:textId="77777777" w:rsidR="005043C1" w:rsidRDefault="005043C1">
      <w:pPr>
        <w:spacing w:line="240" w:lineRule="auto"/>
      </w:pPr>
      <w:r>
        <w:separator/>
      </w:r>
    </w:p>
  </w:footnote>
  <w:footnote w:type="continuationSeparator" w:id="0">
    <w:p w14:paraId="611923AD" w14:textId="77777777" w:rsidR="005043C1" w:rsidRDefault="005043C1">
      <w:pPr>
        <w:spacing w:line="240" w:lineRule="auto"/>
      </w:pPr>
      <w:r>
        <w:continuationSeparator/>
      </w:r>
    </w:p>
  </w:footnote>
  <w:footnote w:id="1">
    <w:p w14:paraId="08907885" w14:textId="77777777" w:rsidR="0059783F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Universidade do Estado da Bahia (UNEB), regiani.cravo@gmail.com</w:t>
      </w:r>
    </w:p>
  </w:footnote>
  <w:footnote w:id="2">
    <w:p w14:paraId="296C4A34" w14:textId="77777777" w:rsidR="0059783F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Universidade SENAI CIMATEC, rodolfo.exler@fieb.org.br</w:t>
      </w:r>
    </w:p>
  </w:footnote>
  <w:footnote w:id="3">
    <w:p w14:paraId="3A677619" w14:textId="77777777" w:rsidR="0059783F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Universidade do Estado da Bahia (UNEB), mtpinheiro@gmail.com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2117" w14:textId="77777777" w:rsidR="005978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4263B40" wp14:editId="09BBE6C3">
          <wp:simplePos x="0" y="0"/>
          <wp:positionH relativeFrom="column">
            <wp:posOffset>-1123946</wp:posOffset>
          </wp:positionH>
          <wp:positionV relativeFrom="paragraph">
            <wp:posOffset>-571497</wp:posOffset>
          </wp:positionV>
          <wp:extent cx="7725285" cy="1348617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5285" cy="134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3F424E" w14:textId="77777777" w:rsidR="0059783F" w:rsidRDefault="005978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EDF60BC" w14:textId="77777777" w:rsidR="0059783F" w:rsidRDefault="005978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6A8EE130" w14:textId="77777777" w:rsidR="0059783F" w:rsidRDefault="005978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661E6ED" w14:textId="77777777" w:rsidR="0059783F" w:rsidRDefault="005978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83F"/>
    <w:rsid w:val="004A7FBE"/>
    <w:rsid w:val="005043C1"/>
    <w:rsid w:val="0059783F"/>
    <w:rsid w:val="00E5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8683D"/>
  <w15:docId w15:val="{F346864B-EF1F-4A37-AD2D-585DB0BC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11C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C9D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C9D"/>
    <w:rPr>
      <w:rFonts w:ascii="Arial" w:hAnsi="Arial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Moqch9QpV5jFkCSl8+mPJTEM2Q==">CgMxLjA4AHIhMWpIdDZ1ZlpBWi1mYk9TUzhjSVI4ODBpMDlqSmFoMXhw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764</Words>
  <Characters>4126</Characters>
  <Application>Microsoft Office Word</Application>
  <DocSecurity>0</DocSecurity>
  <Lines>34</Lines>
  <Paragraphs>9</Paragraphs>
  <ScaleCrop>false</ScaleCrop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REGIANI Coser Cravo</cp:lastModifiedBy>
  <cp:revision>2</cp:revision>
  <dcterms:created xsi:type="dcterms:W3CDTF">2025-09-27T13:26:00Z</dcterms:created>
  <dcterms:modified xsi:type="dcterms:W3CDTF">2025-09-30T02:02:00Z</dcterms:modified>
</cp:coreProperties>
</file>