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857D5" w14:textId="77777777" w:rsidR="009B4014" w:rsidRDefault="00E64BAF" w:rsidP="007E015C">
      <w:pPr>
        <w:spacing w:after="0"/>
      </w:pPr>
      <w:r>
        <w:rPr>
          <w:noProof/>
          <w:lang w:eastAsia="pt-BR"/>
        </w:rPr>
        <w:drawing>
          <wp:inline distT="0" distB="0" distL="0" distR="0" wp14:anchorId="48591285" wp14:editId="1C284F63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21A23" w14:textId="77777777" w:rsidR="003C7CC4" w:rsidRDefault="003C7CC4" w:rsidP="007E0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6E0407C" w14:textId="77777777" w:rsidR="003C7CC4" w:rsidRDefault="003C7CC4" w:rsidP="007E0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25DE6A8F" w14:textId="21E19A11" w:rsidR="00342DF4" w:rsidRDefault="00200EF3" w:rsidP="007E0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00EF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VIOLÊNCIA E EXTERMÍNIO DE ADOLESCENTES E JOVENS: RACISMO E DISCRIMINAÇÕES DE GÊNERO NA MIRA DO FUZIL</w:t>
      </w:r>
      <w:r w:rsidR="00342DF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14:paraId="60AAC42B" w14:textId="77777777" w:rsidR="00342DF4" w:rsidRDefault="00342DF4" w:rsidP="007E015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992BA59" w14:textId="77777777" w:rsidR="003C7CC4" w:rsidRDefault="003C7CC4" w:rsidP="007E015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23485C2" w14:textId="4416CBBC" w:rsidR="00342DF4" w:rsidRPr="00C858EA" w:rsidRDefault="00171517" w:rsidP="007E01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858E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Thiago Aranha</w:t>
      </w:r>
    </w:p>
    <w:p w14:paraId="03FC18AE" w14:textId="0127A7CA" w:rsidR="00342DF4" w:rsidRDefault="00171517" w:rsidP="007E01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 - UNIMONTES</w:t>
      </w:r>
    </w:p>
    <w:p w14:paraId="794B7D56" w14:textId="309FA533" w:rsidR="00342DF4" w:rsidRPr="00C858EA" w:rsidRDefault="00171517" w:rsidP="007E01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Pr="00C858EA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pt-BR"/>
          </w:rPr>
          <w:t>thiagoaranhas@yahoo.com</w:t>
        </w:r>
      </w:hyperlink>
      <w:r w:rsidRPr="00C858E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 </w:t>
      </w:r>
      <w:hyperlink r:id="rId6" w:history="1">
        <w:r w:rsidRPr="00C858EA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pt-BR"/>
          </w:rPr>
          <w:t>Thiago.santos@unimontes.br</w:t>
        </w:r>
      </w:hyperlink>
    </w:p>
    <w:p w14:paraId="601439F0" w14:textId="38A01436" w:rsidR="00342DF4" w:rsidRPr="00C858EA" w:rsidRDefault="001E7E05" w:rsidP="007E01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Adeildo Vila Nova</w:t>
      </w:r>
    </w:p>
    <w:p w14:paraId="02FF8309" w14:textId="4DBF0792" w:rsidR="00342DF4" w:rsidRPr="00C858EA" w:rsidRDefault="00395B08" w:rsidP="007E01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858EA"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 - UNIMONTES</w:t>
      </w:r>
    </w:p>
    <w:p w14:paraId="1F529164" w14:textId="4E30CEC7" w:rsidR="00342DF4" w:rsidRPr="00C858EA" w:rsidRDefault="00395B08" w:rsidP="007E01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858EA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adeildovilanova@</w:t>
      </w:r>
      <w:r w:rsidR="00356A71" w:rsidRPr="00C858EA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yahoo.com.br</w:t>
      </w:r>
      <w:r w:rsidR="00356A71" w:rsidRPr="00C858E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ou </w:t>
      </w:r>
      <w:r w:rsidR="00A76803" w:rsidRPr="00C858EA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a</w:t>
      </w:r>
      <w:r w:rsidR="00356A71" w:rsidRPr="00C858EA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deildo.silva@unimontes.</w:t>
      </w:r>
      <w:r w:rsidR="00A76803" w:rsidRPr="00C858EA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br</w:t>
      </w:r>
      <w:r w:rsidR="00A76803" w:rsidRPr="00C858E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7FF04E22" w14:textId="77777777" w:rsidR="00C858EA" w:rsidRDefault="00C858EA" w:rsidP="007E01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3DA067BF" w14:textId="49634239" w:rsidR="00342DF4" w:rsidRPr="00C858EA" w:rsidRDefault="00342DF4" w:rsidP="007E01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858E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171517" w:rsidRPr="00C858E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2 - Educação e Justiça Social: Identidades, Gênero e Relações Étnico-Raciais</w:t>
      </w:r>
    </w:p>
    <w:p w14:paraId="4DB8E0A1" w14:textId="14EAD449" w:rsidR="00342DF4" w:rsidRPr="00C858EA" w:rsidRDefault="00342DF4" w:rsidP="007E01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858E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 w:rsidRPr="00C858E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4421AB" w:rsidRPr="004421A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Juventude; Racismo; Violência de gênero.</w:t>
      </w:r>
    </w:p>
    <w:p w14:paraId="488E5CF3" w14:textId="77777777" w:rsidR="00342DF4" w:rsidRDefault="00342DF4" w:rsidP="007E015C">
      <w:pPr>
        <w:spacing w:after="0"/>
      </w:pPr>
    </w:p>
    <w:p w14:paraId="0295F701" w14:textId="77777777" w:rsidR="00342DF4" w:rsidRDefault="00342DF4" w:rsidP="007E015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E319656" w14:textId="4DE97FCA" w:rsidR="00342DF4" w:rsidRDefault="00342DF4" w:rsidP="007E015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  <w:r w:rsidR="00C15C8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/ metodologia </w:t>
      </w:r>
      <w:r w:rsidR="009E5F3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/ </w:t>
      </w:r>
      <w:r w:rsidR="00C15C8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aporte teórico</w:t>
      </w:r>
    </w:p>
    <w:p w14:paraId="266D0568" w14:textId="77777777" w:rsidR="00FE20E2" w:rsidRDefault="00FE20E2" w:rsidP="007E015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5DF9A54" w14:textId="4C2360C1" w:rsidR="004F5CF5" w:rsidRDefault="004F5CF5" w:rsidP="007E015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F5C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presente artigo busca analisar criticamente a violência e o extermínio de adolescentes e jovens no Brasil, evidenciando como o racismo estrutural e as discriminações de gênero produzem e reproduzem um padrão de morte seletiva que tem a juventude negra, periférica e dissidente de normas de gênero e sexualidade como principal alvo. A partir de uma perspectiva </w:t>
      </w:r>
      <w:r w:rsidR="00EC14C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teórica </w:t>
      </w:r>
      <w:r w:rsidRPr="004F5CF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crítica e interseccional, discute-se o entrelaçamento entre capitalismo dependente, necropolítica e desigualdades estruturais que marcam a realidade brasileira. Por fim, defende-se a centralidade da luta antirracista, feminista e anticapitalista na construção de alternativas emancipatórias.</w:t>
      </w:r>
      <w:r w:rsidR="00310E36" w:rsidRPr="009904B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 xml:space="preserve"> Elegeu-se a pesquisa documental e bibliográfica para subsidiar as análises que as subscrevem, cujo método de análise, privilegia e é subsidiada pelas categorias do materialismo histórico-dialético</w:t>
      </w:r>
      <w:r w:rsidR="009904BF" w:rsidRPr="009904B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t-BR"/>
        </w:rPr>
        <w:t>.</w:t>
      </w:r>
    </w:p>
    <w:p w14:paraId="11F98C04" w14:textId="4A8A5A2D" w:rsidR="00927E7B" w:rsidRPr="00927E7B" w:rsidRDefault="00947067" w:rsidP="007E015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Por </w:t>
      </w:r>
      <w:r w:rsidR="005E162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início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cabe-nos </w:t>
      </w:r>
      <w:r w:rsidR="005E162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afirmar que a</w:t>
      </w:r>
      <w:r w:rsidR="00927E7B" w:rsidRPr="00927E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violência letal contra adolescentes e jovens no Brasil revela um padrão histórico e estrutural de desigualdades que transforma determinadas vidas em descartáveis. Longe de ser mero resultado de falhas na segurança pública, trata-se de uma engrenagem forjada pelo racismo estrutural, pelo patriarcado e pela lógica capitalista dependente que rege a sociabilidade brasileira. O país figura entre </w:t>
      </w:r>
      <w:r w:rsidR="00927E7B" w:rsidRPr="00927E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os que mais matam jovens no mundo, com um recorte racial, de classe e de gênero que explicita a seletividade da morte. De acordo com o </w:t>
      </w:r>
      <w:r w:rsidR="00927E7B" w:rsidRPr="00927E7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Atlas da Violência</w:t>
      </w:r>
      <w:r w:rsidR="00927E7B" w:rsidRPr="00927E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(IPEA, 2023), em 2021 a taxa de homicídios entre jovens negros foi quase três vezes superior à dos jovens brancos, reafirmando que a cor da pele e a condição social continuam a definir a probabilidade de viver ou morrer.</w:t>
      </w:r>
    </w:p>
    <w:p w14:paraId="2D7D3777" w14:textId="254BDF88" w:rsidR="00927E7B" w:rsidRDefault="00927E7B" w:rsidP="007E015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27E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Esse fenômeno não pode ser reduzido a estatísticas. Ele expressa um projeto social que organiza as formas de vida e de morte de acordo com hierarquias de raça, classe e gênero. </w:t>
      </w:r>
      <w:proofErr w:type="spellStart"/>
      <w:r w:rsidRPr="00927E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Mbembe</w:t>
      </w:r>
      <w:proofErr w:type="spellEnd"/>
      <w:r w:rsidRPr="00927E7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(2018) conceitua essa lógica como necropolítica, apontando que o poder soberano decide quem pode viver e quem deve morrer, criando zonas de extermínio em que a juventude negra e periférica é colocada sob a condição de “matável”:</w:t>
      </w:r>
    </w:p>
    <w:p w14:paraId="03CD9AEA" w14:textId="77777777" w:rsidR="002C6D07" w:rsidRDefault="002C6D07" w:rsidP="007E015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</w:p>
    <w:p w14:paraId="4A3CF82A" w14:textId="33634EAA" w:rsidR="002C6D07" w:rsidRDefault="002C6D07" w:rsidP="007E015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  <w:r w:rsidRPr="002C6D07"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  <w:t>A política da morte é, ao mesmo tempo, a gestão da vida dos outros. Trata-se de um poder que, longe de simplesmente decidir sobre a morte, organiza a vida em torno da exposição permanente à violência e ao risco de eliminação (MBEMBE, 2018, p. 23).</w:t>
      </w:r>
    </w:p>
    <w:p w14:paraId="446A42BF" w14:textId="77777777" w:rsidR="0028226E" w:rsidRPr="00927E7B" w:rsidRDefault="0028226E" w:rsidP="007E015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</w:p>
    <w:p w14:paraId="5F614B31" w14:textId="0A71A8E1" w:rsidR="00342DF4" w:rsidRPr="00EA766F" w:rsidRDefault="0028226E" w:rsidP="007E015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A766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Na realidade brasileira, a necropolítica se atualiza em chacinas policiais, na naturalização do encarceramento em massa e na criminalização da juventude pobre, especialmente quando negra. Como destaca Moura (1994), a abolição da escravidão não significou a inserção plena da população negra na sociedade, mas a reconfiguração das formas de dominação:</w:t>
      </w:r>
    </w:p>
    <w:p w14:paraId="700181E9" w14:textId="508AB50D" w:rsidR="00EA766F" w:rsidRDefault="00EA766F" w:rsidP="007E015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  <w:r w:rsidRPr="00602681"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  <w:t>O fim da escravidão formal não significou a inclusão social do negro. Pelo contrário, inaugurou-se uma nova etapa da marginalização e da exclusão, que se perpetua sob diversas formas de violência estrutural” (MOURA, 1994, p. 57).</w:t>
      </w:r>
    </w:p>
    <w:p w14:paraId="50ED0EE8" w14:textId="77777777" w:rsidR="00FE20E2" w:rsidRPr="00602681" w:rsidRDefault="00FE20E2" w:rsidP="007E015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</w:p>
    <w:p w14:paraId="21F9711F" w14:textId="1FCCEB7A" w:rsidR="00DE438A" w:rsidRDefault="007020D8" w:rsidP="004907F2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  <w:r w:rsidRPr="007020D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É nesse contexto que as discriminações de gênero e sexualidade se entrelaçam às determinações raciais e de classe, agravando as condições de vulnerabilidade. Meninas negras estão entre as principais vítimas de exploração sexual e violência doméstica; jovens gays, lésbicas, bissexuais e, sobretudo, pessoas trans e travestis enfrentam um cenário de marginalização extrema, em que a expectativa de vida pode ser inferior a 35 anos (ANTRA, 2024). </w:t>
      </w:r>
    </w:p>
    <w:p w14:paraId="308CDB98" w14:textId="7ADDE78B" w:rsidR="00672A8E" w:rsidRDefault="00C37F8D" w:rsidP="006A663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Cabe ressaltar ainda que a</w:t>
      </w:r>
      <w:r w:rsidR="00672A8E" w:rsidRPr="00672A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violência letal que atinge adolescentes e jovens no Brasil está marcada pela seletividade racial, de classe e de gênero. Os corpos jovens negros e periféricos não são alvos ocasionais, mas objetos centrais de uma engrenagem de controle social que se forja historicamente.</w:t>
      </w:r>
    </w:p>
    <w:p w14:paraId="3ABCB94B" w14:textId="1F82B791" w:rsidR="00672A8E" w:rsidRDefault="00A74F33" w:rsidP="006A663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74F3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6A663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xiste assim, uma </w:t>
      </w:r>
      <w:r w:rsidRPr="00A74F3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marginalização histórica </w:t>
      </w:r>
      <w:r w:rsidR="006615B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que </w:t>
      </w:r>
      <w:proofErr w:type="gramStart"/>
      <w:r w:rsidRPr="00A74F3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conecta-se</w:t>
      </w:r>
      <w:proofErr w:type="gramEnd"/>
      <w:r w:rsidRPr="00A74F3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lógica da dependência econômica e da superexploração, que, segundo Marini (2000), caracteriza as sociedades latino-americanas. O capitalismo dependente necessita da intensificação da </w:t>
      </w:r>
      <w:r w:rsidRPr="00A74F3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exploração de determinados segmentos sociais e, simultaneamente, de mecanismos de repressão e eliminação para conter os excedentes populacionais que não são plenamente absorvidos pelo mercado de trabalho:</w:t>
      </w:r>
    </w:p>
    <w:p w14:paraId="1B5CCA40" w14:textId="1EF02021" w:rsidR="00A74F33" w:rsidRDefault="00A74F33" w:rsidP="007E015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  <w:r w:rsidRPr="0028108E"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  <w:t>A superexploração da força de trabalho não é apenas uma necessidade econômica, mas também um mecanismo de controle político e social, que naturaliza a precarização e legitima a violência sobre os trabalhadores</w:t>
      </w:r>
      <w:r w:rsidR="0028108E" w:rsidRPr="0028108E"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  <w:t xml:space="preserve"> </w:t>
      </w:r>
      <w:r w:rsidRPr="0028108E"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  <w:t>(MARINI, 2000, p. 146).</w:t>
      </w:r>
    </w:p>
    <w:p w14:paraId="1C09E9B3" w14:textId="77777777" w:rsidR="00FE20E2" w:rsidRPr="0028108E" w:rsidRDefault="00FE20E2" w:rsidP="007E015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</w:p>
    <w:p w14:paraId="4182E1EF" w14:textId="3C5D9711" w:rsidR="00907C2B" w:rsidRDefault="00907C2B" w:rsidP="007E015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07C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No caso brasileiro, esse mecanismo assume uma feição </w:t>
      </w:r>
      <w:proofErr w:type="spellStart"/>
      <w:r w:rsidRPr="00907C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racializada</w:t>
      </w:r>
      <w:proofErr w:type="spellEnd"/>
      <w:r w:rsidRPr="00907C2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 A juventude negra é construída como “classe perigosa” e permanentemente suspeita. Essa construção simbólica legitima o genocídio, naturalizando mortes em operações policiais e culpabilizando as próprias vítimas por suas condições de vida. Moura (1988) aponta que o racismo é funcional à manutenção da ordem capitalista, pois garante uma divisão social que intensifica a exploração e permite justificar a eliminação dos “indesejados”:</w:t>
      </w:r>
    </w:p>
    <w:p w14:paraId="05B14454" w14:textId="7A2C7B0F" w:rsidR="00907C2B" w:rsidRDefault="00907C2B" w:rsidP="007E015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  <w:r w:rsidRPr="001A682E"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  <w:t>O racismo, ao mesmo tempo em que inferioriza e desumaniza o negro, cumpre a função de legitimar a violência contra ele. Trata-se de um mecanismo de dominação que naturaliza a exclusão e justifica a opressão” (MOURA, 1988, p. 92).</w:t>
      </w:r>
    </w:p>
    <w:p w14:paraId="69766D9A" w14:textId="77777777" w:rsidR="00FE20E2" w:rsidRPr="001A682E" w:rsidRDefault="00FE20E2" w:rsidP="007E015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</w:p>
    <w:p w14:paraId="279ED767" w14:textId="393B4B4D" w:rsidR="00DE438A" w:rsidRPr="00F2683F" w:rsidRDefault="00B9364F" w:rsidP="007E015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Ao se </w:t>
      </w:r>
      <w:r w:rsidR="00F2683F" w:rsidRPr="00F268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adiciona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</w:t>
      </w:r>
      <w:r w:rsidR="00F2683F" w:rsidRPr="00F268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dimensão gênero, as vulnerabilidades se multiplicam. Meninas negras são as maiores vítimas de violência sexual e exploração do trabalho doméstico, herança da divisão racial e patriarcal do trabalho. Jovens LGBT</w:t>
      </w:r>
      <w:r w:rsidR="00207BA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QIAPN</w:t>
      </w:r>
      <w:r w:rsidR="00F2683F" w:rsidRPr="00F268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+, sobretudo trans e travestis, vivenciam uma dupla marginalização: sofrem com a </w:t>
      </w:r>
      <w:proofErr w:type="spellStart"/>
      <w:r w:rsidR="00F2683F" w:rsidRPr="00F268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LGBT</w:t>
      </w:r>
      <w:r w:rsidR="00207BA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QIAPN+</w:t>
      </w:r>
      <w:r w:rsidR="00F2683F" w:rsidRPr="00F268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fobia</w:t>
      </w:r>
      <w:proofErr w:type="spellEnd"/>
      <w:r w:rsidR="00F2683F" w:rsidRPr="00F2683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com a violência racial e de classe, muitas vezes concentradas na exclusão escolar e na exclusividade da prostituição como meio de sobrevivência (ANTRA, 2024). Collins (2019) oferece a categoria de matriz de dominação para compreender como as opressões não operam isoladamente, mas se interconectam na produção da morte seletiva:</w:t>
      </w:r>
    </w:p>
    <w:p w14:paraId="6EFB9CC9" w14:textId="6B13B120" w:rsidR="00DE438A" w:rsidRDefault="00F2683F" w:rsidP="007E015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  <w:r w:rsidRPr="00021735"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  <w:t>As opressões interagem de forma simultânea e reforçam-se mutuamente, de modo que a experiência de ser jovem, negra e mulher ou de ser jovem, negro e trans não pode ser compreendida a partir de apenas uma dessas categorias isoladamente” (COLLINS, 2019, p. 112).</w:t>
      </w:r>
    </w:p>
    <w:p w14:paraId="470D7076" w14:textId="77777777" w:rsidR="00FE20E2" w:rsidRPr="00021735" w:rsidRDefault="00FE20E2" w:rsidP="007E015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</w:p>
    <w:p w14:paraId="3611E009" w14:textId="5C6EC36A" w:rsidR="00DE3E16" w:rsidRPr="00977893" w:rsidRDefault="00DE3E16" w:rsidP="007E015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778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Essa articulação evidencia que a violência não é apenas resultado de desigualdades sociais abstratas, mas de um sistema estruturado para preservar privilégios e eliminar aqueles considerados excedentes ou desviantes. Como Yazbek (2009) ressalta, a questão social no Brasil não pode ser dissociada da violência repressiva que recai sobre as classes subalternas:</w:t>
      </w:r>
    </w:p>
    <w:p w14:paraId="296C62F5" w14:textId="2AC30AD5" w:rsidR="00DE438A" w:rsidRDefault="00977893" w:rsidP="007E015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  <w:r w:rsidRPr="00021735"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  <w:t>A questão social, além de se expressar pela desigualdade e pela negação de direitos, manifesta-se pela repressão sistemática, pela criminalização e pela violência cotidiana que se abate sobre os pobres” (YAZBEK, 2009, p. 74).</w:t>
      </w:r>
    </w:p>
    <w:p w14:paraId="40FA3CF4" w14:textId="77777777" w:rsidR="00FE20E2" w:rsidRPr="00021735" w:rsidRDefault="00FE20E2" w:rsidP="007E015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</w:p>
    <w:p w14:paraId="7C8EF9D7" w14:textId="200463B1" w:rsidR="00DE438A" w:rsidRDefault="00021735" w:rsidP="007E015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2173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Portanto, </w:t>
      </w:r>
      <w:r w:rsidR="00724EC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</w:t>
      </w:r>
      <w:r w:rsidRPr="0002173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genocídio da juventude negra, pobre e dissidente não é acidente, mas expressão da lógica de reprodução capitalista e do patriarcado </w:t>
      </w:r>
      <w:proofErr w:type="spellStart"/>
      <w:r w:rsidRPr="0002173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racializado</w:t>
      </w:r>
      <w:proofErr w:type="spellEnd"/>
      <w:r w:rsidRPr="0002173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sustenta a ordem social brasileira.</w:t>
      </w:r>
    </w:p>
    <w:p w14:paraId="618BDF22" w14:textId="3431A33E" w:rsidR="00156574" w:rsidRPr="00AF037C" w:rsidRDefault="00156574" w:rsidP="007E015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F037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juventude negra, em especial os homens jovens das periferias, é transformada em alvo preferencial de políticas de segurança pública que se sustentam no ideário da guerra às drogas. Tais políticas não têm como objetivo central reduzir a criminalidade, mas sim controlar populações consideradas “perigosas”, como observa Vera Malaguti</w:t>
      </w:r>
      <w:r w:rsidR="007C276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AF037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(2011):</w:t>
      </w:r>
    </w:p>
    <w:p w14:paraId="51AB1A7F" w14:textId="7967B708" w:rsidR="00156574" w:rsidRDefault="00156574" w:rsidP="007E015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  <w:r w:rsidRPr="00F52BED"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  <w:t>O discurso da guerra às drogas legitima a militarização dos territórios pobres, criminaliza os jovens negros e pobres e constrói o inimigo interno, que deve ser combatido e eliminado” (BATISTA, 2011, p. 56).</w:t>
      </w:r>
    </w:p>
    <w:p w14:paraId="60261D2F" w14:textId="77777777" w:rsidR="00FE20E2" w:rsidRPr="00F52BED" w:rsidRDefault="00FE20E2" w:rsidP="007E015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</w:p>
    <w:p w14:paraId="2E2FECA4" w14:textId="1EBD768F" w:rsidR="00156574" w:rsidRPr="00AF037C" w:rsidRDefault="00156574" w:rsidP="007E015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F037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Essa construção do jovem negro como “inimigo” articula-se com a lógica de classe e com a herança escravocrata. Como Moura (1994) já alertava, a sociedade brasileira mantém mecanismos de criminalização das classes subalternas como forma de perpetuar o controle social:</w:t>
      </w:r>
    </w:p>
    <w:p w14:paraId="6FAB0323" w14:textId="4036D406" w:rsidR="00D96A67" w:rsidRDefault="00D96A67" w:rsidP="007E015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  <w:r w:rsidRPr="009C4A6F"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  <w:t>A criminalização da pobreza é uma forma de disciplinar as classes subalternas, reforçando a ideia de que os negros e pobres são naturalmente inclinados ao crime, legitimando assim sua repressão e exclusão (MOURA, 1994, p. 83).</w:t>
      </w:r>
    </w:p>
    <w:p w14:paraId="25B9204E" w14:textId="77777777" w:rsidR="006856D7" w:rsidRPr="009C4A6F" w:rsidRDefault="006856D7" w:rsidP="007E015C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</w:p>
    <w:p w14:paraId="0C6047F2" w14:textId="42270055" w:rsidR="003961B8" w:rsidRPr="00F3055D" w:rsidRDefault="00D96A67" w:rsidP="00D048E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t-BR"/>
        </w:rPr>
      </w:pPr>
      <w:r w:rsidRPr="00AF037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encarceramento em massa é uma das expressões mais evidentes dessa necropolítica. O Brasil possui hoje a terceira maior população carcerária do mundo, majoritariamente composta por jovens negros e pobres. </w:t>
      </w:r>
    </w:p>
    <w:p w14:paraId="23C23788" w14:textId="0B35C7E2" w:rsidR="004440B4" w:rsidRPr="004440B4" w:rsidRDefault="004440B4" w:rsidP="007E015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440B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Essa engrenagem repressiva não é neutra. Ao mesmo tempo em que mata seletivamente jovens negros nas ruas e nas prisões, também direciona violências específicas contra jovens mulheres e pessoas LGBT</w:t>
      </w:r>
      <w:r w:rsidR="00D048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Q</w:t>
      </w:r>
      <w:r w:rsidRPr="004440B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</w:t>
      </w:r>
      <w:r w:rsidR="00D048E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APN</w:t>
      </w:r>
      <w:r w:rsidRPr="004440B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+. As travestis e mulheres trans, por exemplo, são alvos constantes da violência policial e da exclusão institucional. O dossiê da ANTRA (2024) aponta que mais de 80% das pessoas trans assassinadas no Brasil têm menos de 35 anos, revelando que a necropolítica se entrelaça com o patriarcado e a LGBTfobia para definir quem deve morrer.</w:t>
      </w:r>
    </w:p>
    <w:p w14:paraId="01C53DF4" w14:textId="74BACB8E" w:rsidR="00AF037C" w:rsidRPr="00AF037C" w:rsidRDefault="00AF037C" w:rsidP="007E015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AF037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fuzil apontado contra adolescentes e jovens não é um desvio institucional, mas parte constitutiva de um modelo de sociabilidade que escolhe quais vidas são vivíveis e quais podem ser eliminadas em nome da ordem.</w:t>
      </w:r>
    </w:p>
    <w:p w14:paraId="08340C6E" w14:textId="77777777" w:rsidR="00342DF4" w:rsidRPr="00342DF4" w:rsidRDefault="00342DF4" w:rsidP="007E015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9B22B04" w14:textId="77777777" w:rsidR="00342DF4" w:rsidRDefault="00342DF4" w:rsidP="007E015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03290290" w14:textId="77777777" w:rsidR="00F955F0" w:rsidRDefault="00F955F0" w:rsidP="007E015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EA0BADD" w14:textId="716273EF" w:rsidR="008B5D1D" w:rsidRPr="008B5D1D" w:rsidRDefault="008B5D1D" w:rsidP="0086137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B5D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extermínio de adolescentes e jovens no Brasil revela um padrão estruturado de violência que articula racismo, patriarcado e capitalismo dependente, tornando certos </w:t>
      </w:r>
      <w:r w:rsidRPr="008B5D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corpos socialmente descartáveis. Essa realidade confirma que a violência letal não é resultado de falhas isoladas, mas expressão de um projeto histórico de necropolítica, no qual o Estado decide quem pode viver e quem deve morrer (MBEMBE, 2018).</w:t>
      </w:r>
    </w:p>
    <w:p w14:paraId="631EBD62" w14:textId="5FC05AA6" w:rsidR="00861371" w:rsidRPr="00861371" w:rsidRDefault="00861371" w:rsidP="0086137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613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luta antirracista, feminista, anticapitalista e contra a </w:t>
      </w:r>
      <w:proofErr w:type="spellStart"/>
      <w:r w:rsidRPr="008613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LGBT</w:t>
      </w:r>
      <w:r w:rsidR="00EB58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QIAPN+</w:t>
      </w:r>
      <w:r w:rsidRPr="008613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fobia</w:t>
      </w:r>
      <w:proofErr w:type="spellEnd"/>
      <w:r w:rsidRPr="008613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não é apenas necessária, mas central para a construção de uma sociedade na qual a vida da juventude negra, periférica e dissidente possa ser efetivamente valorizada.</w:t>
      </w:r>
      <w:r w:rsidR="00176C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Assim, o</w:t>
      </w:r>
      <w:r w:rsidRPr="008613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genocídio da juventude não pode ser naturalizado. Somente será possível romper com o fuzil que ainda mira os corpos jovens </w:t>
      </w:r>
      <w:r w:rsidR="00CD000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negros dissidentes </w:t>
      </w:r>
      <w:r w:rsidRPr="008613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das periferias brasileiras</w:t>
      </w:r>
      <w:r w:rsidR="0011139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 começarmos a </w:t>
      </w:r>
      <w:r w:rsidR="003A7F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pensar outra ordem societária fora do capitalismo</w:t>
      </w:r>
      <w:r w:rsidRPr="008613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0EAB167E" w14:textId="77777777" w:rsidR="00861371" w:rsidRPr="008B5D1D" w:rsidRDefault="00861371" w:rsidP="008B5D1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F7C7B7C" w14:textId="77777777" w:rsidR="00342DF4" w:rsidRDefault="00342DF4" w:rsidP="007E015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57769FBC" w14:textId="77777777" w:rsidR="00515853" w:rsidRDefault="00515853" w:rsidP="007E015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0D2CA1A" w14:textId="77777777" w:rsidR="00515853" w:rsidRDefault="00515853" w:rsidP="00D14D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ANTRA – Associação Nacional de Travestis e Transexuais. </w:t>
      </w:r>
      <w:r w:rsidRPr="0051585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t-BR"/>
        </w:rPr>
        <w:t>Dossiê Assassinatos e Violências contra Pessoas Trans no Brasil 2024</w:t>
      </w:r>
      <w:r w:rsidRPr="0051585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Brasília: ANTRA, 2024.</w:t>
      </w:r>
    </w:p>
    <w:p w14:paraId="7A61932F" w14:textId="77777777" w:rsidR="00D14DDE" w:rsidRPr="00515853" w:rsidRDefault="00D14DDE" w:rsidP="00D14D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5DA6BE2" w14:textId="77777777" w:rsidR="006035B6" w:rsidRDefault="006035B6" w:rsidP="006035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BATISTA, Vera Malaguti. </w:t>
      </w:r>
      <w:r w:rsidRPr="0051585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t-BR"/>
        </w:rPr>
        <w:t>Guerra às drogas e criminalização da juventude negra</w:t>
      </w:r>
      <w:r w:rsidRPr="0051585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São Paulo: Cortez, 2011.</w:t>
      </w:r>
    </w:p>
    <w:p w14:paraId="0B3B65D2" w14:textId="77777777" w:rsidR="006035B6" w:rsidRDefault="006035B6" w:rsidP="00D14D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19FFFA4" w14:textId="6926A957" w:rsidR="00515853" w:rsidRDefault="00515853" w:rsidP="00D14D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COLLINS, </w:t>
      </w:r>
      <w:proofErr w:type="spellStart"/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Patricia</w:t>
      </w:r>
      <w:proofErr w:type="spellEnd"/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Hill. </w:t>
      </w:r>
      <w:r w:rsidRPr="0051585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t-BR"/>
        </w:rPr>
        <w:t>Matriz de Dominação: gênero, raça, classe e interseccionalidade</w:t>
      </w:r>
      <w:r w:rsidRPr="0051585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Rio de Janeiro: Pallas, 2019.</w:t>
      </w:r>
    </w:p>
    <w:p w14:paraId="35929D3B" w14:textId="77777777" w:rsidR="00D14DDE" w:rsidRPr="00515853" w:rsidRDefault="00D14DDE" w:rsidP="00D14D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AA13EFD" w14:textId="77777777" w:rsidR="00515853" w:rsidRDefault="00515853" w:rsidP="00D14D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MARINI, Ruy Mauro. </w:t>
      </w:r>
      <w:r w:rsidRPr="0051585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t-BR"/>
        </w:rPr>
        <w:t>Dialética da dependência</w:t>
      </w:r>
      <w:r w:rsidRPr="0051585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2. ed. Rio de Janeiro: Vozes, 2000.</w:t>
      </w:r>
    </w:p>
    <w:p w14:paraId="7C1C2704" w14:textId="77777777" w:rsidR="00D14DDE" w:rsidRPr="00515853" w:rsidRDefault="00D14DDE" w:rsidP="00D14D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6FA349F" w14:textId="77777777" w:rsidR="00515853" w:rsidRDefault="00515853" w:rsidP="00D14D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MBEMBE, Achille. </w:t>
      </w:r>
      <w:r w:rsidRPr="0051585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t-BR"/>
        </w:rPr>
        <w:t>Necropolítica</w:t>
      </w:r>
      <w:r w:rsidRPr="0051585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São Paulo: n-1 edições, 2018.</w:t>
      </w:r>
    </w:p>
    <w:p w14:paraId="46DD7C59" w14:textId="77777777" w:rsidR="00D14DDE" w:rsidRPr="00515853" w:rsidRDefault="00D14DDE" w:rsidP="00D14D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7C180E4" w14:textId="77777777" w:rsidR="00515853" w:rsidRDefault="00515853" w:rsidP="00D14D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MOURA, Clóvis. </w:t>
      </w:r>
      <w:r w:rsidRPr="0051585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t-BR"/>
        </w:rPr>
        <w:t>Sociologia do negro brasileiro</w:t>
      </w:r>
      <w:r w:rsidRPr="0051585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São Paulo: Ática, 1994.</w:t>
      </w:r>
    </w:p>
    <w:p w14:paraId="03D88DC5" w14:textId="77777777" w:rsidR="00D14DDE" w:rsidRPr="00515853" w:rsidRDefault="00D14DDE" w:rsidP="00D14D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57A8F76" w14:textId="77777777" w:rsidR="00515853" w:rsidRDefault="00515853" w:rsidP="00D14D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MOURA, Clóvis. </w:t>
      </w:r>
      <w:r w:rsidRPr="0051585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t-BR"/>
        </w:rPr>
        <w:t>O negro e a marginalização social</w:t>
      </w:r>
      <w:r w:rsidRPr="0051585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São Paulo: Ática, 1988.</w:t>
      </w:r>
    </w:p>
    <w:p w14:paraId="587BE4D4" w14:textId="77777777" w:rsidR="00D14DDE" w:rsidRPr="00515853" w:rsidRDefault="00D14DDE" w:rsidP="00D14D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1298665" w14:textId="0C56B27F" w:rsidR="00515853" w:rsidRDefault="00515853" w:rsidP="00D14D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YAZBEK, </w:t>
      </w:r>
      <w:r w:rsidR="00D14DD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Maria Carmelita</w:t>
      </w: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 w:rsidRPr="0051585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t-BR"/>
        </w:rPr>
        <w:t>Classes subalternas e assistência social</w:t>
      </w:r>
      <w:r w:rsidRPr="0051585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São Paulo: Cortez, 2009.</w:t>
      </w:r>
    </w:p>
    <w:p w14:paraId="1F6196C7" w14:textId="77777777" w:rsidR="00A470D5" w:rsidRPr="00515853" w:rsidRDefault="00A470D5" w:rsidP="00D14D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59A37BC" w14:textId="0CE55BF9" w:rsidR="00342DF4" w:rsidRPr="00415E2C" w:rsidRDefault="00515853" w:rsidP="00415E2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IPEA – Instituto de Pesquisa Econômica Aplicada. </w:t>
      </w:r>
      <w:r w:rsidRPr="0051585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t-BR"/>
        </w:rPr>
        <w:t>Atlas da violência 2023</w:t>
      </w:r>
      <w:r w:rsidRPr="0051585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  <w:r w:rsidRPr="0051585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Brasília: IPEA, 2023.</w:t>
      </w:r>
    </w:p>
    <w:sectPr w:rsidR="00342DF4" w:rsidRPr="00415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21735"/>
    <w:rsid w:val="00047D60"/>
    <w:rsid w:val="00063259"/>
    <w:rsid w:val="000A1E07"/>
    <w:rsid w:val="000A7383"/>
    <w:rsid w:val="000C7083"/>
    <w:rsid w:val="000D37F6"/>
    <w:rsid w:val="000F192E"/>
    <w:rsid w:val="00107973"/>
    <w:rsid w:val="00111398"/>
    <w:rsid w:val="00142939"/>
    <w:rsid w:val="00156574"/>
    <w:rsid w:val="00171517"/>
    <w:rsid w:val="00176CA5"/>
    <w:rsid w:val="00194CC4"/>
    <w:rsid w:val="001A682E"/>
    <w:rsid w:val="001E7E05"/>
    <w:rsid w:val="0020094C"/>
    <w:rsid w:val="00200EF3"/>
    <w:rsid w:val="00207BA9"/>
    <w:rsid w:val="00224BAC"/>
    <w:rsid w:val="0027239C"/>
    <w:rsid w:val="0028108E"/>
    <w:rsid w:val="0028226E"/>
    <w:rsid w:val="002C6D07"/>
    <w:rsid w:val="00310E36"/>
    <w:rsid w:val="00342DF4"/>
    <w:rsid w:val="00356A71"/>
    <w:rsid w:val="003768D3"/>
    <w:rsid w:val="00395B08"/>
    <w:rsid w:val="003961B8"/>
    <w:rsid w:val="003A7F93"/>
    <w:rsid w:val="003B218E"/>
    <w:rsid w:val="003B3E13"/>
    <w:rsid w:val="003C7CC4"/>
    <w:rsid w:val="003D43A7"/>
    <w:rsid w:val="0040544F"/>
    <w:rsid w:val="00415E2C"/>
    <w:rsid w:val="00432CB6"/>
    <w:rsid w:val="004421AB"/>
    <w:rsid w:val="004440B4"/>
    <w:rsid w:val="00460E4F"/>
    <w:rsid w:val="00482786"/>
    <w:rsid w:val="004907F2"/>
    <w:rsid w:val="004B3EC7"/>
    <w:rsid w:val="004C2F7F"/>
    <w:rsid w:val="004F5CF5"/>
    <w:rsid w:val="00515853"/>
    <w:rsid w:val="00553512"/>
    <w:rsid w:val="005E162F"/>
    <w:rsid w:val="00602681"/>
    <w:rsid w:val="006035B6"/>
    <w:rsid w:val="00626C5D"/>
    <w:rsid w:val="00660186"/>
    <w:rsid w:val="006615B8"/>
    <w:rsid w:val="00672A8E"/>
    <w:rsid w:val="006856D7"/>
    <w:rsid w:val="006A6635"/>
    <w:rsid w:val="006D02C9"/>
    <w:rsid w:val="007020D8"/>
    <w:rsid w:val="00724ECF"/>
    <w:rsid w:val="007310C1"/>
    <w:rsid w:val="00773D54"/>
    <w:rsid w:val="007C2761"/>
    <w:rsid w:val="007E015C"/>
    <w:rsid w:val="00861371"/>
    <w:rsid w:val="008B5D1D"/>
    <w:rsid w:val="00907C2B"/>
    <w:rsid w:val="00927E7B"/>
    <w:rsid w:val="00941F25"/>
    <w:rsid w:val="00947067"/>
    <w:rsid w:val="00977893"/>
    <w:rsid w:val="0098647E"/>
    <w:rsid w:val="009904BF"/>
    <w:rsid w:val="009B4014"/>
    <w:rsid w:val="009B5DA8"/>
    <w:rsid w:val="009C4A6F"/>
    <w:rsid w:val="009E5F33"/>
    <w:rsid w:val="009F1801"/>
    <w:rsid w:val="00A240C0"/>
    <w:rsid w:val="00A470D5"/>
    <w:rsid w:val="00A74F33"/>
    <w:rsid w:val="00A76803"/>
    <w:rsid w:val="00A80293"/>
    <w:rsid w:val="00A83F2B"/>
    <w:rsid w:val="00A913F6"/>
    <w:rsid w:val="00AB67A6"/>
    <w:rsid w:val="00AF037C"/>
    <w:rsid w:val="00B9364F"/>
    <w:rsid w:val="00BB3965"/>
    <w:rsid w:val="00C15C87"/>
    <w:rsid w:val="00C37F8D"/>
    <w:rsid w:val="00C858EA"/>
    <w:rsid w:val="00CA748D"/>
    <w:rsid w:val="00CD000D"/>
    <w:rsid w:val="00CE1C95"/>
    <w:rsid w:val="00D048E1"/>
    <w:rsid w:val="00D122B8"/>
    <w:rsid w:val="00D14DDE"/>
    <w:rsid w:val="00D44050"/>
    <w:rsid w:val="00D679BA"/>
    <w:rsid w:val="00D96A67"/>
    <w:rsid w:val="00DC79A8"/>
    <w:rsid w:val="00DE3E16"/>
    <w:rsid w:val="00DE438A"/>
    <w:rsid w:val="00DF1171"/>
    <w:rsid w:val="00E165CD"/>
    <w:rsid w:val="00E25F8A"/>
    <w:rsid w:val="00E515B9"/>
    <w:rsid w:val="00E64BAF"/>
    <w:rsid w:val="00EA766F"/>
    <w:rsid w:val="00EB58F2"/>
    <w:rsid w:val="00EC14CD"/>
    <w:rsid w:val="00EF5240"/>
    <w:rsid w:val="00F2683F"/>
    <w:rsid w:val="00F3055D"/>
    <w:rsid w:val="00F52BED"/>
    <w:rsid w:val="00F748FC"/>
    <w:rsid w:val="00F76900"/>
    <w:rsid w:val="00F955F0"/>
    <w:rsid w:val="00FA7BF2"/>
    <w:rsid w:val="00FB495F"/>
    <w:rsid w:val="00FE20E2"/>
    <w:rsid w:val="00FF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E58B3"/>
  <w15:chartTrackingRefBased/>
  <w15:docId w15:val="{D20966D7-04A2-44D9-B1C7-10EBA1965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17151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71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hiago.santos@unimontes.br" TargetMode="External"/><Relationship Id="rId5" Type="http://schemas.openxmlformats.org/officeDocument/2006/relationships/hyperlink" Target="mailto:thiagoaranhas@yahoo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5</Pages>
  <Words>1661</Words>
  <Characters>9536</Characters>
  <Application>Microsoft Office Word</Application>
  <DocSecurity>0</DocSecurity>
  <Lines>190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Thiago Aranha</cp:lastModifiedBy>
  <cp:revision>109</cp:revision>
  <dcterms:created xsi:type="dcterms:W3CDTF">2025-07-07T16:04:00Z</dcterms:created>
  <dcterms:modified xsi:type="dcterms:W3CDTF">2025-09-18T21:11:00Z</dcterms:modified>
</cp:coreProperties>
</file>