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360"/>
        <w:jc w:val="center"/>
        <w:rPr>
          <w:b/>
          <w:b/>
          <w:bCs/>
          <w:sz w:val="24"/>
          <w:lang w:val="en-US"/>
        </w:rPr>
      </w:pPr>
      <w:bookmarkStart w:id="0" w:name="MendeleyTempCursorBookmark"/>
      <w:bookmarkEnd w:id="0"/>
      <w:r>
        <w:rPr>
          <w:b/>
          <w:bCs/>
          <w:sz w:val="24"/>
          <w:lang w:val="en-GB"/>
        </w:rPr>
        <w:t>DEVELOPING A FLOW CYTOMETRY AND CELL SORTING METHODOLOGY FOR GREEN ALGAE PHOTOBION</w:t>
      </w:r>
      <w:r>
        <w:rPr>
          <w:b/>
          <w:bCs/>
          <w:sz w:val="24"/>
          <w:lang w:val="en-GB"/>
        </w:rPr>
        <w:t>T</w:t>
      </w:r>
      <w:r>
        <w:rPr>
          <w:b/>
          <w:bCs/>
          <w:sz w:val="24"/>
          <w:lang w:val="en-GB"/>
        </w:rPr>
        <w:t>S</w:t>
      </w:r>
    </w:p>
    <w:p>
      <w:pPr>
        <w:pStyle w:val="Default"/>
        <w:spacing w:lineRule="auto" w:line="360"/>
        <w:jc w:val="center"/>
        <w:rPr>
          <w:b/>
          <w:b/>
          <w:caps/>
          <w:sz w:val="24"/>
          <w:lang w:val="en-GB"/>
        </w:rPr>
      </w:pPr>
      <w:r>
        <w:rPr>
          <w:b/>
          <w:caps/>
          <w:sz w:val="24"/>
          <w:lang w:val="en-GB"/>
        </w:rPr>
      </w:r>
    </w:p>
    <w:p>
      <w:pPr>
        <w:pStyle w:val="Normal"/>
        <w:spacing w:lineRule="auto" w:line="360" w:before="0" w:after="120"/>
        <w:jc w:val="center"/>
        <w:rPr/>
      </w:pPr>
      <w:r>
        <w:rPr>
          <w:rFonts w:cs="Times New Roman" w:ascii="Times New Roman" w:hAnsi="Times New Roman"/>
          <w:sz w:val="24"/>
          <w:szCs w:val="24"/>
          <w:lang w:val="es-ES"/>
        </w:rPr>
        <w:t>César D. Bordenave</w:t>
      </w:r>
      <w:r>
        <w:rPr>
          <w:rFonts w:cs="Times New Roman" w:ascii="Times New Roman" w:hAnsi="Times New Roman"/>
          <w:sz w:val="24"/>
          <w:szCs w:val="24"/>
          <w:vertAlign w:val="superscript"/>
          <w:lang w:val="es-ES"/>
        </w:rPr>
        <w:t>1, 2</w:t>
      </w:r>
      <w:r>
        <w:rPr>
          <w:rFonts w:cs="Times New Roman" w:ascii="Times New Roman" w:hAnsi="Times New Roman"/>
          <w:sz w:val="24"/>
          <w:szCs w:val="24"/>
          <w:lang w:val="es-ES"/>
        </w:rPr>
        <w:t>; Lucía Muggia</w:t>
      </w:r>
      <w:r>
        <w:rPr>
          <w:rFonts w:cs="Times New Roman" w:ascii="Times New Roman" w:hAnsi="Times New Roman"/>
          <w:sz w:val="24"/>
          <w:szCs w:val="24"/>
          <w:vertAlign w:val="superscript"/>
          <w:lang w:val="es-ES"/>
        </w:rPr>
        <w:t>2</w:t>
      </w:r>
      <w:r>
        <w:rPr>
          <w:rFonts w:cs="Times New Roman" w:ascii="Times New Roman" w:hAnsi="Times New Roman"/>
          <w:sz w:val="24"/>
          <w:szCs w:val="24"/>
          <w:lang w:val="es-ES"/>
        </w:rPr>
        <w:t>; Javier Alcodori</w:t>
      </w:r>
      <w:r>
        <w:rPr>
          <w:rFonts w:cs="Times New Roman" w:ascii="Times New Roman" w:hAnsi="Times New Roman"/>
          <w:sz w:val="24"/>
          <w:szCs w:val="24"/>
          <w:vertAlign w:val="superscript"/>
          <w:lang w:val="es-ES"/>
        </w:rPr>
        <w:t>3</w:t>
      </w:r>
      <w:r>
        <w:rPr>
          <w:rFonts w:cs="Times New Roman" w:ascii="Times New Roman" w:hAnsi="Times New Roman"/>
          <w:position w:val="0"/>
          <w:sz w:val="24"/>
          <w:sz w:val="24"/>
          <w:szCs w:val="24"/>
          <w:vertAlign w:val="baseline"/>
          <w:lang w:val="es-ES"/>
        </w:rPr>
        <w:t>;</w:t>
      </w:r>
      <w:r>
        <w:rPr>
          <w:rFonts w:cs="Times New Roman" w:ascii="Times New Roman" w:hAnsi="Times New Roman"/>
          <w:sz w:val="24"/>
          <w:szCs w:val="24"/>
          <w:lang w:val="es-ES"/>
        </w:rPr>
        <w:t>Pedro Carrasco Sorli</w:t>
      </w:r>
      <w:r>
        <w:rPr>
          <w:rFonts w:cs="Times New Roman" w:ascii="Times New Roman" w:hAnsi="Times New Roman"/>
          <w:sz w:val="24"/>
          <w:szCs w:val="24"/>
          <w:vertAlign w:val="superscript"/>
          <w:lang w:val="es-ES"/>
        </w:rPr>
        <w:t>3</w:t>
      </w:r>
      <w:r>
        <w:rPr>
          <w:rFonts w:cs="Times New Roman" w:ascii="Times New Roman" w:hAnsi="Times New Roman"/>
          <w:sz w:val="24"/>
          <w:szCs w:val="24"/>
          <w:lang w:val="es-ES"/>
        </w:rPr>
        <w:t>;</w:t>
      </w:r>
      <w:r>
        <w:rPr>
          <w:rFonts w:cs="Times New Roman" w:ascii="Times New Roman" w:hAnsi="Times New Roman"/>
          <w:sz w:val="24"/>
          <w:szCs w:val="24"/>
          <w:vertAlign w:val="superscript"/>
          <w:lang w:val="es-ES"/>
        </w:rPr>
        <w:t xml:space="preserve"> </w:t>
      </w:r>
      <w:r>
        <w:rPr>
          <w:rFonts w:cs="Times New Roman" w:ascii="Times New Roman" w:hAnsi="Times New Roman"/>
          <w:sz w:val="24"/>
          <w:szCs w:val="24"/>
          <w:lang w:val="es-ES"/>
        </w:rPr>
        <w:t>Eva Barreno</w:t>
      </w:r>
      <w:r>
        <w:rPr>
          <w:rFonts w:cs="Times New Roman" w:ascii="Times New Roman" w:hAnsi="Times New Roman"/>
          <w:sz w:val="24"/>
          <w:szCs w:val="24"/>
          <w:vertAlign w:val="superscript"/>
          <w:lang w:val="es-ES"/>
        </w:rPr>
        <w:t>1</w:t>
      </w:r>
    </w:p>
    <w:p>
      <w:pPr>
        <w:pStyle w:val="Normal"/>
        <w:spacing w:lineRule="auto" w:line="360"/>
        <w:jc w:val="center"/>
        <w:rPr>
          <w:sz w:val="24"/>
          <w:szCs w:val="24"/>
        </w:rPr>
      </w:pPr>
      <w:r>
        <w:rPr>
          <w:rFonts w:cs="Times New Roman" w:ascii="Times New Roman" w:hAnsi="Times New Roman"/>
          <w:sz w:val="24"/>
          <w:szCs w:val="24"/>
          <w:vertAlign w:val="superscript"/>
          <w:lang w:val="es-ES"/>
        </w:rPr>
        <w:t xml:space="preserve">1 </w:t>
      </w:r>
      <w:r>
        <w:rPr>
          <w:rFonts w:cs="Times New Roman" w:ascii="Times New Roman" w:hAnsi="Times New Roman"/>
          <w:sz w:val="24"/>
          <w:szCs w:val="24"/>
          <w:lang w:val="es-ES"/>
        </w:rPr>
        <w:t>Instituto “Cavanilles” de Biodiversidad y Biología Evolutiva, Botánica, Fac. CC. Biológicas, Universitat de València, 46100 Burjassot, Valencia, Spain;</w:t>
      </w:r>
      <w:r>
        <w:rPr>
          <w:rFonts w:cs="Times New Roman" w:ascii="Times New Roman" w:hAnsi="Times New Roman"/>
          <w:sz w:val="24"/>
          <w:szCs w:val="24"/>
          <w:vertAlign w:val="superscript"/>
          <w:lang w:val="es-ES"/>
        </w:rPr>
        <w:t xml:space="preserve"> </w:t>
      </w:r>
      <w:r>
        <w:rPr>
          <w:rFonts w:cs="Times New Roman" w:ascii="Times New Roman" w:hAnsi="Times New Roman"/>
          <w:sz w:val="24"/>
          <w:szCs w:val="24"/>
          <w:lang w:val="es-ES"/>
        </w:rPr>
        <w:t xml:space="preserve"> </w:t>
      </w:r>
      <w:r>
        <w:rPr>
          <w:rFonts w:cs="Times New Roman" w:ascii="Times New Roman" w:hAnsi="Times New Roman"/>
          <w:sz w:val="24"/>
          <w:szCs w:val="24"/>
          <w:vertAlign w:val="superscript"/>
          <w:lang w:val="es-ES"/>
        </w:rPr>
        <w:t>2</w:t>
      </w:r>
      <w:r>
        <w:rPr>
          <w:rFonts w:cs="Times New Roman" w:ascii="Times New Roman" w:hAnsi="Times New Roman"/>
          <w:sz w:val="24"/>
          <w:szCs w:val="24"/>
          <w:lang w:val="es-ES"/>
        </w:rPr>
        <w:t xml:space="preserve"> </w:t>
      </w:r>
      <w:r>
        <w:rPr>
          <w:rFonts w:eastAsia="Times New Roman" w:cs="Times New Roman" w:ascii="Times New Roman" w:hAnsi="Times New Roman"/>
          <w:sz w:val="24"/>
          <w:szCs w:val="24"/>
          <w:shd w:fill="FFFFFF" w:val="clear"/>
          <w:lang w:val="es-ES"/>
        </w:rPr>
        <w:t xml:space="preserve">University of Trieste, Department of Life Sciences, via Giorgieri 10, 34127-Trieste, Italy; </w:t>
      </w:r>
      <w:r>
        <w:rPr>
          <w:rFonts w:eastAsia="Times New Roman" w:cs="Times New Roman" w:ascii="Times New Roman" w:hAnsi="Times New Roman"/>
          <w:sz w:val="24"/>
          <w:szCs w:val="24"/>
          <w:shd w:fill="FFFFFF" w:val="clear"/>
          <w:vertAlign w:val="superscript"/>
          <w:lang w:val="es-ES"/>
        </w:rPr>
        <w:t>3</w:t>
      </w:r>
      <w:r>
        <w:rPr>
          <w:rFonts w:eastAsia="Times New Roman" w:cs="Times New Roman" w:ascii="Times New Roman" w:hAnsi="Times New Roman"/>
          <w:sz w:val="24"/>
          <w:szCs w:val="24"/>
          <w:shd w:fill="FFFFFF" w:val="clear"/>
          <w:lang w:val="es-ES"/>
        </w:rPr>
        <w:t xml:space="preserve"> Instituto de Biotecnología y Biomedicina (BIOTECHMED), Universitat de València, 46100</w:t>
      </w:r>
      <w:r>
        <w:rPr>
          <w:rFonts w:cs="Times New Roman" w:ascii="Times New Roman" w:hAnsi="Times New Roman"/>
          <w:sz w:val="24"/>
          <w:szCs w:val="24"/>
          <w:lang w:val="es-ES"/>
        </w:rPr>
        <w:t xml:space="preserve"> Burjassot, </w:t>
      </w:r>
      <w:r>
        <w:rPr>
          <w:rFonts w:eastAsia="Times New Roman" w:cs="Times New Roman" w:ascii="Times New Roman" w:hAnsi="Times New Roman"/>
          <w:sz w:val="24"/>
          <w:szCs w:val="24"/>
          <w:shd w:fill="FFFFFF" w:val="clear"/>
          <w:lang w:val="es-ES"/>
        </w:rPr>
        <w:t xml:space="preserve"> Valencia, Spain.</w:t>
      </w:r>
    </w:p>
    <w:p>
      <w:pPr>
        <w:pStyle w:val="Normal"/>
        <w:spacing w:lineRule="auto" w:line="360"/>
        <w:jc w:val="center"/>
        <w:rPr>
          <w:rFonts w:ascii="Times New Roman" w:hAnsi="Times New Roman" w:eastAsia="Times New Roman" w:cs="Times New Roman"/>
          <w:highlight w:val="white"/>
          <w:lang w:val="es-ES"/>
        </w:rPr>
      </w:pPr>
      <w:r>
        <w:rPr>
          <w:rFonts w:eastAsia="Times New Roman" w:cs="Times New Roman" w:ascii="Times New Roman" w:hAnsi="Times New Roman"/>
          <w:highlight w:val="white"/>
          <w:lang w:val="es-ES"/>
        </w:rPr>
      </w:r>
    </w:p>
    <w:p>
      <w:pPr>
        <w:pStyle w:val="Normal"/>
        <w:spacing w:lineRule="auto" w:line="360" w:before="0" w:after="0"/>
        <w:jc w:val="both"/>
        <w:rPr/>
      </w:pPr>
      <w:r>
        <w:rPr>
          <w:rFonts w:cs="Times New Roman" w:ascii="Times New Roman" w:hAnsi="Times New Roman"/>
          <w:sz w:val="24"/>
          <w:szCs w:val="24"/>
          <w:lang w:val="en-GB"/>
        </w:rPr>
        <w:t xml:space="preserve">Flow cytometry coupled with cell sorting (a synonym of fluorescence activated cell sorting, FACS), is a technique which allows the analysis of different morphological and physiological properties of single cells, including unicellular micro-organisms. It has been introduced as a useful tool to study microalgae, in particular </w:t>
      </w:r>
      <w:r>
        <w:rPr>
          <w:rFonts w:cs="Times New Roman" w:ascii="Times New Roman" w:hAnsi="Times New Roman"/>
          <w:i/>
          <w:iCs/>
          <w:sz w:val="24"/>
          <w:szCs w:val="24"/>
          <w:lang w:val="en-GB"/>
        </w:rPr>
        <w:t>Chlorella vulgaris</w:t>
      </w:r>
      <w:r>
        <w:rPr>
          <w:rFonts w:cs="Times New Roman" w:ascii="Times New Roman" w:hAnsi="Times New Roman"/>
          <w:sz w:val="24"/>
          <w:szCs w:val="24"/>
          <w:lang w:val="en-GB"/>
        </w:rPr>
        <w:t xml:space="preserve"> due its importance in biotechnological and industrial applications. FACS is indeed an exceptional technology with a remarkably high ceiling, as it allows the detection and measurement of several compounds, parameters, and microorganisms. Since the establishment of flow cytometry, microalgae have been analysed for DNA, protein and chlorophyll content, in addition to cell size and shape. However, so far this technique has not been applied in the study of lichenised microalgae. In this work, we developed a methodology for FACS which allows us to isolate different cell populations from an axenically cultured colony of </w:t>
      </w:r>
      <w:r>
        <w:rPr>
          <w:rFonts w:cs="Times New Roman" w:ascii="Times New Roman" w:hAnsi="Times New Roman"/>
          <w:i/>
          <w:iCs/>
          <w:sz w:val="24"/>
          <w:szCs w:val="24"/>
          <w:lang w:val="en-GB"/>
        </w:rPr>
        <w:t xml:space="preserve">Trebouxia </w:t>
      </w:r>
      <w:r>
        <w:rPr>
          <w:rFonts w:cs="Times New Roman" w:ascii="Times New Roman" w:hAnsi="Times New Roman"/>
          <w:sz w:val="24"/>
          <w:szCs w:val="24"/>
          <w:lang w:val="en-GB"/>
        </w:rPr>
        <w:t xml:space="preserve">sp. TR9, a common lichen-forming algae, by sorting the cells according to their morphology and autofluorescence. Thus, we have been able to isolate thousands of cells and to observe, by laser scanning confocal microscopy, populations of young and adult vegetative cells as well as zoospores. This method has  allowed us to more accurately estimate the relative abundance of cells populations during the development of a </w:t>
      </w:r>
      <w:r>
        <w:rPr>
          <w:rFonts w:cs="Times New Roman" w:ascii="Times New Roman" w:hAnsi="Times New Roman"/>
          <w:i/>
          <w:iCs/>
          <w:sz w:val="24"/>
          <w:szCs w:val="24"/>
          <w:lang w:val="en-GB"/>
        </w:rPr>
        <w:t>Trebouxia</w:t>
      </w:r>
      <w:r>
        <w:rPr>
          <w:rFonts w:cs="Times New Roman" w:ascii="Times New Roman" w:hAnsi="Times New Roman"/>
          <w:i/>
          <w:sz w:val="24"/>
          <w:szCs w:val="24"/>
          <w:lang w:val="en-GB"/>
        </w:rPr>
        <w:t xml:space="preserve"> </w:t>
      </w:r>
      <w:r>
        <w:rPr>
          <w:rFonts w:cs="Times New Roman" w:ascii="Times New Roman" w:hAnsi="Times New Roman"/>
          <w:sz w:val="24"/>
          <w:szCs w:val="24"/>
          <w:lang w:val="en-GB"/>
        </w:rPr>
        <w:t xml:space="preserve">sp. TR9 colony. Furthermore, we were able to quantify the differences in cell populations abundances and autofluorescence levels in response to abiotic stress. </w:t>
      </w:r>
    </w:p>
    <w:p>
      <w:pPr>
        <w:pStyle w:val="Normal"/>
        <w:spacing w:lineRule="auto" w:line="360" w:before="0" w:after="0"/>
        <w:jc w:val="both"/>
        <w:rPr>
          <w:rFonts w:ascii="Times New Roman" w:hAnsi="Times New Roman" w:eastAsia="" w:cs="Times New Roman" w:eastAsiaTheme="minorEastAsia"/>
          <w:color w:val="131413"/>
          <w:sz w:val="24"/>
          <w:szCs w:val="24"/>
          <w:lang w:val="en-GB"/>
        </w:rPr>
      </w:pPr>
      <w:r>
        <w:rPr>
          <w:rFonts w:cs="Times New Roman" w:ascii="Times New Roman" w:hAnsi="Times New Roman"/>
          <w:sz w:val="24"/>
          <w:szCs w:val="24"/>
          <w:lang w:val="en-GB"/>
        </w:rPr>
        <w:t xml:space="preserve">Funding: </w:t>
      </w:r>
      <w:r>
        <w:rPr>
          <w:rFonts w:eastAsia="" w:cs="Times New Roman" w:ascii="Times New Roman" w:hAnsi="Times New Roman" w:eastAsiaTheme="minorEastAsia"/>
          <w:color w:val="131413"/>
          <w:sz w:val="24"/>
          <w:szCs w:val="24"/>
          <w:lang w:val="en-GB"/>
        </w:rPr>
        <w:t>Generalitat Valenciana, GVA Excellence in Research (PROMETEO III /2017/039).</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trackRevisions/>
  <w:defaultTabStop w:val="792"/>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Cs w:val="24"/>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mbria" w:hAnsi="Cambria" w:eastAsia="Cambria" w:cs="" w:eastAsiaTheme="minorHAnsi"/>
      <w:color w:val="00000A"/>
      <w:sz w:val="22"/>
      <w:szCs w:val="22"/>
      <w:lang w:val="pt-BR" w:eastAsia="en-US" w:bidi="ar-SA"/>
    </w:rPr>
  </w:style>
  <w:style w:type="paragraph" w:styleId="Heading3">
    <w:name w:val="Heading 3"/>
    <w:basedOn w:val="Heading"/>
    <w:qFormat/>
    <w:pPr>
      <w:outlineLvl w:val="2"/>
    </w:pPr>
    <w:rPr/>
  </w:style>
  <w:style w:type="character" w:styleId="DefaultParagraphFont" w:default="1">
    <w:name w:val="Default Paragraph Font"/>
    <w:uiPriority w:val="1"/>
    <w:semiHidden/>
    <w:unhideWhenUsed/>
    <w:qFormat/>
    <w:rPr/>
  </w:style>
  <w:style w:type="character" w:styleId="InternetLink" w:customStyle="1">
    <w:name w:val="Internet Link"/>
    <w:rPr>
      <w:color w:val="0000FF"/>
      <w:u w:val="single"/>
    </w:rPr>
  </w:style>
  <w:style w:type="character" w:styleId="Mencinsinresolver1" w:customStyle="1">
    <w:name w:val="Mención sin resolver1"/>
    <w:basedOn w:val="DefaultParagraphFont"/>
    <w:uiPriority w:val="99"/>
    <w:semiHidden/>
    <w:unhideWhenUsed/>
    <w:qFormat/>
    <w:rPr>
      <w:color w:val="605E5C"/>
      <w:shd w:fill="E1DFDD" w:val="clear"/>
    </w:rPr>
  </w:style>
  <w:style w:type="character" w:styleId="Tlidtranslation" w:customStyle="1">
    <w:name w:val="tlid-translation"/>
    <w:basedOn w:val="DefaultParagraphFont"/>
    <w:qFormat/>
    <w:rPr/>
  </w:style>
  <w:style w:type="character" w:styleId="Mencinsinresolver2" w:customStyle="1">
    <w:name w:val="Mención sin resolver2"/>
    <w:basedOn w:val="DefaultParagraphFont"/>
    <w:uiPriority w:val="99"/>
    <w:semiHidden/>
    <w:unhideWhenUsed/>
    <w:qFormat/>
    <w:rPr>
      <w:color w:val="605E5C"/>
      <w:shd w:fill="E1DFDD" w:val="clear"/>
    </w:rPr>
  </w:style>
  <w:style w:type="character" w:styleId="Annotationreference">
    <w:name w:val="annotation reference"/>
    <w:basedOn w:val="DefaultParagraphFont"/>
    <w:uiPriority w:val="99"/>
    <w:semiHidden/>
    <w:unhideWhenUsed/>
    <w:qFormat/>
    <w:rPr>
      <w:sz w:val="16"/>
      <w:szCs w:val="16"/>
    </w:rPr>
  </w:style>
  <w:style w:type="character" w:styleId="CommentTextChar" w:customStyle="1">
    <w:name w:val="Comment Text Char"/>
    <w:basedOn w:val="DefaultParagraphFont"/>
    <w:link w:val="CommentText"/>
    <w:uiPriority w:val="99"/>
    <w:semiHidden/>
    <w:qFormat/>
    <w:rPr>
      <w:rFonts w:eastAsia="Cambria" w:eastAsiaTheme="minorHAnsi"/>
      <w:sz w:val="20"/>
      <w:szCs w:val="20"/>
      <w:lang w:val="pt-BR"/>
    </w:rPr>
  </w:style>
  <w:style w:type="character" w:styleId="CommentSubjectChar" w:customStyle="1">
    <w:name w:val="Comment Subject Char"/>
    <w:basedOn w:val="CommentTextChar"/>
    <w:link w:val="CommentSubject"/>
    <w:uiPriority w:val="99"/>
    <w:semiHidden/>
    <w:qFormat/>
    <w:rPr>
      <w:rFonts w:eastAsia="Cambria" w:eastAsiaTheme="minorHAnsi"/>
      <w:b/>
      <w:bCs/>
      <w:sz w:val="20"/>
      <w:szCs w:val="20"/>
      <w:lang w:val="pt-BR"/>
    </w:rPr>
  </w:style>
  <w:style w:type="character" w:styleId="BalloonTextChar" w:customStyle="1">
    <w:name w:val="Balloon Text Char"/>
    <w:basedOn w:val="DefaultParagraphFont"/>
    <w:link w:val="BalloonText"/>
    <w:uiPriority w:val="99"/>
    <w:semiHidden/>
    <w:qFormat/>
    <w:rPr>
      <w:rFonts w:ascii="Segoe UI" w:hAnsi="Segoe UI" w:eastAsia="Cambria" w:cs="Segoe UI" w:eastAsiaTheme="minorHAnsi"/>
      <w:sz w:val="18"/>
      <w:szCs w:val="18"/>
      <w:lang w:val="pt-BR"/>
    </w:rPr>
  </w:style>
  <w:style w:type="character" w:styleId="VisitedInternetLink" w:customStyle="1">
    <w:name w:val="Visited Internet Link"/>
    <w:rPr>
      <w:color w:val="800000"/>
      <w:u w:val="single"/>
    </w:rPr>
  </w:style>
  <w:style w:type="paragraph" w:styleId="Heading" w:customStyle="1">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Default" w:customStyle="1">
    <w:name w:val="Default"/>
    <w:qFormat/>
    <w:pPr>
      <w:widowControl/>
      <w:bidi w:val="0"/>
      <w:jc w:val="left"/>
    </w:pPr>
    <w:rPr>
      <w:rFonts w:ascii="Times New Roman" w:hAnsi="Times New Roman" w:eastAsia="Cambria" w:cs="Times New Roman" w:eastAsiaTheme="minorHAnsi"/>
      <w:color w:val="000000"/>
      <w:sz w:val="22"/>
      <w:szCs w:val="24"/>
      <w:lang w:val="es-ES" w:eastAsia="en-US" w:bidi="ar-SA"/>
    </w:rPr>
  </w:style>
  <w:style w:type="paragraph" w:styleId="Annotationtext">
    <w:name w:val="annotation text"/>
    <w:basedOn w:val="Normal"/>
    <w:link w:val="CommentTextChar"/>
    <w:uiPriority w:val="99"/>
    <w:semiHidden/>
    <w:unhideWhenUsed/>
    <w:qFormat/>
    <w:pPr>
      <w:spacing w:lineRule="auto" w:line="240"/>
    </w:pPr>
    <w:rPr>
      <w:sz w:val="20"/>
      <w:szCs w:val="20"/>
    </w:rPr>
  </w:style>
  <w:style w:type="paragraph" w:styleId="Annotationsubject">
    <w:name w:val="annotation subject"/>
    <w:basedOn w:val="Annotationtext"/>
    <w:link w:val="CommentSubjectChar"/>
    <w:uiPriority w:val="99"/>
    <w:semiHidden/>
    <w:unhideWhenUsed/>
    <w:qFormat/>
    <w:pPr/>
    <w:rPr>
      <w:b/>
      <w:bCs/>
    </w:rPr>
  </w:style>
  <w:style w:type="paragraph" w:styleId="BalloonText">
    <w:name w:val="Balloon Text"/>
    <w:basedOn w:val="Normal"/>
    <w:link w:val="BalloonTextChar"/>
    <w:uiPriority w:val="99"/>
    <w:semiHidden/>
    <w:unhideWhenUsed/>
    <w:qFormat/>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6061-D401-454B-8DDD-11E11148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LibreOffice/5.0.6.3$Windows_x86 LibreOffice_project/490fc03b25318460cfc54456516ea2519c11d1aa</Application>
  <Paragraphs>5</Paragraphs>
  <Company>NMNH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2021-04-29T08:51:00Z</dcterms:created>
  <dc:creator>Manuela Dal Forno</dc:creator>
  <dc:language>es-AR</dc:language>
  <dcterms:modified xsi:type="dcterms:W3CDTF">2021-04-30T20:59:52Z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NMNH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