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016" w:rsidRDefault="00015C52">
      <w:pPr>
        <w:spacing w:line="276" w:lineRule="auto"/>
        <w:jc w:val="center"/>
        <w:rPr>
          <w:color w:val="FF0000"/>
          <w:sz w:val="16"/>
          <w:szCs w:val="16"/>
        </w:rPr>
      </w:pPr>
      <w:r>
        <w:rPr>
          <w:b/>
          <w:sz w:val="20"/>
          <w:szCs w:val="20"/>
        </w:rPr>
        <w:t xml:space="preserve">EIXO TEMÁTICO: </w:t>
      </w:r>
      <w:r w:rsidR="00E14E6A" w:rsidRPr="00E14E6A">
        <w:rPr>
          <w:b/>
          <w:sz w:val="20"/>
          <w:szCs w:val="20"/>
        </w:rPr>
        <w:t>Educação, Tecnologia e Complexidade do Conhecimento</w:t>
      </w:r>
      <w:r w:rsidR="00E14E6A">
        <w:rPr>
          <w:b/>
          <w:sz w:val="20"/>
          <w:szCs w:val="20"/>
        </w:rPr>
        <w:t>.</w:t>
      </w:r>
    </w:p>
    <w:p w:rsidR="00E14E6A" w:rsidRDefault="00E14E6A">
      <w:pPr>
        <w:spacing w:line="276" w:lineRule="auto"/>
        <w:jc w:val="center"/>
        <w:rPr>
          <w:color w:val="FF0000"/>
          <w:sz w:val="20"/>
          <w:szCs w:val="20"/>
        </w:rPr>
      </w:pPr>
    </w:p>
    <w:p w:rsidR="00ED7EBF" w:rsidRDefault="00B679E2" w:rsidP="00ED7EBF">
      <w:pPr>
        <w:spacing w:line="276" w:lineRule="auto"/>
        <w:jc w:val="center"/>
        <w:rPr>
          <w:b/>
        </w:rPr>
      </w:pPr>
      <w:r>
        <w:rPr>
          <w:b/>
        </w:rPr>
        <w:t xml:space="preserve"> ESTUDO DA</w:t>
      </w:r>
      <w:r w:rsidR="0015311E">
        <w:rPr>
          <w:b/>
        </w:rPr>
        <w:t xml:space="preserve"> EVASÃO</w:t>
      </w:r>
      <w:r w:rsidR="00537BCF">
        <w:rPr>
          <w:b/>
        </w:rPr>
        <w:t xml:space="preserve"> ESCOLAR N</w:t>
      </w:r>
      <w:r w:rsidR="0015311E">
        <w:rPr>
          <w:b/>
        </w:rPr>
        <w:t>O CURSO DE ASSISTENTE ADMINISTRATIVO DO</w:t>
      </w:r>
      <w:r w:rsidR="0015311E" w:rsidRPr="0015311E">
        <w:rPr>
          <w:b/>
        </w:rPr>
        <w:t xml:space="preserve"> PRONATEC </w:t>
      </w:r>
      <w:r w:rsidR="0015311E">
        <w:rPr>
          <w:b/>
        </w:rPr>
        <w:t>DA SECRETARIA DE EDUCAÇÃO DO ESTADO DE ALAGOS OFERTADO NA MODALIDADE DE ENSINO REMOTO EM FUNÇÃO DA</w:t>
      </w:r>
      <w:r w:rsidR="0015311E" w:rsidRPr="0015311E">
        <w:rPr>
          <w:b/>
        </w:rPr>
        <w:t xml:space="preserve"> </w:t>
      </w:r>
      <w:r w:rsidR="0015311E">
        <w:rPr>
          <w:b/>
        </w:rPr>
        <w:t>PANDEMIA DO COVID-19.</w:t>
      </w:r>
    </w:p>
    <w:p w:rsidR="00E14E6A" w:rsidRDefault="00E14E6A" w:rsidP="00ED7EBF">
      <w:pPr>
        <w:spacing w:line="276" w:lineRule="auto"/>
        <w:jc w:val="center"/>
      </w:pPr>
    </w:p>
    <w:p w:rsidR="007E0016" w:rsidRDefault="009E6A48">
      <w:pPr>
        <w:spacing w:line="240" w:lineRule="auto"/>
        <w:jc w:val="center"/>
        <w:rPr>
          <w:vertAlign w:val="superscript"/>
        </w:rPr>
      </w:pPr>
      <w:r>
        <w:t>JOSE EMILIO DOS SANTOS FILHO</w:t>
      </w:r>
      <w:r w:rsidR="00015C52">
        <w:rPr>
          <w:vertAlign w:val="superscript"/>
        </w:rPr>
        <w:t>1</w:t>
      </w:r>
      <w:r w:rsidR="00015C52">
        <w:t xml:space="preserve">, </w:t>
      </w:r>
      <w:r>
        <w:t>ANUSKA ANGÉLICA BATISTA DE SOUZA</w:t>
      </w:r>
      <w:r w:rsidR="00015C52">
        <w:rPr>
          <w:vertAlign w:val="superscript"/>
        </w:rPr>
        <w:t>2</w:t>
      </w:r>
      <w:r w:rsidR="00015C52">
        <w:t xml:space="preserve">, </w:t>
      </w:r>
      <w:r>
        <w:t>ROSILENE FERREIRA DOS SA</w:t>
      </w:r>
      <w:r w:rsidR="00015C52">
        <w:t>N</w:t>
      </w:r>
      <w:r>
        <w:t>TOS</w:t>
      </w:r>
      <w:r w:rsidR="00015C52">
        <w:rPr>
          <w:vertAlign w:val="superscript"/>
        </w:rPr>
        <w:t>3</w:t>
      </w:r>
      <w:r>
        <w:t>.</w:t>
      </w:r>
      <w:r w:rsidR="00015C52">
        <w:t xml:space="preserve"> </w:t>
      </w:r>
    </w:p>
    <w:p w:rsidR="007E0016" w:rsidRDefault="00015C52" w:rsidP="009E6A48">
      <w:pPr>
        <w:spacing w:line="240" w:lineRule="auto"/>
        <w:jc w:val="center"/>
        <w:rPr>
          <w:sz w:val="16"/>
          <w:szCs w:val="16"/>
        </w:rPr>
      </w:pPr>
      <w:proofErr w:type="gramStart"/>
      <w:r>
        <w:rPr>
          <w:sz w:val="16"/>
          <w:szCs w:val="16"/>
          <w:vertAlign w:val="superscript"/>
        </w:rPr>
        <w:t>1</w:t>
      </w:r>
      <w:proofErr w:type="gramEnd"/>
      <w:r>
        <w:rPr>
          <w:sz w:val="16"/>
          <w:szCs w:val="16"/>
        </w:rPr>
        <w:t xml:space="preserve"> </w:t>
      </w:r>
      <w:r w:rsidR="009E6A48">
        <w:rPr>
          <w:sz w:val="16"/>
          <w:szCs w:val="16"/>
        </w:rPr>
        <w:t>Universidade Federal de Alagoas-Mestre em economia Aplicada</w:t>
      </w:r>
      <w:r w:rsidR="00397815">
        <w:rPr>
          <w:sz w:val="16"/>
          <w:szCs w:val="16"/>
        </w:rPr>
        <w:t>;</w:t>
      </w:r>
      <w:r>
        <w:rPr>
          <w:sz w:val="16"/>
          <w:szCs w:val="16"/>
        </w:rPr>
        <w:t xml:space="preserve"> </w:t>
      </w:r>
      <w:r>
        <w:rPr>
          <w:sz w:val="16"/>
          <w:szCs w:val="16"/>
          <w:vertAlign w:val="superscript"/>
        </w:rPr>
        <w:t>2</w:t>
      </w:r>
      <w:r>
        <w:rPr>
          <w:sz w:val="16"/>
          <w:szCs w:val="16"/>
        </w:rPr>
        <w:t xml:space="preserve"> </w:t>
      </w:r>
      <w:r w:rsidR="009E6A48">
        <w:rPr>
          <w:sz w:val="16"/>
          <w:szCs w:val="16"/>
        </w:rPr>
        <w:t>Graduanda em Biomedicina-Centro Universitário CESMAC</w:t>
      </w:r>
      <w:r w:rsidR="00397815">
        <w:rPr>
          <w:sz w:val="16"/>
          <w:szCs w:val="16"/>
        </w:rPr>
        <w:t>;</w:t>
      </w:r>
      <w:r>
        <w:rPr>
          <w:sz w:val="16"/>
          <w:szCs w:val="16"/>
        </w:rPr>
        <w:t xml:space="preserve"> </w:t>
      </w:r>
      <w:r>
        <w:rPr>
          <w:sz w:val="16"/>
          <w:szCs w:val="16"/>
          <w:vertAlign w:val="superscript"/>
        </w:rPr>
        <w:t>3</w:t>
      </w:r>
      <w:r w:rsidR="00397815">
        <w:rPr>
          <w:sz w:val="16"/>
          <w:szCs w:val="16"/>
          <w:vertAlign w:val="superscript"/>
        </w:rPr>
        <w:t>;</w:t>
      </w:r>
      <w:r w:rsidR="00397815">
        <w:rPr>
          <w:sz w:val="16"/>
          <w:szCs w:val="16"/>
        </w:rPr>
        <w:t>;</w:t>
      </w:r>
      <w:r>
        <w:rPr>
          <w:sz w:val="16"/>
          <w:szCs w:val="16"/>
        </w:rPr>
        <w:t xml:space="preserve">Professora </w:t>
      </w:r>
      <w:r w:rsidR="009E6A48">
        <w:rPr>
          <w:sz w:val="16"/>
          <w:szCs w:val="16"/>
        </w:rPr>
        <w:t xml:space="preserve">da Secretaria de Educação do Estado de Alagoas. </w:t>
      </w:r>
    </w:p>
    <w:p w:rsidR="001D487B" w:rsidRDefault="001D487B" w:rsidP="009E6A48">
      <w:pPr>
        <w:spacing w:line="240" w:lineRule="auto"/>
        <w:jc w:val="center"/>
        <w:rPr>
          <w:sz w:val="16"/>
          <w:szCs w:val="16"/>
        </w:rPr>
      </w:pPr>
      <w:r>
        <w:rPr>
          <w:sz w:val="16"/>
          <w:szCs w:val="16"/>
        </w:rPr>
        <w:t>Filho.emilio@gmail.com</w:t>
      </w:r>
    </w:p>
    <w:p w:rsidR="007E0016" w:rsidRDefault="00397815">
      <w:pPr>
        <w:spacing w:line="276" w:lineRule="auto"/>
      </w:pPr>
      <w:r>
        <w:t xml:space="preserve"> </w:t>
      </w:r>
    </w:p>
    <w:p w:rsidR="00253BA9" w:rsidRDefault="00015C52" w:rsidP="00D80B9B">
      <w:pPr>
        <w:spacing w:line="240" w:lineRule="auto"/>
        <w:rPr>
          <w:sz w:val="20"/>
          <w:szCs w:val="20"/>
        </w:rPr>
      </w:pPr>
      <w:r>
        <w:rPr>
          <w:b/>
        </w:rPr>
        <w:t xml:space="preserve">RESUMO: </w:t>
      </w:r>
      <w:r w:rsidR="00C4109C" w:rsidRPr="00253BA9">
        <w:rPr>
          <w:sz w:val="20"/>
          <w:szCs w:val="20"/>
        </w:rPr>
        <w:t xml:space="preserve">Este artigo tem como objetivo principal analisar </w:t>
      </w:r>
      <w:r w:rsidR="00253BA9" w:rsidRPr="00253BA9">
        <w:rPr>
          <w:sz w:val="20"/>
          <w:szCs w:val="20"/>
        </w:rPr>
        <w:t>estudar o nível de evasão escolar no curso de assistente administrativo do PRONATEC ofertado pela Secretaria de Educação do Estado de Alagoas na modalidade de ensino remoto durante a pandemia de COVID-</w:t>
      </w:r>
      <w:r w:rsidR="00253BA9">
        <w:rPr>
          <w:sz w:val="20"/>
          <w:szCs w:val="20"/>
        </w:rPr>
        <w:t>19</w:t>
      </w:r>
      <w:r w:rsidR="00C4109C" w:rsidRPr="00253BA9">
        <w:rPr>
          <w:sz w:val="20"/>
          <w:szCs w:val="20"/>
        </w:rPr>
        <w:t>.</w:t>
      </w:r>
      <w:r w:rsidR="00253BA9" w:rsidRPr="00253BA9">
        <w:t xml:space="preserve"> </w:t>
      </w:r>
      <w:r w:rsidR="00253BA9" w:rsidRPr="00253BA9">
        <w:rPr>
          <w:sz w:val="20"/>
          <w:szCs w:val="20"/>
        </w:rPr>
        <w:t>A pesquisa envolveu alunos de oito turmas de 50 estudantes totalizando um universo de 400 pessoas. Todos os indivíduos pesquisados são estudantes do ensino médio de escolas públicas estaduais, residentes na ca</w:t>
      </w:r>
      <w:r w:rsidR="00253BA9">
        <w:rPr>
          <w:sz w:val="20"/>
          <w:szCs w:val="20"/>
        </w:rPr>
        <w:t xml:space="preserve">pital e nas cidades do interior do estado de Alagoas </w:t>
      </w:r>
      <w:r w:rsidR="00253BA9" w:rsidRPr="00253BA9">
        <w:rPr>
          <w:sz w:val="20"/>
          <w:szCs w:val="20"/>
        </w:rPr>
        <w:t>possuindo idades entre 17 a 21 anos.</w:t>
      </w:r>
      <w:r w:rsidR="007568EB" w:rsidRPr="007568EB">
        <w:t xml:space="preserve"> </w:t>
      </w:r>
      <w:r w:rsidR="007568EB" w:rsidRPr="007568EB">
        <w:rPr>
          <w:sz w:val="20"/>
          <w:szCs w:val="20"/>
        </w:rPr>
        <w:t>Este estudo pode ser classificado como uma pesquisa descritiva na qual foram utilizadas técnicas de pesquisa qualitativa e quantitativa</w:t>
      </w:r>
      <w:r w:rsidR="007568EB">
        <w:rPr>
          <w:sz w:val="20"/>
          <w:szCs w:val="20"/>
        </w:rPr>
        <w:t>. A</w:t>
      </w:r>
      <w:r w:rsidR="007568EB" w:rsidRPr="007568EB">
        <w:rPr>
          <w:sz w:val="20"/>
          <w:szCs w:val="20"/>
        </w:rPr>
        <w:t xml:space="preserve"> abordagem quantitativa foi aplicada tanto na coleta como no tratamento dos dados, sendo utilizadas de técnicas de estatísticas descritivas para resumir, descrever e compreender as informações geradas, sendo as mesmas devidamente tabuladas e apresentadas em gráficos e tabelas</w:t>
      </w:r>
      <w:r w:rsidR="007568EB">
        <w:rPr>
          <w:sz w:val="20"/>
          <w:szCs w:val="20"/>
        </w:rPr>
        <w:t>.</w:t>
      </w:r>
      <w:r w:rsidR="00D80B9B" w:rsidRPr="00D80B9B">
        <w:t xml:space="preserve"> </w:t>
      </w:r>
      <w:r w:rsidR="00D80B9B" w:rsidRPr="00D80B9B">
        <w:rPr>
          <w:sz w:val="20"/>
          <w:szCs w:val="20"/>
        </w:rPr>
        <w:t>Os resultados obtidos nesta pesquisa permitiram alcançar o objetivo proposto no estudo.</w:t>
      </w:r>
      <w:r w:rsidR="00D80B9B">
        <w:rPr>
          <w:sz w:val="20"/>
          <w:szCs w:val="20"/>
        </w:rPr>
        <w:t xml:space="preserve"> Do total de alunos matriculados</w:t>
      </w:r>
      <w:proofErr w:type="gramStart"/>
      <w:r w:rsidR="00D80B9B">
        <w:rPr>
          <w:sz w:val="20"/>
          <w:szCs w:val="20"/>
        </w:rPr>
        <w:t xml:space="preserve"> </w:t>
      </w:r>
      <w:r w:rsidR="00D80B9B" w:rsidRPr="00D80B9B">
        <w:rPr>
          <w:sz w:val="20"/>
          <w:szCs w:val="20"/>
        </w:rPr>
        <w:t xml:space="preserve"> </w:t>
      </w:r>
      <w:proofErr w:type="gramEnd"/>
      <w:r w:rsidR="00D80B9B" w:rsidRPr="00D80B9B">
        <w:rPr>
          <w:sz w:val="20"/>
          <w:szCs w:val="20"/>
        </w:rPr>
        <w:t>75,50% foram do sexo feminino e 24,50% do sexo masculino. 62,53%</w:t>
      </w:r>
      <w:r w:rsidR="00D80B9B">
        <w:rPr>
          <w:sz w:val="20"/>
          <w:szCs w:val="20"/>
        </w:rPr>
        <w:t xml:space="preserve"> dos estudantes</w:t>
      </w:r>
      <w:r w:rsidR="00D80B9B" w:rsidRPr="00D80B9B">
        <w:rPr>
          <w:sz w:val="20"/>
          <w:szCs w:val="20"/>
        </w:rPr>
        <w:t xml:space="preserve"> residiam na capital do estado de Alagoas e 37,47% nos demais municípios do interior. Na capital 78,85% dos estudantes eram do sexo feminino, no interior este índice foi 69,12%</w:t>
      </w:r>
      <w:proofErr w:type="gramStart"/>
      <w:r w:rsidR="00D80B9B" w:rsidRPr="00D80B9B">
        <w:rPr>
          <w:sz w:val="20"/>
          <w:szCs w:val="20"/>
        </w:rPr>
        <w:t>.</w:t>
      </w:r>
      <w:proofErr w:type="gramEnd"/>
      <w:r w:rsidR="00D80B9B" w:rsidRPr="00D80B9B">
        <w:rPr>
          <w:sz w:val="20"/>
          <w:szCs w:val="20"/>
        </w:rPr>
        <w:t xml:space="preserve">Verificou-se que o índice de evasão no curso de assistente administrativo foi de 52,07%, não havendo diferença relevante quando a análise foi </w:t>
      </w:r>
      <w:r w:rsidR="00D80B9B">
        <w:rPr>
          <w:sz w:val="20"/>
          <w:szCs w:val="20"/>
        </w:rPr>
        <w:t>estratificada em função da variá</w:t>
      </w:r>
      <w:r w:rsidR="00D80B9B" w:rsidRPr="00D80B9B">
        <w:rPr>
          <w:sz w:val="20"/>
          <w:szCs w:val="20"/>
        </w:rPr>
        <w:t xml:space="preserve">vel sexo. </w:t>
      </w:r>
      <w:r w:rsidR="00D80B9B">
        <w:rPr>
          <w:sz w:val="20"/>
          <w:szCs w:val="20"/>
        </w:rPr>
        <w:t>Porém</w:t>
      </w:r>
      <w:r w:rsidR="00D80B9B" w:rsidRPr="00D80B9B">
        <w:rPr>
          <w:sz w:val="20"/>
          <w:szCs w:val="20"/>
        </w:rPr>
        <w:t xml:space="preserve"> quando a analise dos dados da evasão foi feita em função do local de residência do aluno, observou-se que na capital o índice foi de 65,20%, mais que o dobro do identificado entre os alunos que residem no interior o resultado foi de apenas 30,15%.</w:t>
      </w:r>
      <w:r w:rsidR="00ED7EBF">
        <w:rPr>
          <w:sz w:val="20"/>
          <w:szCs w:val="20"/>
        </w:rPr>
        <w:t xml:space="preserve"> Comparando os resultados obtidos observou-se que os mesmos estão compatíveis com a literatura existente sobre o tema e que o atual momento de pandemia e introdução das atividades de ensino remoto na realidade educacional dos alunos não </w:t>
      </w:r>
      <w:proofErr w:type="gramStart"/>
      <w:r w:rsidR="00ED7EBF">
        <w:rPr>
          <w:sz w:val="20"/>
          <w:szCs w:val="20"/>
        </w:rPr>
        <w:t>tiveram</w:t>
      </w:r>
      <w:proofErr w:type="gramEnd"/>
      <w:r w:rsidR="00ED7EBF">
        <w:rPr>
          <w:sz w:val="20"/>
          <w:szCs w:val="20"/>
        </w:rPr>
        <w:t xml:space="preserve"> impacto negativo relevante sobre os índices de evasão escolar no curso de assistente administrativo do PRONATEC da secretaria de educação do estado de Alagoas. </w:t>
      </w:r>
    </w:p>
    <w:p w:rsidR="00253BA9" w:rsidRDefault="00253BA9">
      <w:pPr>
        <w:spacing w:line="240" w:lineRule="auto"/>
        <w:rPr>
          <w:sz w:val="20"/>
          <w:szCs w:val="20"/>
        </w:rPr>
      </w:pPr>
    </w:p>
    <w:p w:rsidR="007E0016" w:rsidRDefault="00015C52">
      <w:pPr>
        <w:spacing w:line="276" w:lineRule="auto"/>
      </w:pPr>
      <w:r>
        <w:rPr>
          <w:b/>
        </w:rPr>
        <w:t>Palavras-chave:</w:t>
      </w:r>
      <w:r>
        <w:t xml:space="preserve"> </w:t>
      </w:r>
      <w:r w:rsidR="008D1A39">
        <w:t>Evasão Escolar. Ensino Remoto. Pand</w:t>
      </w:r>
      <w:r>
        <w:t>e</w:t>
      </w:r>
      <w:r w:rsidR="008D1A39">
        <w:t xml:space="preserve">mia do Covid-19. </w:t>
      </w:r>
      <w:r>
        <w:t xml:space="preserve"> </w:t>
      </w:r>
    </w:p>
    <w:p w:rsidR="007E0016" w:rsidRDefault="007E0016">
      <w:pPr>
        <w:spacing w:line="240" w:lineRule="auto"/>
        <w:jc w:val="left"/>
      </w:pPr>
    </w:p>
    <w:p w:rsidR="007E0016" w:rsidRDefault="007E0016">
      <w:pPr>
        <w:spacing w:line="240" w:lineRule="auto"/>
        <w:jc w:val="left"/>
      </w:pPr>
    </w:p>
    <w:p w:rsidR="007E0016" w:rsidRDefault="00015C52">
      <w:pPr>
        <w:tabs>
          <w:tab w:val="left" w:pos="1050"/>
        </w:tabs>
        <w:spacing w:line="240" w:lineRule="auto"/>
        <w:jc w:val="left"/>
      </w:pPr>
      <w:r>
        <w:tab/>
      </w:r>
    </w:p>
    <w:p w:rsidR="00A74BBC" w:rsidRDefault="00A74BBC">
      <w:pPr>
        <w:spacing w:line="240" w:lineRule="auto"/>
        <w:jc w:val="left"/>
      </w:pPr>
    </w:p>
    <w:p w:rsidR="007E0016" w:rsidRDefault="00015C52">
      <w:pPr>
        <w:spacing w:line="240" w:lineRule="auto"/>
        <w:jc w:val="left"/>
      </w:pPr>
      <w:r>
        <w:br w:type="page"/>
      </w:r>
    </w:p>
    <w:p w:rsidR="007E0016" w:rsidRDefault="00015C52">
      <w:pPr>
        <w:spacing w:line="276" w:lineRule="auto"/>
        <w:rPr>
          <w:b/>
        </w:rPr>
      </w:pPr>
      <w:r>
        <w:rPr>
          <w:b/>
        </w:rPr>
        <w:lastRenderedPageBreak/>
        <w:t>INTRODUÇÃO</w:t>
      </w:r>
    </w:p>
    <w:p w:rsidR="007E0016" w:rsidRDefault="007E0016">
      <w:pPr>
        <w:spacing w:line="276" w:lineRule="auto"/>
        <w:rPr>
          <w:b/>
        </w:rPr>
      </w:pPr>
    </w:p>
    <w:p w:rsidR="009A5E18" w:rsidRDefault="00B679E2">
      <w:pPr>
        <w:spacing w:line="276" w:lineRule="auto"/>
        <w:ind w:firstLine="709"/>
      </w:pPr>
      <w:r>
        <w:t>A Evasão escolar representa um dos</w:t>
      </w:r>
      <w:r w:rsidR="001B2C6C">
        <w:t xml:space="preserve"> desafios mais antigos e</w:t>
      </w:r>
      <w:r>
        <w:t xml:space="preserve"> mais relevantes enfrentados pelo sistema educacional brasileiro.</w:t>
      </w:r>
      <w:r w:rsidR="00166EB9">
        <w:t xml:space="preserve"> Segundo Campos e Oliveira (2003) </w:t>
      </w:r>
      <w:r w:rsidR="00E13C60">
        <w:t xml:space="preserve">a evasão escolar </w:t>
      </w:r>
      <w:r w:rsidR="00166EB9">
        <w:t xml:space="preserve">acontece quando o aluno se afasta da escola por tempo indeterminado ou não, </w:t>
      </w:r>
      <w:r w:rsidR="00E13C60">
        <w:t>por</w:t>
      </w:r>
      <w:r w:rsidR="00166EB9">
        <w:t xml:space="preserve"> motivos que em boa parte estão vinculados as condições</w:t>
      </w:r>
      <w:r w:rsidR="006F197D">
        <w:t xml:space="preserve"> culturais e</w:t>
      </w:r>
      <w:r w:rsidR="00166EB9">
        <w:t xml:space="preserve"> socioeconômicas </w:t>
      </w:r>
      <w:r w:rsidR="00E13C60">
        <w:t>dos estudantes</w:t>
      </w:r>
      <w:r w:rsidR="009A5E18">
        <w:t>, visando minimizar os efeitos da evasão a</w:t>
      </w:r>
      <w:r w:rsidR="00E13C60" w:rsidRPr="00E13C60">
        <w:t xml:space="preserve"> Lei de diretrizes e bases da educação n</w:t>
      </w:r>
      <w:r w:rsidR="009A5E18">
        <w:t>acional, Lei nº 9.394/96 decretou</w:t>
      </w:r>
      <w:r w:rsidR="00E13C60" w:rsidRPr="00E13C60">
        <w:t xml:space="preserve"> a igualdade de condições para o acesso e a permanência </w:t>
      </w:r>
      <w:r w:rsidR="009A5E18">
        <w:t xml:space="preserve">dos alunos </w:t>
      </w:r>
      <w:r w:rsidR="00E13C60" w:rsidRPr="00E13C60">
        <w:t>na escola</w:t>
      </w:r>
      <w:r w:rsidR="009A5E18">
        <w:t>.</w:t>
      </w:r>
    </w:p>
    <w:p w:rsidR="00B71555" w:rsidRDefault="009A5E18">
      <w:pPr>
        <w:spacing w:line="276" w:lineRule="auto"/>
        <w:ind w:firstLine="709"/>
      </w:pPr>
      <w:r>
        <w:t xml:space="preserve">Para </w:t>
      </w:r>
      <w:r w:rsidRPr="009A5E18">
        <w:t>Borja e Martins (2014,</w:t>
      </w:r>
      <w:r>
        <w:t xml:space="preserve">), a evasão escolar </w:t>
      </w:r>
      <w:r w:rsidR="005441B2">
        <w:t xml:space="preserve">pode </w:t>
      </w:r>
      <w:r w:rsidR="00B71555">
        <w:t>provocar</w:t>
      </w:r>
      <w:r w:rsidR="005441B2">
        <w:t xml:space="preserve"> a exclusão social</w:t>
      </w:r>
      <w:r w:rsidR="00B71555">
        <w:t xml:space="preserve"> do individuo</w:t>
      </w:r>
      <w:r w:rsidR="005441B2">
        <w:t xml:space="preserve">, principalmente quando atinge </w:t>
      </w:r>
      <w:r w:rsidR="00B71555">
        <w:t>pessoas</w:t>
      </w:r>
      <w:r w:rsidR="005441B2">
        <w:t xml:space="preserve"> em situação de vulnerabilidade socioeconômica. No </w:t>
      </w:r>
      <w:r w:rsidR="009C504A">
        <w:t xml:space="preserve">Brasil </w:t>
      </w:r>
      <w:r w:rsidR="00B71555">
        <w:t xml:space="preserve">são </w:t>
      </w:r>
      <w:r w:rsidR="009C504A">
        <w:t xml:space="preserve">os jovens </w:t>
      </w:r>
      <w:r w:rsidR="009C504A" w:rsidRPr="009C504A">
        <w:t>da faixa etária de 15-24 anos</w:t>
      </w:r>
      <w:r w:rsidR="009C504A">
        <w:t xml:space="preserve"> oriundos de escolas públicas os que mais sofrem os efeitos desta problemática</w:t>
      </w:r>
      <w:r w:rsidR="00B71555">
        <w:t xml:space="preserve">, estado </w:t>
      </w:r>
      <w:proofErr w:type="gramStart"/>
      <w:r w:rsidR="00B71555">
        <w:t>a</w:t>
      </w:r>
      <w:proofErr w:type="gramEnd"/>
      <w:r w:rsidR="00B71555">
        <w:t xml:space="preserve"> mesma atrelada a dificuldades de inserção no mercado de trabalho, visto que a taxa de desemprego neste segmento populacional é </w:t>
      </w:r>
      <w:r w:rsidR="00B71555" w:rsidRPr="00B71555">
        <w:t>3,2 vezes mais elevada do que a observada entre os adultos</w:t>
      </w:r>
      <w:r w:rsidR="00B71555">
        <w:t>.</w:t>
      </w:r>
    </w:p>
    <w:p w:rsidR="002C6EFD" w:rsidRDefault="001654A3" w:rsidP="002C6EFD">
      <w:pPr>
        <w:spacing w:line="276" w:lineRule="auto"/>
        <w:ind w:firstLine="709"/>
      </w:pPr>
      <w:r>
        <w:t>Na visão de</w:t>
      </w:r>
      <w:r w:rsidRPr="001654A3">
        <w:t xml:space="preserve"> Segnini (2000), a educação</w:t>
      </w:r>
      <w:r w:rsidR="00B71555">
        <w:t xml:space="preserve"> e a formação profissional de qualidade aumentam a velocidade de inserção destes jovens no mercado de trabalho</w:t>
      </w:r>
      <w:r w:rsidR="009A1C3C">
        <w:t>.</w:t>
      </w:r>
      <w:r w:rsidR="002C6EFD">
        <w:t xml:space="preserve"> Neste sentido foi criado no ano de 2011 o </w:t>
      </w:r>
      <w:r w:rsidR="002C6EFD" w:rsidRPr="00AA5BE2">
        <w:t>Programa Nacional de Acesso ao Ensino Técnico e Emprego (PRONATEC</w:t>
      </w:r>
      <w:proofErr w:type="gramStart"/>
      <w:r w:rsidR="002C6EFD" w:rsidRPr="00AA5BE2">
        <w:t>)</w:t>
      </w:r>
      <w:proofErr w:type="gramEnd"/>
      <w:r w:rsidR="002C6EFD">
        <w:rPr>
          <w:rStyle w:val="Refdenotaderodap"/>
        </w:rPr>
        <w:footnoteReference w:id="1"/>
      </w:r>
      <w:r w:rsidR="002C6EFD">
        <w:t xml:space="preserve">, tendo como um dos objetivos principais a expansão da </w:t>
      </w:r>
      <w:r w:rsidR="002C6EFD" w:rsidRPr="00AA5BE2">
        <w:t>oferta de e</w:t>
      </w:r>
      <w:r w:rsidR="002C6EFD">
        <w:t>ducação profissional e melhoraria d</w:t>
      </w:r>
      <w:r w:rsidR="002C6EFD" w:rsidRPr="00AA5BE2">
        <w:t>a qualidade do ensino médio</w:t>
      </w:r>
      <w:r w:rsidR="002C6EFD">
        <w:t xml:space="preserve"> profissionalizante</w:t>
      </w:r>
      <w:r w:rsidR="002C6EFD" w:rsidRPr="00AA5BE2">
        <w:t xml:space="preserve"> no Brasil</w:t>
      </w:r>
    </w:p>
    <w:p w:rsidR="007D2BF6" w:rsidRDefault="00C921E2">
      <w:pPr>
        <w:spacing w:line="276" w:lineRule="auto"/>
        <w:ind w:firstLine="709"/>
      </w:pPr>
      <w:r>
        <w:t xml:space="preserve">O curso de Assistente administrativo do PRONATEC da secretaria de educação do estado de Alagoas, tradicionalmente </w:t>
      </w:r>
      <w:r w:rsidR="00171615">
        <w:t xml:space="preserve">é </w:t>
      </w:r>
      <w:r>
        <w:t xml:space="preserve">ofertado na modalidade presencial, </w:t>
      </w:r>
      <w:r w:rsidR="00171615">
        <w:t xml:space="preserve">todavia </w:t>
      </w:r>
      <w:r>
        <w:t>em virtude da</w:t>
      </w:r>
      <w:r w:rsidR="00171615">
        <w:t>s restrições ocasionadas pela p</w:t>
      </w:r>
      <w:r>
        <w:t>andemia do COVID-19</w:t>
      </w:r>
      <w:r w:rsidR="00171615">
        <w:t>,</w:t>
      </w:r>
      <w:r>
        <w:t xml:space="preserve"> teve</w:t>
      </w:r>
      <w:r w:rsidR="007D2BF6">
        <w:t xml:space="preserve"> que suspender suas aulas</w:t>
      </w:r>
      <w:r w:rsidR="00171615">
        <w:t xml:space="preserve"> presenciais</w:t>
      </w:r>
      <w:r w:rsidR="007D2BF6">
        <w:t>, passando a ser</w:t>
      </w:r>
      <w:r>
        <w:t xml:space="preserve"> ofertado</w:t>
      </w:r>
      <w:r w:rsidR="00F30DEC">
        <w:t xml:space="preserve">, </w:t>
      </w:r>
      <w:r w:rsidR="007D2BF6">
        <w:t>pela primeira vez por meio do</w:t>
      </w:r>
      <w:r>
        <w:t xml:space="preserve"> </w:t>
      </w:r>
      <w:r w:rsidRPr="00C921E2">
        <w:t>ensino remoto</w:t>
      </w:r>
      <w:r w:rsidR="007D2BF6">
        <w:t xml:space="preserve"> e </w:t>
      </w:r>
      <w:r w:rsidRPr="00C921E2">
        <w:t>na modalidade a distancia</w:t>
      </w:r>
      <w:r w:rsidR="00F30DEC">
        <w:t>, a estudantes do ensino médio de escolas públicas da capital e do interior do estado</w:t>
      </w:r>
      <w:r w:rsidR="007D2BF6">
        <w:t>.</w:t>
      </w:r>
    </w:p>
    <w:p w:rsidR="006C13C8" w:rsidRDefault="00E338F1" w:rsidP="00F30DEC">
      <w:pPr>
        <w:spacing w:line="276" w:lineRule="auto"/>
        <w:ind w:firstLine="709"/>
      </w:pPr>
      <w:r w:rsidRPr="00E338F1">
        <w:t>Considerando ta</w:t>
      </w:r>
      <w:r w:rsidR="00F30DEC">
        <w:t>l</w:t>
      </w:r>
      <w:r w:rsidRPr="00E338F1">
        <w:t xml:space="preserve"> cenário </w:t>
      </w:r>
      <w:r w:rsidR="00A0471E">
        <w:t>o presente artigo</w:t>
      </w:r>
      <w:r w:rsidRPr="00E338F1">
        <w:t xml:space="preserve"> tem como objetivo</w:t>
      </w:r>
      <w:r w:rsidR="00A0471E">
        <w:t xml:space="preserve"> estudar o nível de evasão escolar no curso de assistente administrativo</w:t>
      </w:r>
      <w:r w:rsidRPr="00E338F1">
        <w:t xml:space="preserve"> do PRONATEC ofertado pela Secretaria de Educação do Estado de Alagoas </w:t>
      </w:r>
      <w:r w:rsidR="00A0471E">
        <w:t>na modalidade de</w:t>
      </w:r>
      <w:r w:rsidRPr="00E338F1">
        <w:t xml:space="preserve"> ensino remoto durante a pandemia de COVID-19.</w:t>
      </w:r>
      <w:r w:rsidR="00F30DEC">
        <w:t xml:space="preserve"> Busca-se de forma complementar identificar se houve diferenças significativas entre os alunos residentes na capital e os residentes no interior do estado.</w:t>
      </w:r>
    </w:p>
    <w:p w:rsidR="006C13C8" w:rsidRDefault="006C13C8">
      <w:pPr>
        <w:spacing w:line="276" w:lineRule="auto"/>
        <w:ind w:firstLine="709"/>
      </w:pPr>
    </w:p>
    <w:p w:rsidR="007E0016" w:rsidRDefault="007E0016" w:rsidP="00F30DEC">
      <w:pPr>
        <w:spacing w:line="276" w:lineRule="auto"/>
        <w:ind w:firstLine="709"/>
      </w:pPr>
    </w:p>
    <w:p w:rsidR="007E0016" w:rsidRDefault="00015C52">
      <w:pPr>
        <w:tabs>
          <w:tab w:val="left" w:pos="426"/>
        </w:tabs>
        <w:spacing w:line="276" w:lineRule="auto"/>
        <w:rPr>
          <w:b/>
        </w:rPr>
      </w:pPr>
      <w:r>
        <w:rPr>
          <w:b/>
        </w:rPr>
        <w:t>MATERIAIS E MÉTODO</w:t>
      </w:r>
    </w:p>
    <w:p w:rsidR="007E0016" w:rsidRDefault="007E0016">
      <w:pPr>
        <w:tabs>
          <w:tab w:val="left" w:pos="426"/>
        </w:tabs>
        <w:spacing w:line="276" w:lineRule="auto"/>
        <w:ind w:left="720"/>
        <w:rPr>
          <w:b/>
        </w:rPr>
      </w:pPr>
    </w:p>
    <w:p w:rsidR="00881564" w:rsidRDefault="00881564" w:rsidP="00881564">
      <w:pPr>
        <w:spacing w:line="276" w:lineRule="auto"/>
        <w:ind w:firstLine="708"/>
      </w:pPr>
      <w:r>
        <w:t xml:space="preserve">O presente estudo tem como objetivo geral </w:t>
      </w:r>
      <w:r w:rsidR="005347D1" w:rsidRPr="005347D1">
        <w:t>estudar o nível de evasão escolar no curso de assistente administrativo do PRONATEC ofertado pela Secretaria de Educação do Estado de</w:t>
      </w:r>
      <w:r w:rsidR="005347D1">
        <w:t xml:space="preserve"> Alagoas</w:t>
      </w:r>
      <w:r>
        <w:t xml:space="preserve">. </w:t>
      </w:r>
      <w:r w:rsidR="00EF5869">
        <w:t>A pesquisa envolveu alunos de</w:t>
      </w:r>
      <w:r>
        <w:t xml:space="preserve"> </w:t>
      </w:r>
      <w:r w:rsidR="005347D1">
        <w:t xml:space="preserve">oito turmas de 50 </w:t>
      </w:r>
      <w:r w:rsidR="00EF5869">
        <w:t>estudantes</w:t>
      </w:r>
      <w:r w:rsidR="005347D1">
        <w:t xml:space="preserve"> totalizando um universo de 400</w:t>
      </w:r>
      <w:r>
        <w:t xml:space="preserve"> </w:t>
      </w:r>
      <w:r w:rsidR="00EF5869">
        <w:t>pessoas</w:t>
      </w:r>
      <w:r w:rsidR="005347D1">
        <w:t>.</w:t>
      </w:r>
      <w:r>
        <w:t xml:space="preserve"> Todos os indivíduos pesquisados são estudantes do ensino médio de escolas públicas estaduais, residentes </w:t>
      </w:r>
      <w:r w:rsidR="005347D1">
        <w:t>na capital e nas cidades do interior possuindo</w:t>
      </w:r>
      <w:r>
        <w:t xml:space="preserve"> idade</w:t>
      </w:r>
      <w:r w:rsidR="005347D1">
        <w:t>s</w:t>
      </w:r>
      <w:r>
        <w:t xml:space="preserve"> entre 17 a 21 anos.</w:t>
      </w:r>
    </w:p>
    <w:p w:rsidR="00881564" w:rsidRDefault="00881564" w:rsidP="00881564">
      <w:pPr>
        <w:spacing w:line="276" w:lineRule="auto"/>
        <w:ind w:firstLine="708"/>
      </w:pPr>
      <w:r>
        <w:t xml:space="preserve">Este trabalho pode ser classificado como uma pesquisa descritiva, pois </w:t>
      </w:r>
      <w:proofErr w:type="gramStart"/>
      <w:r>
        <w:t>buscou-se</w:t>
      </w:r>
      <w:proofErr w:type="gramEnd"/>
      <w:r>
        <w:t xml:space="preserve"> conhecer uma determinada realidade sem gerar modificações na mesma (RUDIO, 1995). Os resultados estabelecidos foram alcançados por meio da combinação de técnicas de pesquisas qualitativa e quantitativa, </w:t>
      </w:r>
      <w:r w:rsidR="002E7A93">
        <w:t>sendo</w:t>
      </w:r>
      <w:r>
        <w:t xml:space="preserve"> possível trabalhar um volume mais expressivo de informações, conforme destaca </w:t>
      </w:r>
      <w:proofErr w:type="gramStart"/>
      <w:r>
        <w:t>Fonseca(</w:t>
      </w:r>
      <w:proofErr w:type="gramEnd"/>
      <w:r>
        <w:t>2002) e Lakatos e Marconi(2010).</w:t>
      </w:r>
    </w:p>
    <w:p w:rsidR="0033518F" w:rsidRDefault="0033518F" w:rsidP="0033518F">
      <w:pPr>
        <w:spacing w:line="276" w:lineRule="auto"/>
        <w:ind w:firstLine="708"/>
      </w:pPr>
      <w:r>
        <w:t>Conforme destaca Minayo (2001), uma pesquisa de abordagem qualitativa utiliza um universo de significados, motivos, aspirações, crenças, valores e atitudes, sendo que a analise dos fenômenos estudados não pode ser reduzida à operacionalização de variáveis.</w:t>
      </w:r>
    </w:p>
    <w:p w:rsidR="00EF0C1C" w:rsidRDefault="005B0216" w:rsidP="0033518F">
      <w:pPr>
        <w:spacing w:line="276" w:lineRule="auto"/>
        <w:ind w:firstLine="708"/>
      </w:pPr>
      <w:r>
        <w:t>Por sua vez a</w:t>
      </w:r>
      <w:r w:rsidR="00435280">
        <w:t xml:space="preserve"> abordagem quantitativa foi aplicada tanto na</w:t>
      </w:r>
      <w:r w:rsidR="00EF0C1C" w:rsidRPr="00EF0C1C">
        <w:t xml:space="preserve"> coleta</w:t>
      </w:r>
      <w:r>
        <w:t xml:space="preserve"> como no tratamento dos dados, sendo utilizadas</w:t>
      </w:r>
      <w:r w:rsidR="00EF0C1C" w:rsidRPr="00EF0C1C">
        <w:t xml:space="preserve"> de técnicas </w:t>
      </w:r>
      <w:r>
        <w:t xml:space="preserve">de </w:t>
      </w:r>
      <w:r w:rsidR="00EF0C1C" w:rsidRPr="00EF0C1C">
        <w:t>estatísticas</w:t>
      </w:r>
      <w:r>
        <w:t xml:space="preserve"> descritivas </w:t>
      </w:r>
      <w:r>
        <w:t>para resumir, descrever e compreender as informações geradas, sendo as mesmas devidamente tabuladas e apresentadas em gráficos e tabe</w:t>
      </w:r>
      <w:r>
        <w:t>las</w:t>
      </w:r>
      <w:r w:rsidR="00435280" w:rsidRPr="00435280">
        <w:t xml:space="preserve"> </w:t>
      </w:r>
      <w:r w:rsidR="00435280">
        <w:t>(</w:t>
      </w:r>
      <w:proofErr w:type="gramStart"/>
      <w:r w:rsidR="00435280" w:rsidRPr="00435280">
        <w:t>R</w:t>
      </w:r>
      <w:r w:rsidR="00435280">
        <w:t>ICHARDSON,</w:t>
      </w:r>
      <w:proofErr w:type="gramEnd"/>
      <w:r w:rsidR="00435280" w:rsidRPr="00435280">
        <w:t>1989)</w:t>
      </w:r>
      <w:r w:rsidR="00435280">
        <w:t>.</w:t>
      </w:r>
      <w:r>
        <w:t xml:space="preserve"> </w:t>
      </w:r>
      <w:r>
        <w:t>Os dados estatísticos analisados são secundários e foram coletados dos mapas de desempenho dos alunos das oito turmas do curso de assistente administrativo.</w:t>
      </w:r>
    </w:p>
    <w:p w:rsidR="0016784F" w:rsidRDefault="00EF0C1C" w:rsidP="00502E57">
      <w:pPr>
        <w:spacing w:line="276" w:lineRule="auto"/>
        <w:ind w:firstLine="708"/>
      </w:pPr>
      <w:r>
        <w:t>No decorrer desta pesquisa foi realizada</w:t>
      </w:r>
      <w:r w:rsidR="005B0216">
        <w:t xml:space="preserve"> ainda</w:t>
      </w:r>
      <w:r>
        <w:t xml:space="preserve"> uma revisão bibliográfica das temáticas analisadas, principalmente em relação</w:t>
      </w:r>
      <w:r w:rsidR="005B0216">
        <w:t xml:space="preserve"> á</w:t>
      </w:r>
      <w:r>
        <w:t xml:space="preserve"> evasão escolar, ensino remoto e sobre o </w:t>
      </w:r>
      <w:r w:rsidRPr="00EF0C1C">
        <w:t>Programa Nacional de Acesso ao Ensino Técnico e Emprego (PRONATEC</w:t>
      </w:r>
      <w:r>
        <w:t>).</w:t>
      </w:r>
    </w:p>
    <w:p w:rsidR="00502E57" w:rsidRDefault="00502E57" w:rsidP="00502E57">
      <w:pPr>
        <w:spacing w:line="276" w:lineRule="auto"/>
        <w:ind w:firstLine="708"/>
        <w:rPr>
          <w:b/>
          <w:smallCaps/>
        </w:rPr>
      </w:pPr>
    </w:p>
    <w:p w:rsidR="007E0016" w:rsidRDefault="00015C52">
      <w:pPr>
        <w:tabs>
          <w:tab w:val="left" w:pos="426"/>
        </w:tabs>
        <w:spacing w:line="276" w:lineRule="auto"/>
        <w:rPr>
          <w:b/>
          <w:smallCaps/>
        </w:rPr>
      </w:pPr>
      <w:r>
        <w:rPr>
          <w:b/>
          <w:smallCaps/>
        </w:rPr>
        <w:t>RESULTADOS E DISCUSSÃO</w:t>
      </w:r>
    </w:p>
    <w:p w:rsidR="007E0016" w:rsidRDefault="007E0016">
      <w:pPr>
        <w:tabs>
          <w:tab w:val="left" w:pos="426"/>
        </w:tabs>
        <w:spacing w:line="276" w:lineRule="auto"/>
        <w:ind w:left="720"/>
        <w:rPr>
          <w:b/>
          <w:smallCaps/>
        </w:rPr>
      </w:pPr>
    </w:p>
    <w:p w:rsidR="00360942" w:rsidRDefault="00460F29">
      <w:pPr>
        <w:spacing w:line="276" w:lineRule="auto"/>
        <w:ind w:firstLine="708"/>
      </w:pPr>
      <w:r>
        <w:t>O processo seletivo simplificado de alunos para o curso de assistente administrativo FICS/EAD do PRONATEC da secretaria de educação do Estado de Alagoas, disponibilizou 400 vagas para estudantes do terceiro ano do ensino médio e da Educação de Jovens e Adultos médio da rede publica estadual do estado de Alagoas.</w:t>
      </w:r>
      <w:r w:rsidR="004818A1">
        <w:t xml:space="preserve"> Dos quinze cursos ofertados o de assistente </w:t>
      </w:r>
      <w:r w:rsidR="004818A1">
        <w:lastRenderedPageBreak/>
        <w:t>administrativo foi o único que apresentou demanda para 100% das vagas liberadas.</w:t>
      </w:r>
    </w:p>
    <w:p w:rsidR="00360942" w:rsidRDefault="004818A1" w:rsidP="004818A1">
      <w:pPr>
        <w:spacing w:line="276" w:lineRule="auto"/>
      </w:pPr>
      <w:r>
        <w:tab/>
        <w:t xml:space="preserve">Esta </w:t>
      </w:r>
      <w:r w:rsidRPr="004818A1">
        <w:t>alta procura por cursos na área de administração no ensino técnico profissionalizante também se verifica no ensino superior</w:t>
      </w:r>
      <w:r>
        <w:t>, s</w:t>
      </w:r>
      <w:r w:rsidRPr="004818A1">
        <w:t>egundo</w:t>
      </w:r>
      <w:r>
        <w:t xml:space="preserve"> dados do</w:t>
      </w:r>
      <w:r w:rsidRPr="004818A1">
        <w:t xml:space="preserve"> censo de educação superior do ano de 2018 o curso de administração foi </w:t>
      </w:r>
      <w:proofErr w:type="gramStart"/>
      <w:r w:rsidRPr="004818A1">
        <w:t>a</w:t>
      </w:r>
      <w:proofErr w:type="gramEnd"/>
      <w:r w:rsidRPr="004818A1">
        <w:t xml:space="preserve"> segunda graduação mais procurada</w:t>
      </w:r>
      <w:r>
        <w:t xml:space="preserve"> no Brasil</w:t>
      </w:r>
      <w:r w:rsidRPr="004818A1">
        <w:t>, ficando atrás apenas do curso de direito.</w:t>
      </w:r>
    </w:p>
    <w:p w:rsidR="00613621" w:rsidRDefault="00F960C5" w:rsidP="004818A1">
      <w:pPr>
        <w:spacing w:line="276" w:lineRule="auto"/>
      </w:pPr>
      <w:r>
        <w:tab/>
      </w:r>
      <w:r w:rsidRPr="00F960C5">
        <w:t>O número de mulheres matriculadas</w:t>
      </w:r>
      <w:r>
        <w:t xml:space="preserve"> no curso de assistente administrativo</w:t>
      </w:r>
      <w:r w:rsidR="006A4DDC">
        <w:t xml:space="preserve"> representou</w:t>
      </w:r>
      <w:r w:rsidRPr="00F960C5">
        <w:t xml:space="preserve"> 7</w:t>
      </w:r>
      <w:r w:rsidR="006A4DDC">
        <w:t>5</w:t>
      </w:r>
      <w:r w:rsidRPr="00F960C5">
        <w:t>,</w:t>
      </w:r>
      <w:r w:rsidR="006A4DDC">
        <w:t>50</w:t>
      </w:r>
      <w:r w:rsidRPr="00F960C5">
        <w:t>% do</w:t>
      </w:r>
      <w:r w:rsidR="006A4DDC">
        <w:t xml:space="preserve"> </w:t>
      </w:r>
      <w:r w:rsidRPr="00F960C5">
        <w:t>total de estudantes</w:t>
      </w:r>
      <w:r w:rsidR="00AF1B47">
        <w:t>,</w:t>
      </w:r>
      <w:r w:rsidRPr="00F960C5">
        <w:t xml:space="preserve"> conforme pode ser obs</w:t>
      </w:r>
      <w:r w:rsidR="00613621">
        <w:t>ervado na Figura</w:t>
      </w:r>
      <w:r w:rsidR="002026B4">
        <w:t xml:space="preserve"> </w:t>
      </w:r>
      <w:r w:rsidR="00613621">
        <w:t>1. Tal índice está</w:t>
      </w:r>
      <w:r w:rsidRPr="00F960C5">
        <w:t xml:space="preserve"> compatível com os achados de Feres e Patrão (2009); Benini e Cecchin (2016); Medeiros, Araújo e Guerra (2018). Segundo os autores este fato sinaliza a busca das mulheres por uma maior </w:t>
      </w:r>
      <w:r w:rsidR="00613621">
        <w:t>inserção no mercado de trabalho, visto que estas são mais afetadas pelo fenômeno do desemprego em nosso país</w:t>
      </w:r>
      <w:r w:rsidR="00F742A0">
        <w:rPr>
          <w:rStyle w:val="Refdenotaderodap"/>
        </w:rPr>
        <w:footnoteReference w:id="2"/>
      </w:r>
      <w:r w:rsidR="00613621">
        <w:t>.</w:t>
      </w:r>
    </w:p>
    <w:p w:rsidR="00F960C5" w:rsidRDefault="00613621" w:rsidP="004818A1">
      <w:pPr>
        <w:spacing w:line="276" w:lineRule="auto"/>
      </w:pPr>
      <w:r>
        <w:t xml:space="preserve"> </w:t>
      </w:r>
    </w:p>
    <w:p w:rsidR="00613621" w:rsidRPr="00613621" w:rsidRDefault="00613621" w:rsidP="00FD1839">
      <w:pPr>
        <w:spacing w:line="276" w:lineRule="auto"/>
        <w:jc w:val="center"/>
        <w:rPr>
          <w:b/>
        </w:rPr>
      </w:pPr>
      <w:r>
        <w:rPr>
          <w:b/>
        </w:rPr>
        <w:t>Fí</w:t>
      </w:r>
      <w:r w:rsidRPr="00613621">
        <w:rPr>
          <w:b/>
        </w:rPr>
        <w:t xml:space="preserve">gura </w:t>
      </w:r>
      <w:proofErr w:type="gramStart"/>
      <w:r w:rsidRPr="00613621">
        <w:rPr>
          <w:b/>
        </w:rPr>
        <w:t>1</w:t>
      </w:r>
      <w:proofErr w:type="gramEnd"/>
      <w:r>
        <w:rPr>
          <w:b/>
        </w:rPr>
        <w:t>.</w:t>
      </w:r>
      <w:r w:rsidRPr="00613621">
        <w:rPr>
          <w:b/>
        </w:rPr>
        <w:t>Participação por sexo no total de alunos matriculados.</w:t>
      </w:r>
    </w:p>
    <w:p w:rsidR="006A4DDC" w:rsidRDefault="006A4DDC" w:rsidP="00FD1839">
      <w:pPr>
        <w:spacing w:line="276" w:lineRule="auto"/>
        <w:jc w:val="center"/>
      </w:pPr>
    </w:p>
    <w:p w:rsidR="006A4DDC" w:rsidRDefault="006A4DDC" w:rsidP="006A4DDC">
      <w:pPr>
        <w:spacing w:line="276" w:lineRule="auto"/>
        <w:jc w:val="center"/>
      </w:pPr>
      <w:r>
        <w:rPr>
          <w:noProof/>
        </w:rPr>
        <w:drawing>
          <wp:inline distT="0" distB="0" distL="0" distR="0" wp14:anchorId="4051D618" wp14:editId="1E8F37D4">
            <wp:extent cx="3381375" cy="161925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4DDC" w:rsidRDefault="00613621" w:rsidP="00FD1839">
      <w:pPr>
        <w:spacing w:line="276" w:lineRule="auto"/>
        <w:jc w:val="center"/>
        <w:rPr>
          <w:b/>
          <w:sz w:val="20"/>
          <w:szCs w:val="20"/>
        </w:rPr>
      </w:pPr>
      <w:r w:rsidRPr="00FD1839">
        <w:rPr>
          <w:b/>
          <w:sz w:val="20"/>
          <w:szCs w:val="20"/>
        </w:rPr>
        <w:t>Fonte</w:t>
      </w:r>
      <w:r w:rsidR="00FD1839" w:rsidRPr="00FD1839">
        <w:rPr>
          <w:b/>
          <w:sz w:val="20"/>
          <w:szCs w:val="20"/>
        </w:rPr>
        <w:t>: Mapas de desempenho/elaboração do autor.</w:t>
      </w:r>
    </w:p>
    <w:p w:rsidR="00F742A0" w:rsidRDefault="00F742A0" w:rsidP="00FD1839">
      <w:pPr>
        <w:spacing w:line="276" w:lineRule="auto"/>
        <w:jc w:val="center"/>
        <w:rPr>
          <w:b/>
          <w:sz w:val="20"/>
          <w:szCs w:val="20"/>
        </w:rPr>
      </w:pPr>
    </w:p>
    <w:p w:rsidR="002026B4" w:rsidRDefault="002026B4" w:rsidP="00E1523C">
      <w:pPr>
        <w:spacing w:line="276" w:lineRule="auto"/>
      </w:pPr>
      <w:r>
        <w:rPr>
          <w:b/>
          <w:sz w:val="20"/>
          <w:szCs w:val="20"/>
        </w:rPr>
        <w:tab/>
      </w:r>
      <w:r w:rsidR="00BD0467">
        <w:t>Vale destacar que</w:t>
      </w:r>
      <w:r>
        <w:t xml:space="preserve"> dos 400 alunos matriculados apenas 363 informaram o local de residência</w:t>
      </w:r>
      <w:r w:rsidR="00BD0467">
        <w:t>, logo,</w:t>
      </w:r>
      <w:r>
        <w:t xml:space="preserve"> os resultados alcançados nesta pesquisa tiveram como base esta amostra.</w:t>
      </w:r>
      <w:r w:rsidR="00E97E57">
        <w:t xml:space="preserve"> </w:t>
      </w:r>
      <w:r w:rsidR="00E97E57">
        <w:t>Conforme observado na Figura 2</w:t>
      </w:r>
      <w:r>
        <w:t xml:space="preserve"> </w:t>
      </w:r>
      <w:r w:rsidR="00E97E57">
        <w:t>o</w:t>
      </w:r>
      <w:r>
        <w:t>s dados coletados revelam que 62,53% dos alunos do curso de assistente administrativo residiam na capital do estado de Alagoas e 37,47% nos demais municípios do interior.</w:t>
      </w:r>
      <w:r w:rsidR="00B06BE1">
        <w:t xml:space="preserve"> Na capital 78,85% dos estudantes eram do sexo feminino no interior este índice foi 69,12%. A maior participação de indivíduos do sexo masculino foi verificada no interior do estado com 30,88%.</w:t>
      </w:r>
    </w:p>
    <w:p w:rsidR="002026B4" w:rsidRDefault="002026B4" w:rsidP="00E1523C">
      <w:pPr>
        <w:spacing w:line="276" w:lineRule="auto"/>
      </w:pPr>
    </w:p>
    <w:p w:rsidR="00B06BE1" w:rsidRPr="00613621" w:rsidRDefault="00B06BE1" w:rsidP="00B06BE1">
      <w:pPr>
        <w:spacing w:line="276" w:lineRule="auto"/>
        <w:jc w:val="center"/>
        <w:rPr>
          <w:b/>
        </w:rPr>
      </w:pPr>
      <w:r>
        <w:rPr>
          <w:b/>
        </w:rPr>
        <w:lastRenderedPageBreak/>
        <w:t>Fí</w:t>
      </w:r>
      <w:r w:rsidRPr="00613621">
        <w:rPr>
          <w:b/>
        </w:rPr>
        <w:t xml:space="preserve">gura </w:t>
      </w:r>
      <w:proofErr w:type="gramStart"/>
      <w:r w:rsidR="00B01376">
        <w:rPr>
          <w:b/>
        </w:rPr>
        <w:t>2</w:t>
      </w:r>
      <w:proofErr w:type="gramEnd"/>
      <w:r>
        <w:rPr>
          <w:b/>
        </w:rPr>
        <w:t>.</w:t>
      </w:r>
      <w:r>
        <w:rPr>
          <w:b/>
        </w:rPr>
        <w:t>Quantitativo de Alunos</w:t>
      </w:r>
      <w:r w:rsidRPr="00613621">
        <w:rPr>
          <w:b/>
        </w:rPr>
        <w:t xml:space="preserve"> por sexo </w:t>
      </w:r>
      <w:r>
        <w:rPr>
          <w:b/>
        </w:rPr>
        <w:t>e local de Residência</w:t>
      </w:r>
      <w:r w:rsidRPr="00613621">
        <w:rPr>
          <w:b/>
        </w:rPr>
        <w:t>.</w:t>
      </w:r>
    </w:p>
    <w:p w:rsidR="002026B4" w:rsidRDefault="002026B4" w:rsidP="00E1523C">
      <w:pPr>
        <w:spacing w:line="276" w:lineRule="auto"/>
      </w:pPr>
    </w:p>
    <w:tbl>
      <w:tblPr>
        <w:tblW w:w="5280" w:type="dxa"/>
        <w:jc w:val="center"/>
        <w:tblInd w:w="55" w:type="dxa"/>
        <w:tblCellMar>
          <w:left w:w="70" w:type="dxa"/>
          <w:right w:w="70" w:type="dxa"/>
        </w:tblCellMar>
        <w:tblLook w:val="04A0" w:firstRow="1" w:lastRow="0" w:firstColumn="1" w:lastColumn="0" w:noHBand="0" w:noVBand="1"/>
      </w:tblPr>
      <w:tblGrid>
        <w:gridCol w:w="2060"/>
        <w:gridCol w:w="1182"/>
        <w:gridCol w:w="1181"/>
        <w:gridCol w:w="857"/>
      </w:tblGrid>
      <w:tr w:rsidR="002026B4" w:rsidRPr="002026B4" w:rsidTr="002026B4">
        <w:trPr>
          <w:trHeight w:val="300"/>
          <w:jc w:val="center"/>
        </w:trPr>
        <w:tc>
          <w:tcPr>
            <w:tcW w:w="2060" w:type="dxa"/>
            <w:vMerge w:val="restart"/>
            <w:tcBorders>
              <w:top w:val="single" w:sz="4" w:space="0" w:color="auto"/>
              <w:left w:val="nil"/>
              <w:bottom w:val="nil"/>
              <w:right w:val="single" w:sz="4" w:space="0" w:color="auto"/>
            </w:tcBorders>
            <w:shd w:val="clear" w:color="auto" w:fill="auto"/>
            <w:noWrap/>
            <w:vAlign w:val="center"/>
            <w:hideMark/>
          </w:tcPr>
          <w:p w:rsidR="002026B4" w:rsidRPr="002026B4" w:rsidRDefault="002026B4" w:rsidP="002026B4">
            <w:pPr>
              <w:spacing w:line="240" w:lineRule="auto"/>
              <w:jc w:val="center"/>
              <w:rPr>
                <w:rFonts w:eastAsia="Times New Roman"/>
                <w:color w:val="000000"/>
              </w:rPr>
            </w:pPr>
            <w:r w:rsidRPr="002026B4">
              <w:rPr>
                <w:rFonts w:eastAsia="Times New Roman"/>
                <w:color w:val="000000"/>
              </w:rPr>
              <w:t>Sexo</w:t>
            </w:r>
          </w:p>
        </w:tc>
        <w:tc>
          <w:tcPr>
            <w:tcW w:w="3220" w:type="dxa"/>
            <w:gridSpan w:val="3"/>
            <w:tcBorders>
              <w:top w:val="single" w:sz="4" w:space="0" w:color="auto"/>
              <w:left w:val="nil"/>
              <w:bottom w:val="nil"/>
              <w:right w:val="nil"/>
            </w:tcBorders>
            <w:shd w:val="clear" w:color="auto" w:fill="auto"/>
            <w:vAlign w:val="center"/>
            <w:hideMark/>
          </w:tcPr>
          <w:p w:rsidR="002026B4" w:rsidRPr="002026B4" w:rsidRDefault="002026B4" w:rsidP="002026B4">
            <w:pPr>
              <w:spacing w:line="240" w:lineRule="auto"/>
              <w:jc w:val="center"/>
              <w:rPr>
                <w:rFonts w:eastAsia="Times New Roman"/>
                <w:color w:val="000000"/>
              </w:rPr>
            </w:pPr>
            <w:r w:rsidRPr="002026B4">
              <w:rPr>
                <w:rFonts w:eastAsia="Times New Roman"/>
                <w:color w:val="000000"/>
              </w:rPr>
              <w:t>Local de Residência</w:t>
            </w:r>
          </w:p>
        </w:tc>
      </w:tr>
      <w:tr w:rsidR="002026B4" w:rsidRPr="002026B4" w:rsidTr="002026B4">
        <w:trPr>
          <w:trHeight w:val="315"/>
          <w:jc w:val="center"/>
        </w:trPr>
        <w:tc>
          <w:tcPr>
            <w:tcW w:w="2060" w:type="dxa"/>
            <w:vMerge/>
            <w:tcBorders>
              <w:top w:val="single" w:sz="4" w:space="0" w:color="auto"/>
              <w:left w:val="nil"/>
              <w:bottom w:val="nil"/>
              <w:right w:val="single" w:sz="4" w:space="0" w:color="auto"/>
            </w:tcBorders>
            <w:vAlign w:val="center"/>
            <w:hideMark/>
          </w:tcPr>
          <w:p w:rsidR="002026B4" w:rsidRPr="002026B4" w:rsidRDefault="002026B4" w:rsidP="002026B4">
            <w:pPr>
              <w:spacing w:line="240" w:lineRule="auto"/>
              <w:jc w:val="left"/>
              <w:rPr>
                <w:rFonts w:eastAsia="Times New Roman"/>
                <w:color w:val="000000"/>
              </w:rPr>
            </w:pPr>
          </w:p>
        </w:tc>
        <w:tc>
          <w:tcPr>
            <w:tcW w:w="1182"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eastAsia="Times New Roman"/>
                <w:color w:val="000000"/>
              </w:rPr>
            </w:pPr>
            <w:r w:rsidRPr="002026B4">
              <w:rPr>
                <w:rFonts w:eastAsia="Times New Roman"/>
                <w:color w:val="000000"/>
              </w:rPr>
              <w:t>Capital</w:t>
            </w:r>
          </w:p>
        </w:tc>
        <w:tc>
          <w:tcPr>
            <w:tcW w:w="1181"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eastAsia="Times New Roman"/>
                <w:color w:val="000000"/>
              </w:rPr>
            </w:pPr>
            <w:r w:rsidRPr="002026B4">
              <w:rPr>
                <w:rFonts w:eastAsia="Times New Roman"/>
                <w:color w:val="000000"/>
              </w:rPr>
              <w:t>Interior</w:t>
            </w:r>
          </w:p>
        </w:tc>
        <w:tc>
          <w:tcPr>
            <w:tcW w:w="857"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eastAsia="Times New Roman"/>
                <w:color w:val="000000"/>
              </w:rPr>
            </w:pPr>
            <w:r w:rsidRPr="002026B4">
              <w:rPr>
                <w:rFonts w:eastAsia="Times New Roman"/>
                <w:color w:val="000000"/>
              </w:rPr>
              <w:t>Total</w:t>
            </w:r>
          </w:p>
        </w:tc>
      </w:tr>
      <w:tr w:rsidR="002026B4" w:rsidRPr="002026B4" w:rsidTr="002026B4">
        <w:trPr>
          <w:trHeight w:val="315"/>
          <w:jc w:val="center"/>
        </w:trPr>
        <w:tc>
          <w:tcPr>
            <w:tcW w:w="2060" w:type="dxa"/>
            <w:tcBorders>
              <w:top w:val="single" w:sz="4" w:space="0" w:color="auto"/>
              <w:left w:val="nil"/>
              <w:bottom w:val="nil"/>
              <w:right w:val="single" w:sz="4" w:space="0" w:color="auto"/>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Feminino</w:t>
            </w:r>
          </w:p>
        </w:tc>
        <w:tc>
          <w:tcPr>
            <w:tcW w:w="1182" w:type="dxa"/>
            <w:tcBorders>
              <w:top w:val="single" w:sz="4" w:space="0" w:color="auto"/>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179</w:t>
            </w:r>
          </w:p>
        </w:tc>
        <w:tc>
          <w:tcPr>
            <w:tcW w:w="1181" w:type="dxa"/>
            <w:tcBorders>
              <w:top w:val="single" w:sz="4" w:space="0" w:color="auto"/>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94</w:t>
            </w:r>
          </w:p>
        </w:tc>
        <w:tc>
          <w:tcPr>
            <w:tcW w:w="857" w:type="dxa"/>
            <w:tcBorders>
              <w:top w:val="single" w:sz="4" w:space="0" w:color="auto"/>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273</w:t>
            </w:r>
          </w:p>
        </w:tc>
      </w:tr>
      <w:tr w:rsidR="002026B4" w:rsidRPr="002026B4" w:rsidTr="002026B4">
        <w:trPr>
          <w:trHeight w:val="315"/>
          <w:jc w:val="center"/>
        </w:trPr>
        <w:tc>
          <w:tcPr>
            <w:tcW w:w="2060" w:type="dxa"/>
            <w:tcBorders>
              <w:top w:val="nil"/>
              <w:left w:val="nil"/>
              <w:bottom w:val="nil"/>
              <w:right w:val="single" w:sz="4" w:space="0" w:color="auto"/>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Masculino</w:t>
            </w:r>
          </w:p>
        </w:tc>
        <w:tc>
          <w:tcPr>
            <w:tcW w:w="1182"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48</w:t>
            </w:r>
          </w:p>
        </w:tc>
        <w:tc>
          <w:tcPr>
            <w:tcW w:w="1181"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42</w:t>
            </w:r>
          </w:p>
        </w:tc>
        <w:tc>
          <w:tcPr>
            <w:tcW w:w="857" w:type="dxa"/>
            <w:tcBorders>
              <w:top w:val="nil"/>
              <w:left w:val="nil"/>
              <w:bottom w:val="nil"/>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rPr>
            </w:pPr>
            <w:r w:rsidRPr="002026B4">
              <w:rPr>
                <w:rFonts w:ascii="Calibri" w:eastAsia="Times New Roman" w:hAnsi="Calibri" w:cs="Times New Roman"/>
                <w:color w:val="000000"/>
              </w:rPr>
              <w:t>90</w:t>
            </w:r>
          </w:p>
        </w:tc>
      </w:tr>
      <w:tr w:rsidR="002026B4" w:rsidRPr="002026B4" w:rsidTr="002026B4">
        <w:trPr>
          <w:trHeight w:val="300"/>
          <w:jc w:val="center"/>
        </w:trPr>
        <w:tc>
          <w:tcPr>
            <w:tcW w:w="2060" w:type="dxa"/>
            <w:tcBorders>
              <w:top w:val="nil"/>
              <w:left w:val="nil"/>
              <w:bottom w:val="single" w:sz="4" w:space="0" w:color="auto"/>
              <w:right w:val="single" w:sz="4" w:space="0" w:color="auto"/>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sz w:val="22"/>
                <w:szCs w:val="22"/>
              </w:rPr>
            </w:pPr>
            <w:r w:rsidRPr="002026B4">
              <w:rPr>
                <w:rFonts w:ascii="Calibri" w:eastAsia="Times New Roman" w:hAnsi="Calibri" w:cs="Times New Roman"/>
                <w:color w:val="000000"/>
                <w:sz w:val="22"/>
                <w:szCs w:val="22"/>
              </w:rPr>
              <w:t>Total</w:t>
            </w:r>
          </w:p>
        </w:tc>
        <w:tc>
          <w:tcPr>
            <w:tcW w:w="1182" w:type="dxa"/>
            <w:tcBorders>
              <w:top w:val="nil"/>
              <w:left w:val="nil"/>
              <w:bottom w:val="single" w:sz="4" w:space="0" w:color="auto"/>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sz w:val="22"/>
                <w:szCs w:val="22"/>
              </w:rPr>
            </w:pPr>
            <w:r w:rsidRPr="002026B4">
              <w:rPr>
                <w:rFonts w:ascii="Calibri" w:eastAsia="Times New Roman" w:hAnsi="Calibri" w:cs="Times New Roman"/>
                <w:color w:val="000000"/>
                <w:sz w:val="22"/>
                <w:szCs w:val="22"/>
              </w:rPr>
              <w:t>227</w:t>
            </w:r>
          </w:p>
        </w:tc>
        <w:tc>
          <w:tcPr>
            <w:tcW w:w="1181" w:type="dxa"/>
            <w:tcBorders>
              <w:top w:val="nil"/>
              <w:left w:val="nil"/>
              <w:bottom w:val="single" w:sz="4" w:space="0" w:color="auto"/>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sz w:val="22"/>
                <w:szCs w:val="22"/>
              </w:rPr>
            </w:pPr>
            <w:r w:rsidRPr="002026B4">
              <w:rPr>
                <w:rFonts w:ascii="Calibri" w:eastAsia="Times New Roman" w:hAnsi="Calibri" w:cs="Times New Roman"/>
                <w:color w:val="000000"/>
                <w:sz w:val="22"/>
                <w:szCs w:val="22"/>
              </w:rPr>
              <w:t>136</w:t>
            </w:r>
          </w:p>
        </w:tc>
        <w:tc>
          <w:tcPr>
            <w:tcW w:w="857" w:type="dxa"/>
            <w:tcBorders>
              <w:top w:val="nil"/>
              <w:left w:val="nil"/>
              <w:bottom w:val="single" w:sz="4" w:space="0" w:color="auto"/>
              <w:right w:val="nil"/>
            </w:tcBorders>
            <w:shd w:val="clear" w:color="auto" w:fill="auto"/>
            <w:noWrap/>
            <w:vAlign w:val="bottom"/>
            <w:hideMark/>
          </w:tcPr>
          <w:p w:rsidR="002026B4" w:rsidRPr="002026B4" w:rsidRDefault="002026B4" w:rsidP="002026B4">
            <w:pPr>
              <w:spacing w:line="240" w:lineRule="auto"/>
              <w:jc w:val="center"/>
              <w:rPr>
                <w:rFonts w:ascii="Calibri" w:eastAsia="Times New Roman" w:hAnsi="Calibri" w:cs="Times New Roman"/>
                <w:color w:val="000000"/>
                <w:sz w:val="22"/>
                <w:szCs w:val="22"/>
              </w:rPr>
            </w:pPr>
            <w:r w:rsidRPr="002026B4">
              <w:rPr>
                <w:rFonts w:ascii="Calibri" w:eastAsia="Times New Roman" w:hAnsi="Calibri" w:cs="Times New Roman"/>
                <w:color w:val="000000"/>
                <w:sz w:val="22"/>
                <w:szCs w:val="22"/>
              </w:rPr>
              <w:t>363</w:t>
            </w:r>
          </w:p>
        </w:tc>
      </w:tr>
    </w:tbl>
    <w:p w:rsidR="00B01376" w:rsidRDefault="002026B4" w:rsidP="00B01376">
      <w:pPr>
        <w:spacing w:line="276" w:lineRule="auto"/>
        <w:jc w:val="center"/>
        <w:rPr>
          <w:b/>
          <w:sz w:val="20"/>
          <w:szCs w:val="20"/>
        </w:rPr>
      </w:pPr>
      <w:r>
        <w:t xml:space="preserve"> </w:t>
      </w:r>
      <w:r w:rsidR="00B01376" w:rsidRPr="00FD1839">
        <w:rPr>
          <w:b/>
          <w:sz w:val="20"/>
          <w:szCs w:val="20"/>
        </w:rPr>
        <w:t>Fonte: Mapas de desempenho/elaboração do autor.</w:t>
      </w:r>
    </w:p>
    <w:p w:rsidR="00F742A0" w:rsidRDefault="00F742A0" w:rsidP="00E1523C">
      <w:pPr>
        <w:spacing w:line="276" w:lineRule="auto"/>
      </w:pPr>
    </w:p>
    <w:p w:rsidR="00B1508A" w:rsidRDefault="00B1508A" w:rsidP="00170990">
      <w:pPr>
        <w:spacing w:line="276" w:lineRule="auto"/>
        <w:ind w:firstLine="720"/>
        <w:rPr>
          <w:b/>
        </w:rPr>
      </w:pPr>
      <w:r>
        <w:t xml:space="preserve"> </w:t>
      </w:r>
      <w:r w:rsidR="00170990">
        <w:t>As informações da Figura 3</w:t>
      </w:r>
      <w:r>
        <w:t xml:space="preserve"> </w:t>
      </w:r>
      <w:r w:rsidR="00170990">
        <w:t>revelam</w:t>
      </w:r>
      <w:r>
        <w:t xml:space="preserve"> que o índice de evasão no curso de assistente administrativo foi de 52,07%; ou seja, mais da metade dos estudantes abandonaram o referido curso.</w:t>
      </w:r>
      <w:r w:rsidR="00170990">
        <w:t xml:space="preserve"> Praticamente não houve diferença significativa em relação ao desempenho dos estudantes do sexo masculino (53,33%) e feminino (51,65%).</w:t>
      </w:r>
    </w:p>
    <w:p w:rsidR="00B1508A" w:rsidRDefault="00B1508A" w:rsidP="00B1508A">
      <w:pPr>
        <w:spacing w:line="276" w:lineRule="auto"/>
        <w:jc w:val="center"/>
        <w:rPr>
          <w:b/>
        </w:rPr>
      </w:pPr>
    </w:p>
    <w:p w:rsidR="00B1508A" w:rsidRPr="00613621" w:rsidRDefault="00B1508A" w:rsidP="00B1508A">
      <w:pPr>
        <w:spacing w:line="276" w:lineRule="auto"/>
        <w:jc w:val="center"/>
        <w:rPr>
          <w:b/>
        </w:rPr>
      </w:pPr>
      <w:r>
        <w:rPr>
          <w:b/>
        </w:rPr>
        <w:t>Fí</w:t>
      </w:r>
      <w:r w:rsidRPr="00613621">
        <w:rPr>
          <w:b/>
        </w:rPr>
        <w:t xml:space="preserve">gura </w:t>
      </w:r>
      <w:proofErr w:type="gramStart"/>
      <w:r>
        <w:rPr>
          <w:b/>
        </w:rPr>
        <w:t>3</w:t>
      </w:r>
      <w:proofErr w:type="gramEnd"/>
      <w:r>
        <w:rPr>
          <w:b/>
        </w:rPr>
        <w:t>.</w:t>
      </w:r>
      <w:r w:rsidR="00E00A82">
        <w:rPr>
          <w:b/>
        </w:rPr>
        <w:t xml:space="preserve"> </w:t>
      </w:r>
      <w:r>
        <w:rPr>
          <w:b/>
        </w:rPr>
        <w:t>Quantitativo de Alunos</w:t>
      </w:r>
      <w:r w:rsidRPr="00613621">
        <w:rPr>
          <w:b/>
        </w:rPr>
        <w:t xml:space="preserve"> por sexo </w:t>
      </w:r>
      <w:r>
        <w:rPr>
          <w:b/>
        </w:rPr>
        <w:t xml:space="preserve">e </w:t>
      </w:r>
      <w:r w:rsidR="00170990">
        <w:rPr>
          <w:b/>
        </w:rPr>
        <w:t>Situação final do curso</w:t>
      </w:r>
      <w:r w:rsidRPr="00613621">
        <w:rPr>
          <w:b/>
        </w:rPr>
        <w:t>.</w:t>
      </w:r>
    </w:p>
    <w:p w:rsidR="00B1508A" w:rsidRDefault="00B1508A">
      <w:pPr>
        <w:spacing w:line="276" w:lineRule="auto"/>
        <w:ind w:firstLine="708"/>
      </w:pPr>
    </w:p>
    <w:tbl>
      <w:tblPr>
        <w:tblW w:w="6166" w:type="dxa"/>
        <w:jc w:val="center"/>
        <w:tblInd w:w="55" w:type="dxa"/>
        <w:tblCellMar>
          <w:left w:w="70" w:type="dxa"/>
          <w:right w:w="70" w:type="dxa"/>
        </w:tblCellMar>
        <w:tblLook w:val="04A0" w:firstRow="1" w:lastRow="0" w:firstColumn="1" w:lastColumn="0" w:noHBand="0" w:noVBand="1"/>
      </w:tblPr>
      <w:tblGrid>
        <w:gridCol w:w="1842"/>
        <w:gridCol w:w="1879"/>
        <w:gridCol w:w="1502"/>
        <w:gridCol w:w="943"/>
      </w:tblGrid>
      <w:tr w:rsidR="00B1508A" w:rsidRPr="00B1508A" w:rsidTr="00B1508A">
        <w:trPr>
          <w:trHeight w:val="317"/>
          <w:jc w:val="center"/>
        </w:trPr>
        <w:tc>
          <w:tcPr>
            <w:tcW w:w="1842" w:type="dxa"/>
            <w:vMerge w:val="restart"/>
            <w:tcBorders>
              <w:top w:val="single" w:sz="4" w:space="0" w:color="auto"/>
              <w:left w:val="nil"/>
              <w:bottom w:val="nil"/>
              <w:right w:val="single" w:sz="4" w:space="0" w:color="auto"/>
            </w:tcBorders>
            <w:shd w:val="clear" w:color="auto" w:fill="auto"/>
            <w:noWrap/>
            <w:vAlign w:val="center"/>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Sexo</w:t>
            </w:r>
          </w:p>
        </w:tc>
        <w:tc>
          <w:tcPr>
            <w:tcW w:w="4324" w:type="dxa"/>
            <w:gridSpan w:val="3"/>
            <w:tcBorders>
              <w:top w:val="single" w:sz="4" w:space="0" w:color="auto"/>
              <w:left w:val="nil"/>
              <w:bottom w:val="nil"/>
              <w:right w:val="nil"/>
            </w:tcBorders>
            <w:shd w:val="clear" w:color="auto" w:fill="auto"/>
            <w:vAlign w:val="center"/>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 xml:space="preserve">Situação </w:t>
            </w:r>
            <w:r w:rsidR="00170990">
              <w:rPr>
                <w:rFonts w:eastAsia="Times New Roman"/>
                <w:color w:val="000000"/>
              </w:rPr>
              <w:t xml:space="preserve">final </w:t>
            </w:r>
            <w:r w:rsidRPr="00B1508A">
              <w:rPr>
                <w:rFonts w:eastAsia="Times New Roman"/>
                <w:color w:val="000000"/>
              </w:rPr>
              <w:t>do curso</w:t>
            </w:r>
          </w:p>
        </w:tc>
      </w:tr>
      <w:tr w:rsidR="00B1508A" w:rsidRPr="00B1508A" w:rsidTr="00B1508A">
        <w:trPr>
          <w:trHeight w:val="333"/>
          <w:jc w:val="center"/>
        </w:trPr>
        <w:tc>
          <w:tcPr>
            <w:tcW w:w="1842" w:type="dxa"/>
            <w:vMerge/>
            <w:tcBorders>
              <w:top w:val="single" w:sz="4" w:space="0" w:color="auto"/>
              <w:left w:val="nil"/>
              <w:bottom w:val="nil"/>
              <w:right w:val="single" w:sz="4" w:space="0" w:color="auto"/>
            </w:tcBorders>
            <w:vAlign w:val="center"/>
            <w:hideMark/>
          </w:tcPr>
          <w:p w:rsidR="00B1508A" w:rsidRPr="00B1508A" w:rsidRDefault="00B1508A" w:rsidP="00B1508A">
            <w:pPr>
              <w:spacing w:line="240" w:lineRule="auto"/>
              <w:jc w:val="left"/>
              <w:rPr>
                <w:rFonts w:eastAsia="Times New Roman"/>
                <w:color w:val="000000"/>
              </w:rPr>
            </w:pPr>
          </w:p>
        </w:tc>
        <w:tc>
          <w:tcPr>
            <w:tcW w:w="1879"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Finalizado</w:t>
            </w:r>
          </w:p>
        </w:tc>
        <w:tc>
          <w:tcPr>
            <w:tcW w:w="1502"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Evadido</w:t>
            </w:r>
          </w:p>
        </w:tc>
        <w:tc>
          <w:tcPr>
            <w:tcW w:w="943"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Total</w:t>
            </w:r>
          </w:p>
        </w:tc>
      </w:tr>
      <w:tr w:rsidR="00B1508A" w:rsidRPr="00B1508A" w:rsidTr="00B1508A">
        <w:trPr>
          <w:trHeight w:val="333"/>
          <w:jc w:val="center"/>
        </w:trPr>
        <w:tc>
          <w:tcPr>
            <w:tcW w:w="1842" w:type="dxa"/>
            <w:tcBorders>
              <w:top w:val="single" w:sz="4" w:space="0" w:color="auto"/>
              <w:left w:val="nil"/>
              <w:bottom w:val="nil"/>
              <w:right w:val="single" w:sz="4" w:space="0" w:color="auto"/>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Feminino</w:t>
            </w:r>
          </w:p>
        </w:tc>
        <w:tc>
          <w:tcPr>
            <w:tcW w:w="1879" w:type="dxa"/>
            <w:tcBorders>
              <w:top w:val="single" w:sz="4" w:space="0" w:color="auto"/>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132</w:t>
            </w:r>
          </w:p>
        </w:tc>
        <w:tc>
          <w:tcPr>
            <w:tcW w:w="1502" w:type="dxa"/>
            <w:tcBorders>
              <w:top w:val="single" w:sz="4" w:space="0" w:color="auto"/>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141</w:t>
            </w:r>
          </w:p>
        </w:tc>
        <w:tc>
          <w:tcPr>
            <w:tcW w:w="943" w:type="dxa"/>
            <w:tcBorders>
              <w:top w:val="single" w:sz="4" w:space="0" w:color="auto"/>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273</w:t>
            </w:r>
          </w:p>
        </w:tc>
      </w:tr>
      <w:tr w:rsidR="00B1508A" w:rsidRPr="00B1508A" w:rsidTr="00B1508A">
        <w:trPr>
          <w:trHeight w:val="333"/>
          <w:jc w:val="center"/>
        </w:trPr>
        <w:tc>
          <w:tcPr>
            <w:tcW w:w="1842" w:type="dxa"/>
            <w:tcBorders>
              <w:top w:val="nil"/>
              <w:left w:val="nil"/>
              <w:bottom w:val="nil"/>
              <w:right w:val="single" w:sz="4" w:space="0" w:color="auto"/>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Masculino</w:t>
            </w:r>
          </w:p>
        </w:tc>
        <w:tc>
          <w:tcPr>
            <w:tcW w:w="1879"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42</w:t>
            </w:r>
          </w:p>
        </w:tc>
        <w:tc>
          <w:tcPr>
            <w:tcW w:w="1502"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48</w:t>
            </w:r>
          </w:p>
        </w:tc>
        <w:tc>
          <w:tcPr>
            <w:tcW w:w="943" w:type="dxa"/>
            <w:tcBorders>
              <w:top w:val="nil"/>
              <w:left w:val="nil"/>
              <w:bottom w:val="nil"/>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90</w:t>
            </w:r>
          </w:p>
        </w:tc>
      </w:tr>
      <w:tr w:rsidR="00B1508A" w:rsidRPr="00B1508A" w:rsidTr="00B1508A">
        <w:trPr>
          <w:trHeight w:val="333"/>
          <w:jc w:val="center"/>
        </w:trPr>
        <w:tc>
          <w:tcPr>
            <w:tcW w:w="1842" w:type="dxa"/>
            <w:tcBorders>
              <w:top w:val="nil"/>
              <w:left w:val="nil"/>
              <w:bottom w:val="single" w:sz="4" w:space="0" w:color="auto"/>
              <w:right w:val="single" w:sz="4" w:space="0" w:color="auto"/>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Total</w:t>
            </w:r>
          </w:p>
        </w:tc>
        <w:tc>
          <w:tcPr>
            <w:tcW w:w="1879" w:type="dxa"/>
            <w:tcBorders>
              <w:top w:val="nil"/>
              <w:left w:val="nil"/>
              <w:bottom w:val="single" w:sz="4" w:space="0" w:color="auto"/>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174</w:t>
            </w:r>
          </w:p>
        </w:tc>
        <w:tc>
          <w:tcPr>
            <w:tcW w:w="1502" w:type="dxa"/>
            <w:tcBorders>
              <w:top w:val="nil"/>
              <w:left w:val="nil"/>
              <w:bottom w:val="single" w:sz="4" w:space="0" w:color="auto"/>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189</w:t>
            </w:r>
          </w:p>
        </w:tc>
        <w:tc>
          <w:tcPr>
            <w:tcW w:w="943" w:type="dxa"/>
            <w:tcBorders>
              <w:top w:val="nil"/>
              <w:left w:val="nil"/>
              <w:bottom w:val="single" w:sz="4" w:space="0" w:color="auto"/>
              <w:right w:val="nil"/>
            </w:tcBorders>
            <w:shd w:val="clear" w:color="auto" w:fill="auto"/>
            <w:noWrap/>
            <w:vAlign w:val="bottom"/>
            <w:hideMark/>
          </w:tcPr>
          <w:p w:rsidR="00B1508A" w:rsidRPr="00B1508A" w:rsidRDefault="00B1508A" w:rsidP="00B1508A">
            <w:pPr>
              <w:spacing w:line="240" w:lineRule="auto"/>
              <w:jc w:val="center"/>
              <w:rPr>
                <w:rFonts w:eastAsia="Times New Roman"/>
                <w:color w:val="000000"/>
              </w:rPr>
            </w:pPr>
            <w:r w:rsidRPr="00B1508A">
              <w:rPr>
                <w:rFonts w:eastAsia="Times New Roman"/>
                <w:color w:val="000000"/>
              </w:rPr>
              <w:t>363</w:t>
            </w:r>
          </w:p>
        </w:tc>
      </w:tr>
    </w:tbl>
    <w:p w:rsidR="00B1508A" w:rsidRDefault="00B1508A" w:rsidP="00B1508A">
      <w:pPr>
        <w:spacing w:line="276" w:lineRule="auto"/>
        <w:ind w:firstLine="708"/>
        <w:jc w:val="center"/>
      </w:pPr>
      <w:r w:rsidRPr="00FD1839">
        <w:rPr>
          <w:b/>
          <w:sz w:val="20"/>
          <w:szCs w:val="20"/>
        </w:rPr>
        <w:t>Fonte: Mapas de desempenho/elaboração do autor.</w:t>
      </w:r>
    </w:p>
    <w:p w:rsidR="00B1508A" w:rsidRDefault="00B1508A">
      <w:pPr>
        <w:spacing w:line="276" w:lineRule="auto"/>
        <w:ind w:firstLine="708"/>
      </w:pPr>
    </w:p>
    <w:p w:rsidR="00B1508A" w:rsidRDefault="000F1986">
      <w:pPr>
        <w:spacing w:line="276" w:lineRule="auto"/>
        <w:ind w:firstLine="708"/>
      </w:pPr>
      <w:r>
        <w:t>Estes resultados</w:t>
      </w:r>
      <w:r w:rsidR="005C0A3A">
        <w:t xml:space="preserve"> são compatíveis com os verificados por </w:t>
      </w:r>
      <w:r w:rsidR="00225BE2">
        <w:t xml:space="preserve">Rosseto e Lobão (2017) na pesquisa sobre evasão dos alunos de cursos do PRONATEC o índice verificado foi de 53%. Já </w:t>
      </w:r>
      <w:r w:rsidR="00225BE2">
        <w:t>Silva (2015) ao pesquisar</w:t>
      </w:r>
      <w:r w:rsidR="00225BE2">
        <w:t xml:space="preserve"> sobre</w:t>
      </w:r>
      <w:r w:rsidR="00225BE2">
        <w:t xml:space="preserve"> </w:t>
      </w:r>
      <w:r w:rsidR="00225BE2">
        <w:t>o mesmo i</w:t>
      </w:r>
      <w:r w:rsidR="00225BE2">
        <w:t>dentificou um índice de evasão de 47,60%.</w:t>
      </w:r>
      <w:r w:rsidR="00225BE2">
        <w:t xml:space="preserve"> Por sua vez</w:t>
      </w:r>
      <w:r>
        <w:t xml:space="preserve"> Costa e Santos (2017), ao analisar a evasão escolar em </w:t>
      </w:r>
      <w:r w:rsidR="00225BE2">
        <w:t xml:space="preserve">diversos </w:t>
      </w:r>
      <w:r>
        <w:t xml:space="preserve">cursos técnicos á distância, </w:t>
      </w:r>
      <w:r w:rsidR="00225BE2">
        <w:t xml:space="preserve">encontraram uma evasão </w:t>
      </w:r>
      <w:r w:rsidRPr="000F1986">
        <w:t xml:space="preserve">média torno de 40%, </w:t>
      </w:r>
      <w:r w:rsidR="003F7696">
        <w:t>poré</w:t>
      </w:r>
      <w:r w:rsidR="00225BE2">
        <w:t>m foram localizados</w:t>
      </w:r>
      <w:r w:rsidRPr="000F1986">
        <w:t xml:space="preserve"> cursos que apresentam um índice maior que 75%.</w:t>
      </w:r>
      <w:r w:rsidR="00B57FF5">
        <w:t xml:space="preserve"> </w:t>
      </w:r>
    </w:p>
    <w:p w:rsidR="0057196A" w:rsidRDefault="0057196A">
      <w:pPr>
        <w:spacing w:line="276" w:lineRule="auto"/>
        <w:ind w:firstLine="708"/>
      </w:pPr>
      <w:r>
        <w:t>Quando a analise dos dados da evasão é feita em função do local de residência do aluno (Figura 4), observa-se que na capital o índice</w:t>
      </w:r>
      <w:r w:rsidR="006F6998">
        <w:t xml:space="preserve"> foi</w:t>
      </w:r>
      <w:r>
        <w:t xml:space="preserve"> de 65,20% enquanto que no interior o resultado foi de</w:t>
      </w:r>
      <w:r w:rsidR="009329F3">
        <w:t xml:space="preserve"> apenas</w:t>
      </w:r>
      <w:r>
        <w:t xml:space="preserve"> 30,15%.</w:t>
      </w:r>
    </w:p>
    <w:p w:rsidR="0057196A" w:rsidRDefault="0057196A">
      <w:pPr>
        <w:spacing w:line="276" w:lineRule="auto"/>
        <w:ind w:firstLine="708"/>
      </w:pPr>
    </w:p>
    <w:p w:rsidR="009A560F" w:rsidRDefault="009A560F">
      <w:pPr>
        <w:spacing w:line="276" w:lineRule="auto"/>
        <w:ind w:firstLine="708"/>
      </w:pPr>
    </w:p>
    <w:p w:rsidR="009A560F" w:rsidRDefault="009A560F">
      <w:pPr>
        <w:spacing w:line="276" w:lineRule="auto"/>
        <w:ind w:firstLine="708"/>
      </w:pPr>
    </w:p>
    <w:p w:rsidR="009A560F" w:rsidRDefault="009A560F">
      <w:pPr>
        <w:spacing w:line="276" w:lineRule="auto"/>
        <w:ind w:firstLine="708"/>
      </w:pPr>
    </w:p>
    <w:p w:rsidR="008B0BC4" w:rsidRDefault="008B0BC4" w:rsidP="008B0BC4">
      <w:pPr>
        <w:spacing w:line="276" w:lineRule="auto"/>
        <w:ind w:firstLine="708"/>
        <w:jc w:val="center"/>
      </w:pPr>
      <w:r>
        <w:rPr>
          <w:b/>
        </w:rPr>
        <w:lastRenderedPageBreak/>
        <w:t>Fí</w:t>
      </w:r>
      <w:r w:rsidRPr="00613621">
        <w:rPr>
          <w:b/>
        </w:rPr>
        <w:t xml:space="preserve">gura </w:t>
      </w:r>
      <w:proofErr w:type="gramStart"/>
      <w:r>
        <w:rPr>
          <w:b/>
        </w:rPr>
        <w:t>4</w:t>
      </w:r>
      <w:proofErr w:type="gramEnd"/>
      <w:r>
        <w:rPr>
          <w:b/>
        </w:rPr>
        <w:t>.</w:t>
      </w:r>
      <w:r w:rsidR="00E00A82">
        <w:rPr>
          <w:b/>
        </w:rPr>
        <w:t xml:space="preserve"> </w:t>
      </w:r>
      <w:r>
        <w:rPr>
          <w:b/>
        </w:rPr>
        <w:t>Quantitativo de Alunos</w:t>
      </w:r>
      <w:r w:rsidR="00E00A82">
        <w:rPr>
          <w:b/>
        </w:rPr>
        <w:t xml:space="preserve"> por</w:t>
      </w:r>
      <w:r w:rsidRPr="00613621">
        <w:rPr>
          <w:b/>
        </w:rPr>
        <w:t xml:space="preserve"> </w:t>
      </w:r>
      <w:r>
        <w:rPr>
          <w:b/>
        </w:rPr>
        <w:t>Local de residência</w:t>
      </w:r>
      <w:r w:rsidRPr="00613621">
        <w:rPr>
          <w:b/>
        </w:rPr>
        <w:t xml:space="preserve"> </w:t>
      </w:r>
      <w:r>
        <w:rPr>
          <w:b/>
        </w:rPr>
        <w:t>e Situação final do curso</w:t>
      </w:r>
    </w:p>
    <w:tbl>
      <w:tblPr>
        <w:tblW w:w="6360" w:type="dxa"/>
        <w:jc w:val="center"/>
        <w:tblInd w:w="55" w:type="dxa"/>
        <w:tblCellMar>
          <w:left w:w="70" w:type="dxa"/>
          <w:right w:w="70" w:type="dxa"/>
        </w:tblCellMar>
        <w:tblLook w:val="04A0" w:firstRow="1" w:lastRow="0" w:firstColumn="1" w:lastColumn="0" w:noHBand="0" w:noVBand="1"/>
      </w:tblPr>
      <w:tblGrid>
        <w:gridCol w:w="1899"/>
        <w:gridCol w:w="1939"/>
        <w:gridCol w:w="1549"/>
        <w:gridCol w:w="973"/>
      </w:tblGrid>
      <w:tr w:rsidR="008B0BC4" w:rsidRPr="008B0BC4" w:rsidTr="008B0BC4">
        <w:trPr>
          <w:trHeight w:val="300"/>
          <w:jc w:val="center"/>
        </w:trPr>
        <w:tc>
          <w:tcPr>
            <w:tcW w:w="1899" w:type="dxa"/>
            <w:vMerge w:val="restart"/>
            <w:tcBorders>
              <w:top w:val="single" w:sz="4" w:space="0" w:color="auto"/>
              <w:left w:val="nil"/>
              <w:bottom w:val="single" w:sz="4" w:space="0" w:color="000000"/>
              <w:right w:val="single" w:sz="4" w:space="0" w:color="auto"/>
            </w:tcBorders>
            <w:shd w:val="clear" w:color="auto" w:fill="auto"/>
            <w:vAlign w:val="center"/>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 xml:space="preserve">Local de </w:t>
            </w:r>
            <w:r>
              <w:rPr>
                <w:rFonts w:eastAsia="Times New Roman"/>
                <w:color w:val="000000"/>
              </w:rPr>
              <w:t>r</w:t>
            </w:r>
            <w:r w:rsidRPr="008B0BC4">
              <w:rPr>
                <w:rFonts w:eastAsia="Times New Roman"/>
                <w:color w:val="000000"/>
              </w:rPr>
              <w:t>esidência</w:t>
            </w:r>
          </w:p>
        </w:tc>
        <w:tc>
          <w:tcPr>
            <w:tcW w:w="4461" w:type="dxa"/>
            <w:gridSpan w:val="3"/>
            <w:tcBorders>
              <w:top w:val="single" w:sz="4" w:space="0" w:color="auto"/>
              <w:left w:val="nil"/>
              <w:bottom w:val="nil"/>
              <w:right w:val="nil"/>
            </w:tcBorders>
            <w:shd w:val="clear" w:color="auto" w:fill="auto"/>
            <w:vAlign w:val="center"/>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Situação</w:t>
            </w:r>
            <w:r>
              <w:rPr>
                <w:rFonts w:eastAsia="Times New Roman"/>
                <w:color w:val="000000"/>
              </w:rPr>
              <w:t xml:space="preserve"> final</w:t>
            </w:r>
            <w:r w:rsidRPr="008B0BC4">
              <w:rPr>
                <w:rFonts w:eastAsia="Times New Roman"/>
                <w:color w:val="000000"/>
              </w:rPr>
              <w:t xml:space="preserve"> do curso</w:t>
            </w:r>
          </w:p>
        </w:tc>
      </w:tr>
      <w:tr w:rsidR="008B0BC4" w:rsidRPr="008B0BC4" w:rsidTr="008B0BC4">
        <w:trPr>
          <w:trHeight w:val="315"/>
          <w:jc w:val="center"/>
        </w:trPr>
        <w:tc>
          <w:tcPr>
            <w:tcW w:w="1899" w:type="dxa"/>
            <w:vMerge/>
            <w:tcBorders>
              <w:top w:val="single" w:sz="4" w:space="0" w:color="auto"/>
              <w:left w:val="nil"/>
              <w:bottom w:val="single" w:sz="4" w:space="0" w:color="000000"/>
              <w:right w:val="single" w:sz="4" w:space="0" w:color="auto"/>
            </w:tcBorders>
            <w:vAlign w:val="center"/>
            <w:hideMark/>
          </w:tcPr>
          <w:p w:rsidR="008B0BC4" w:rsidRPr="008B0BC4" w:rsidRDefault="008B0BC4" w:rsidP="008B0BC4">
            <w:pPr>
              <w:spacing w:line="240" w:lineRule="auto"/>
              <w:jc w:val="left"/>
              <w:rPr>
                <w:rFonts w:eastAsia="Times New Roman"/>
                <w:color w:val="000000"/>
              </w:rPr>
            </w:pPr>
          </w:p>
        </w:tc>
        <w:tc>
          <w:tcPr>
            <w:tcW w:w="1939"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Finalizado</w:t>
            </w:r>
          </w:p>
        </w:tc>
        <w:tc>
          <w:tcPr>
            <w:tcW w:w="1549"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Evadido</w:t>
            </w:r>
          </w:p>
        </w:tc>
        <w:tc>
          <w:tcPr>
            <w:tcW w:w="973"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Total</w:t>
            </w:r>
          </w:p>
        </w:tc>
      </w:tr>
      <w:tr w:rsidR="008B0BC4" w:rsidRPr="008B0BC4" w:rsidTr="008B0BC4">
        <w:trPr>
          <w:trHeight w:val="315"/>
          <w:jc w:val="center"/>
        </w:trPr>
        <w:tc>
          <w:tcPr>
            <w:tcW w:w="1899" w:type="dxa"/>
            <w:tcBorders>
              <w:top w:val="nil"/>
              <w:left w:val="nil"/>
              <w:bottom w:val="nil"/>
              <w:right w:val="single" w:sz="4" w:space="0" w:color="auto"/>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Capital</w:t>
            </w:r>
          </w:p>
        </w:tc>
        <w:tc>
          <w:tcPr>
            <w:tcW w:w="1939" w:type="dxa"/>
            <w:tcBorders>
              <w:top w:val="single" w:sz="4" w:space="0" w:color="auto"/>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79</w:t>
            </w:r>
          </w:p>
        </w:tc>
        <w:tc>
          <w:tcPr>
            <w:tcW w:w="1549" w:type="dxa"/>
            <w:tcBorders>
              <w:top w:val="single" w:sz="4" w:space="0" w:color="auto"/>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148</w:t>
            </w:r>
          </w:p>
        </w:tc>
        <w:tc>
          <w:tcPr>
            <w:tcW w:w="973" w:type="dxa"/>
            <w:tcBorders>
              <w:top w:val="single" w:sz="4" w:space="0" w:color="auto"/>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227</w:t>
            </w:r>
          </w:p>
        </w:tc>
      </w:tr>
      <w:tr w:rsidR="008B0BC4" w:rsidRPr="008B0BC4" w:rsidTr="008B0BC4">
        <w:trPr>
          <w:trHeight w:val="315"/>
          <w:jc w:val="center"/>
        </w:trPr>
        <w:tc>
          <w:tcPr>
            <w:tcW w:w="1899" w:type="dxa"/>
            <w:tcBorders>
              <w:top w:val="nil"/>
              <w:left w:val="nil"/>
              <w:bottom w:val="nil"/>
              <w:right w:val="single" w:sz="4" w:space="0" w:color="auto"/>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Interior</w:t>
            </w:r>
          </w:p>
        </w:tc>
        <w:tc>
          <w:tcPr>
            <w:tcW w:w="1939"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95</w:t>
            </w:r>
          </w:p>
        </w:tc>
        <w:tc>
          <w:tcPr>
            <w:tcW w:w="1549"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41</w:t>
            </w:r>
          </w:p>
        </w:tc>
        <w:tc>
          <w:tcPr>
            <w:tcW w:w="973" w:type="dxa"/>
            <w:tcBorders>
              <w:top w:val="nil"/>
              <w:left w:val="nil"/>
              <w:bottom w:val="nil"/>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136</w:t>
            </w:r>
          </w:p>
        </w:tc>
      </w:tr>
      <w:tr w:rsidR="008B0BC4" w:rsidRPr="008B0BC4" w:rsidTr="008B0BC4">
        <w:trPr>
          <w:trHeight w:val="315"/>
          <w:jc w:val="center"/>
        </w:trPr>
        <w:tc>
          <w:tcPr>
            <w:tcW w:w="1899" w:type="dxa"/>
            <w:tcBorders>
              <w:top w:val="nil"/>
              <w:left w:val="nil"/>
              <w:bottom w:val="single" w:sz="4" w:space="0" w:color="auto"/>
              <w:right w:val="single" w:sz="4" w:space="0" w:color="auto"/>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Total</w:t>
            </w:r>
          </w:p>
        </w:tc>
        <w:tc>
          <w:tcPr>
            <w:tcW w:w="1939" w:type="dxa"/>
            <w:tcBorders>
              <w:top w:val="nil"/>
              <w:left w:val="nil"/>
              <w:bottom w:val="single" w:sz="4" w:space="0" w:color="auto"/>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174</w:t>
            </w:r>
          </w:p>
        </w:tc>
        <w:tc>
          <w:tcPr>
            <w:tcW w:w="1549" w:type="dxa"/>
            <w:tcBorders>
              <w:top w:val="nil"/>
              <w:left w:val="nil"/>
              <w:bottom w:val="single" w:sz="4" w:space="0" w:color="auto"/>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189</w:t>
            </w:r>
          </w:p>
        </w:tc>
        <w:tc>
          <w:tcPr>
            <w:tcW w:w="973" w:type="dxa"/>
            <w:tcBorders>
              <w:top w:val="nil"/>
              <w:left w:val="nil"/>
              <w:bottom w:val="single" w:sz="4" w:space="0" w:color="auto"/>
              <w:right w:val="nil"/>
            </w:tcBorders>
            <w:shd w:val="clear" w:color="auto" w:fill="auto"/>
            <w:noWrap/>
            <w:vAlign w:val="bottom"/>
            <w:hideMark/>
          </w:tcPr>
          <w:p w:rsidR="008B0BC4" w:rsidRPr="008B0BC4" w:rsidRDefault="008B0BC4" w:rsidP="008B0BC4">
            <w:pPr>
              <w:spacing w:line="240" w:lineRule="auto"/>
              <w:jc w:val="center"/>
              <w:rPr>
                <w:rFonts w:eastAsia="Times New Roman"/>
                <w:color w:val="000000"/>
              </w:rPr>
            </w:pPr>
            <w:r w:rsidRPr="008B0BC4">
              <w:rPr>
                <w:rFonts w:eastAsia="Times New Roman"/>
                <w:color w:val="000000"/>
              </w:rPr>
              <w:t>363</w:t>
            </w:r>
          </w:p>
        </w:tc>
      </w:tr>
    </w:tbl>
    <w:p w:rsidR="008B0BC4" w:rsidRDefault="008B0BC4" w:rsidP="008B0BC4">
      <w:pPr>
        <w:spacing w:line="276" w:lineRule="auto"/>
        <w:ind w:firstLine="708"/>
        <w:jc w:val="center"/>
      </w:pPr>
      <w:r w:rsidRPr="00FD1839">
        <w:rPr>
          <w:b/>
          <w:sz w:val="20"/>
          <w:szCs w:val="20"/>
        </w:rPr>
        <w:t>Fonte: Mapas de desempenho/elaboração do autor.</w:t>
      </w:r>
    </w:p>
    <w:p w:rsidR="003876E2" w:rsidRDefault="003876E2">
      <w:pPr>
        <w:spacing w:line="276" w:lineRule="auto"/>
        <w:ind w:firstLine="708"/>
      </w:pPr>
      <w:bookmarkStart w:id="0" w:name="_GoBack"/>
      <w:bookmarkEnd w:id="0"/>
    </w:p>
    <w:p w:rsidR="00533258" w:rsidRDefault="003876E2">
      <w:pPr>
        <w:spacing w:line="276" w:lineRule="auto"/>
        <w:ind w:firstLine="708"/>
      </w:pPr>
      <w:r>
        <w:t xml:space="preserve">A taxa de evasão dos estudantes residentes nas cidades do interior corroboram com os achados de </w:t>
      </w:r>
      <w:r w:rsidRPr="003876E2">
        <w:t>Ostrovski</w:t>
      </w:r>
      <w:r w:rsidR="00533258">
        <w:t xml:space="preserve"> e Correia (2018) e </w:t>
      </w:r>
      <w:proofErr w:type="gramStart"/>
      <w:r w:rsidR="00533258">
        <w:t>Romualdo(</w:t>
      </w:r>
      <w:proofErr w:type="gramEnd"/>
      <w:r w:rsidR="00533258">
        <w:t>2016), ambos os autores ao analisar a evasão escolar em escolas do ensino médio verificaram índices médios de 35%. Todavia os valores encontrados nesta pesquisa para os alunos residentes na capital alagoana ficaram bastante acima da média de 40,76%.</w:t>
      </w:r>
    </w:p>
    <w:p w:rsidR="007E0016" w:rsidRDefault="003876E2" w:rsidP="006F6998">
      <w:pPr>
        <w:spacing w:line="276" w:lineRule="auto"/>
        <w:ind w:firstLine="708"/>
        <w:rPr>
          <w:sz w:val="20"/>
          <w:szCs w:val="20"/>
        </w:rPr>
      </w:pPr>
      <w:r>
        <w:t xml:space="preserve"> </w:t>
      </w:r>
    </w:p>
    <w:p w:rsidR="007E0016" w:rsidRDefault="00015C52">
      <w:pPr>
        <w:spacing w:line="276" w:lineRule="auto"/>
      </w:pPr>
      <w:r>
        <w:rPr>
          <w:b/>
        </w:rPr>
        <w:t xml:space="preserve">CONCLUSÕES </w:t>
      </w:r>
    </w:p>
    <w:p w:rsidR="007E0016" w:rsidRDefault="00D51013">
      <w:pPr>
        <w:spacing w:line="276" w:lineRule="auto"/>
      </w:pPr>
      <w:r>
        <w:tab/>
        <w:t>Os r</w:t>
      </w:r>
      <w:r w:rsidR="00645A67">
        <w:t xml:space="preserve">esultados obtidos nesta pesquisa permitiram alcançar o objetivo proposto no estudo. Inicialmente observou-se que dentre todos os cursos ofertados de forma remota pelo PRONATEC da secretaria de educação do Estado de Alagoas, o de assistente administrativo foi oque apresentou a maior demanda, preenchendo 100% das vagas ofertadas. Nível semelhante de procura </w:t>
      </w:r>
      <w:r w:rsidR="004837FA">
        <w:t>é observado nacionalmente, tanto na educação profissional como no ensino superior.</w:t>
      </w:r>
      <w:r w:rsidR="00645A67">
        <w:t xml:space="preserve"> </w:t>
      </w:r>
    </w:p>
    <w:p w:rsidR="00D51013" w:rsidRDefault="004837FA">
      <w:pPr>
        <w:spacing w:line="276" w:lineRule="auto"/>
      </w:pPr>
      <w:r>
        <w:tab/>
        <w:t xml:space="preserve">Dos alunos matriculados 75,50% foram do sexo feminino e 24,50% do sexo masculino. Dos 383 alunos estudados </w:t>
      </w:r>
      <w:r>
        <w:t>62,53% residiam na capital do estado de Alagoas e 37,47% nos demais municípios do interior</w:t>
      </w:r>
      <w:r>
        <w:t xml:space="preserve">. </w:t>
      </w:r>
      <w:r>
        <w:t>Na capital 78,85% dos estudantes eram do sexo feminino</w:t>
      </w:r>
      <w:r>
        <w:t>,</w:t>
      </w:r>
      <w:r>
        <w:t xml:space="preserve"> no interior este índice foi 69,12%. </w:t>
      </w:r>
      <w:r>
        <w:t>A maior participação de</w:t>
      </w:r>
      <w:r>
        <w:t xml:space="preserve"> indivíduos do sexo masculino foi verificada no interior do estado com 30,88%.</w:t>
      </w:r>
    </w:p>
    <w:p w:rsidR="00984366" w:rsidRDefault="007F5078">
      <w:pPr>
        <w:spacing w:line="276" w:lineRule="auto"/>
      </w:pPr>
      <w:r>
        <w:tab/>
        <w:t xml:space="preserve">Verificou-se que </w:t>
      </w:r>
      <w:r w:rsidRPr="007F5078">
        <w:t>o índice de evasão no curso de assistente administrativo foi de 52,07%</w:t>
      </w:r>
      <w:r>
        <w:t>,</w:t>
      </w:r>
      <w:r w:rsidR="006F6998">
        <w:t xml:space="preserve"> não havendo diferença relevante quando a análise foi estratificada </w:t>
      </w:r>
      <w:r w:rsidR="007409D5">
        <w:t>em função da variavel</w:t>
      </w:r>
      <w:r w:rsidR="006F6998">
        <w:t xml:space="preserve"> sexo. Todavia q</w:t>
      </w:r>
      <w:r w:rsidR="006F6998" w:rsidRPr="006F6998">
        <w:t xml:space="preserve">uando a analise dos dados da evasão </w:t>
      </w:r>
      <w:r w:rsidR="006F6998">
        <w:t>foi</w:t>
      </w:r>
      <w:r w:rsidR="006F6998" w:rsidRPr="006F6998">
        <w:t xml:space="preserve"> feita em função do local de residência do aluno, observ</w:t>
      </w:r>
      <w:r w:rsidR="006F6998">
        <w:t>ou</w:t>
      </w:r>
      <w:r w:rsidR="006F6998" w:rsidRPr="006F6998">
        <w:t>-se que na capital o índice foi de 65,20%</w:t>
      </w:r>
      <w:r w:rsidR="006F6998">
        <w:t xml:space="preserve">, mais que o dobro do identificado entre os alunos que residem no </w:t>
      </w:r>
      <w:r w:rsidR="006F6998" w:rsidRPr="006F6998">
        <w:t>interior o resultado foi de apenas 30,15%.</w:t>
      </w:r>
      <w:r w:rsidR="006F6998">
        <w:t xml:space="preserve"> </w:t>
      </w:r>
    </w:p>
    <w:p w:rsidR="00984366" w:rsidRDefault="00984366">
      <w:pPr>
        <w:spacing w:line="276" w:lineRule="auto"/>
      </w:pPr>
    </w:p>
    <w:p w:rsidR="004837FA" w:rsidRDefault="007F5078">
      <w:pPr>
        <w:spacing w:line="276" w:lineRule="auto"/>
      </w:pPr>
      <w:r>
        <w:tab/>
      </w:r>
    </w:p>
    <w:p w:rsidR="007E0016" w:rsidRDefault="00015C52">
      <w:pPr>
        <w:tabs>
          <w:tab w:val="left" w:pos="284"/>
          <w:tab w:val="left" w:pos="567"/>
        </w:tabs>
        <w:spacing w:line="276" w:lineRule="auto"/>
        <w:ind w:left="426" w:hanging="426"/>
        <w:rPr>
          <w:b/>
        </w:rPr>
      </w:pPr>
      <w:r>
        <w:rPr>
          <w:b/>
        </w:rPr>
        <w:lastRenderedPageBreak/>
        <w:t>REFERÊNCIAS BIBLIOGRÁFICAS</w:t>
      </w:r>
    </w:p>
    <w:p w:rsidR="008249DB" w:rsidRDefault="008249DB" w:rsidP="008249DB">
      <w:pPr>
        <w:spacing w:line="240" w:lineRule="auto"/>
        <w:rPr>
          <w:sz w:val="20"/>
          <w:szCs w:val="20"/>
        </w:rPr>
      </w:pPr>
    </w:p>
    <w:p w:rsidR="008249DB" w:rsidRDefault="008249DB" w:rsidP="008249DB">
      <w:pPr>
        <w:spacing w:line="240" w:lineRule="auto"/>
        <w:rPr>
          <w:sz w:val="20"/>
          <w:szCs w:val="20"/>
        </w:rPr>
      </w:pPr>
      <w:r w:rsidRPr="008249DB">
        <w:rPr>
          <w:sz w:val="20"/>
          <w:szCs w:val="20"/>
        </w:rPr>
        <w:t xml:space="preserve">ABREU, Waldir Ferreira de; OLIVEIRA, Damião Bezerra de; SILVA, Maria Domingas M. </w:t>
      </w:r>
      <w:proofErr w:type="gramStart"/>
      <w:r w:rsidRPr="008249DB">
        <w:rPr>
          <w:sz w:val="20"/>
          <w:szCs w:val="20"/>
        </w:rPr>
        <w:t>da.</w:t>
      </w:r>
      <w:proofErr w:type="gramEnd"/>
      <w:r w:rsidRPr="008249DB">
        <w:rPr>
          <w:sz w:val="20"/>
          <w:szCs w:val="20"/>
        </w:rPr>
        <w:t xml:space="preserve"> EVASÃO E FRACASSO NA EDUCAÇÃO DO CAMPO: ESTUDO DE UMA ESCOLA RURAL. Revista Margens Interdisciplinar, [S.l.], v. 5, n. 6, p. 71-88, maio 2016. ISSN 1982-5374. Disponível em: &lt;</w:t>
      </w:r>
      <w:proofErr w:type="gramStart"/>
      <w:r w:rsidRPr="008249DB">
        <w:rPr>
          <w:sz w:val="20"/>
          <w:szCs w:val="20"/>
        </w:rPr>
        <w:t>https</w:t>
      </w:r>
      <w:proofErr w:type="gramEnd"/>
      <w:r w:rsidRPr="008249DB">
        <w:rPr>
          <w:sz w:val="20"/>
          <w:szCs w:val="20"/>
        </w:rPr>
        <w:t xml:space="preserve">://periodicos.ufpa.br/index.php/revistamargens/article/view/2804&gt;. Acesso em: </w:t>
      </w:r>
      <w:r>
        <w:rPr>
          <w:sz w:val="20"/>
          <w:szCs w:val="20"/>
        </w:rPr>
        <w:t>28</w:t>
      </w:r>
      <w:r w:rsidRPr="008249DB">
        <w:rPr>
          <w:sz w:val="20"/>
          <w:szCs w:val="20"/>
        </w:rPr>
        <w:t xml:space="preserve"> dez. 2020. </w:t>
      </w:r>
      <w:proofErr w:type="gramStart"/>
      <w:r w:rsidRPr="008249DB">
        <w:rPr>
          <w:sz w:val="20"/>
          <w:szCs w:val="20"/>
        </w:rPr>
        <w:t>doi</w:t>
      </w:r>
      <w:proofErr w:type="gramEnd"/>
      <w:r w:rsidRPr="008249DB">
        <w:rPr>
          <w:sz w:val="20"/>
          <w:szCs w:val="20"/>
        </w:rPr>
        <w:t>:http://dx.doi.org/10.18542/rmi.v5i6.2804.</w:t>
      </w:r>
    </w:p>
    <w:p w:rsidR="008249DB" w:rsidRDefault="008249DB" w:rsidP="008249DB">
      <w:pPr>
        <w:spacing w:line="240" w:lineRule="auto"/>
        <w:rPr>
          <w:sz w:val="20"/>
          <w:szCs w:val="20"/>
        </w:rPr>
      </w:pPr>
      <w:r w:rsidRPr="008249DB">
        <w:rPr>
          <w:sz w:val="20"/>
          <w:szCs w:val="20"/>
        </w:rPr>
        <w:t>BENINI, Edi Augusto; CECCHIN, Hareli Fernanda Garcia. PRONATEC: O NOVO PROGRAMA VELHO? Desafios entre a qualificação profissional e a inserção no mercado de trabalho. Revista Trabalho (En) Cena. Jul. /Dez. 2016, Vol. 01 n. 2.</w:t>
      </w:r>
    </w:p>
    <w:p w:rsidR="008249DB" w:rsidRDefault="008249DB" w:rsidP="008249DB">
      <w:pPr>
        <w:spacing w:line="240" w:lineRule="auto"/>
        <w:rPr>
          <w:sz w:val="20"/>
          <w:szCs w:val="20"/>
        </w:rPr>
      </w:pPr>
      <w:r w:rsidRPr="008249DB">
        <w:rPr>
          <w:sz w:val="20"/>
          <w:szCs w:val="20"/>
        </w:rPr>
        <w:t xml:space="preserve">BORJA, Izabel Maria França de Souza; MARTINS, Alcina Manuela de Oliveira. Evasão escolar: desigualdades e exclusão social. Revista Liberato, Nova Hamburgo, v. 15, nº 23, p. 01-104, jan-jun. </w:t>
      </w:r>
      <w:proofErr w:type="gramStart"/>
      <w:r w:rsidRPr="008249DB">
        <w:rPr>
          <w:sz w:val="20"/>
          <w:szCs w:val="20"/>
        </w:rPr>
        <w:t>2014</w:t>
      </w:r>
      <w:proofErr w:type="gramEnd"/>
    </w:p>
    <w:p w:rsidR="008249DB" w:rsidRDefault="008249DB" w:rsidP="008249DB">
      <w:pPr>
        <w:spacing w:line="240" w:lineRule="auto"/>
        <w:rPr>
          <w:sz w:val="20"/>
          <w:szCs w:val="20"/>
        </w:rPr>
      </w:pPr>
      <w:proofErr w:type="gramStart"/>
      <w:r w:rsidRPr="008249DB">
        <w:rPr>
          <w:sz w:val="20"/>
          <w:szCs w:val="20"/>
        </w:rPr>
        <w:t>BRASIL.</w:t>
      </w:r>
      <w:proofErr w:type="gramEnd"/>
      <w:r w:rsidRPr="008249DB">
        <w:rPr>
          <w:sz w:val="20"/>
          <w:szCs w:val="20"/>
        </w:rPr>
        <w:t xml:space="preserve">Lei Federal N° 12513/11. Disponível em: </w:t>
      </w:r>
      <w:proofErr w:type="gramStart"/>
      <w:r w:rsidRPr="008249DB">
        <w:rPr>
          <w:sz w:val="20"/>
          <w:szCs w:val="20"/>
        </w:rPr>
        <w:t>https</w:t>
      </w:r>
      <w:proofErr w:type="gramEnd"/>
      <w:r w:rsidRPr="008249DB">
        <w:rPr>
          <w:sz w:val="20"/>
          <w:szCs w:val="20"/>
        </w:rPr>
        <w:t>://presrepublica.jusbrasil.com.br/legislacao/1029688/lei-12513-11. Acesso em: 15 out. 2020.</w:t>
      </w:r>
    </w:p>
    <w:p w:rsidR="008249DB" w:rsidRDefault="008249DB" w:rsidP="008249DB">
      <w:pPr>
        <w:spacing w:line="240" w:lineRule="auto"/>
        <w:rPr>
          <w:sz w:val="20"/>
          <w:szCs w:val="20"/>
        </w:rPr>
      </w:pPr>
      <w:r w:rsidRPr="008249DB">
        <w:rPr>
          <w:sz w:val="20"/>
          <w:szCs w:val="20"/>
        </w:rPr>
        <w:t>BRASL. Lei de Diretrizes e Bases da Educação Nacional. LDB nº 9394/96. Brasília, DF, 1996. Disponível em: http://www.planalto.gov.br/ccivil_03/leis/L9394.htm. Acesso em: 09 de maio de 2017.</w:t>
      </w:r>
    </w:p>
    <w:p w:rsidR="00E14E6A" w:rsidRPr="00E14E6A" w:rsidRDefault="00E14E6A" w:rsidP="00E14E6A">
      <w:pPr>
        <w:spacing w:line="240" w:lineRule="auto"/>
        <w:rPr>
          <w:sz w:val="20"/>
          <w:szCs w:val="20"/>
        </w:rPr>
      </w:pPr>
      <w:r w:rsidRPr="00E14E6A">
        <w:rPr>
          <w:sz w:val="20"/>
          <w:szCs w:val="20"/>
        </w:rPr>
        <w:t>BRASIL. Instituto Nacional de Estudos e Pesquisas Educacionais Anísio Teixeira (Inep).</w:t>
      </w:r>
    </w:p>
    <w:p w:rsidR="00E14E6A" w:rsidRDefault="00E14E6A" w:rsidP="00E14E6A">
      <w:pPr>
        <w:spacing w:line="240" w:lineRule="auto"/>
        <w:rPr>
          <w:sz w:val="20"/>
          <w:szCs w:val="20"/>
        </w:rPr>
      </w:pPr>
      <w:r w:rsidRPr="00E14E6A">
        <w:rPr>
          <w:sz w:val="20"/>
          <w:szCs w:val="20"/>
        </w:rPr>
        <w:t>Censo Escolar da Educação Básica 2018: caderno de instruções. Brasília: Inep, 2019</w:t>
      </w:r>
      <w:r>
        <w:rPr>
          <w:sz w:val="20"/>
          <w:szCs w:val="20"/>
        </w:rPr>
        <w:t>.</w:t>
      </w:r>
    </w:p>
    <w:p w:rsidR="008249DB" w:rsidRPr="008249DB" w:rsidRDefault="008249DB" w:rsidP="008249DB">
      <w:pPr>
        <w:spacing w:line="240" w:lineRule="auto"/>
        <w:rPr>
          <w:sz w:val="20"/>
          <w:szCs w:val="20"/>
        </w:rPr>
      </w:pPr>
      <w:r w:rsidRPr="008249DB">
        <w:rPr>
          <w:sz w:val="20"/>
          <w:szCs w:val="20"/>
        </w:rPr>
        <w:t>CAMPOS, E. L. F.; OLIVEIRA, D. A. A Infrequência dos alunos adultos trabalhadores, em processo de alfabetização, na Universidade Federal de Minas Gerais. 2003. Dissertação (Mestrado em Educação) – Faculdade de Educação, Universidade Federal de Minas Gerais, Belo Horizonte, 2003.</w:t>
      </w:r>
    </w:p>
    <w:p w:rsidR="008249DB" w:rsidRPr="008249DB" w:rsidRDefault="008249DB" w:rsidP="008249DB">
      <w:pPr>
        <w:spacing w:line="240" w:lineRule="auto"/>
        <w:rPr>
          <w:sz w:val="20"/>
          <w:szCs w:val="20"/>
        </w:rPr>
      </w:pPr>
      <w:proofErr w:type="gramStart"/>
      <w:r w:rsidRPr="008249DB">
        <w:rPr>
          <w:sz w:val="20"/>
          <w:szCs w:val="20"/>
        </w:rPr>
        <w:t>FERES,</w:t>
      </w:r>
      <w:proofErr w:type="gramEnd"/>
      <w:r w:rsidRPr="008249DB">
        <w:rPr>
          <w:sz w:val="20"/>
          <w:szCs w:val="20"/>
        </w:rPr>
        <w:t xml:space="preserve"> M. M.; PATRÃO, C. N. Pesquisa Nacional de Egressos dos Cursos Técnicos da</w:t>
      </w:r>
    </w:p>
    <w:p w:rsidR="008249DB" w:rsidRPr="008249DB" w:rsidRDefault="008249DB" w:rsidP="008249DB">
      <w:pPr>
        <w:spacing w:line="240" w:lineRule="auto"/>
        <w:rPr>
          <w:sz w:val="20"/>
          <w:szCs w:val="20"/>
        </w:rPr>
      </w:pPr>
      <w:r w:rsidRPr="008249DB">
        <w:rPr>
          <w:sz w:val="20"/>
          <w:szCs w:val="20"/>
        </w:rPr>
        <w:t>Rede Federal de Educação Profissional e Tecnológica (2003-2007). Brasília: MEC/SETEC,</w:t>
      </w:r>
    </w:p>
    <w:p w:rsidR="008249DB" w:rsidRDefault="008249DB" w:rsidP="008249DB">
      <w:pPr>
        <w:spacing w:line="240" w:lineRule="auto"/>
        <w:rPr>
          <w:sz w:val="20"/>
          <w:szCs w:val="20"/>
        </w:rPr>
      </w:pPr>
      <w:r w:rsidRPr="008249DB">
        <w:rPr>
          <w:sz w:val="20"/>
          <w:szCs w:val="20"/>
        </w:rPr>
        <w:t>2009.</w:t>
      </w:r>
    </w:p>
    <w:p w:rsidR="008249DB" w:rsidRPr="008249DB" w:rsidRDefault="008249DB" w:rsidP="008249DB">
      <w:pPr>
        <w:spacing w:line="240" w:lineRule="auto"/>
        <w:rPr>
          <w:sz w:val="20"/>
          <w:szCs w:val="20"/>
        </w:rPr>
      </w:pPr>
      <w:r w:rsidRPr="008249DB">
        <w:rPr>
          <w:sz w:val="20"/>
          <w:szCs w:val="20"/>
        </w:rPr>
        <w:t>MEDEIROS, Jássio Pereira de; ARAÚJO, Lanisa Viana; GUERRA, Lenin Cavalcanti Brito. A evasão escolar na educação profissional: uma análise dos cursos ofertados pelo Pronatec no campus Natal-Central do IFRN. Competência, Porto Alegre, v. 11, n. 2, dez. 2018.</w:t>
      </w:r>
    </w:p>
    <w:p w:rsidR="008249DB" w:rsidRDefault="008249DB" w:rsidP="008249DB">
      <w:pPr>
        <w:spacing w:line="240" w:lineRule="auto"/>
        <w:rPr>
          <w:sz w:val="20"/>
          <w:szCs w:val="20"/>
        </w:rPr>
      </w:pPr>
      <w:r w:rsidRPr="008249DB">
        <w:rPr>
          <w:sz w:val="20"/>
          <w:szCs w:val="20"/>
        </w:rPr>
        <w:t>MINAYO, Maria Cecília de Souza (org.). Pesquisa Social. Teoria, método e criatividade. 18 ed. Petrópolis: Vozes, 2001.</w:t>
      </w:r>
    </w:p>
    <w:p w:rsidR="008249DB" w:rsidRDefault="008249DB" w:rsidP="008249DB">
      <w:pPr>
        <w:spacing w:line="240" w:lineRule="auto"/>
        <w:rPr>
          <w:sz w:val="20"/>
          <w:szCs w:val="20"/>
        </w:rPr>
      </w:pPr>
      <w:r w:rsidRPr="008249DB">
        <w:rPr>
          <w:sz w:val="20"/>
          <w:szCs w:val="20"/>
        </w:rPr>
        <w:t xml:space="preserve">Ostrovski, C. S.; Correia, Z. </w:t>
      </w:r>
      <w:proofErr w:type="gramStart"/>
      <w:r w:rsidRPr="008249DB">
        <w:rPr>
          <w:sz w:val="20"/>
          <w:szCs w:val="20"/>
        </w:rPr>
        <w:t>D.</w:t>
      </w:r>
      <w:proofErr w:type="gramEnd"/>
      <w:r w:rsidRPr="008249DB">
        <w:rPr>
          <w:sz w:val="20"/>
          <w:szCs w:val="20"/>
        </w:rPr>
        <w:t xml:space="preserve">EDUCAÇÃO DE JOVENS E ADULTOS E A EVASÃO ESCOLAR: ANÁLISE E PROPOSIÇÃO. Educação: Teoria e Prática/ Rio Claro, SP/ Vol. 28, n.57/ p. 23-40/ JANEIRO-ABRIL. 2018. </w:t>
      </w:r>
      <w:proofErr w:type="gramStart"/>
      <w:r w:rsidRPr="008249DB">
        <w:rPr>
          <w:sz w:val="20"/>
          <w:szCs w:val="20"/>
        </w:rPr>
        <w:t>eISSN</w:t>
      </w:r>
      <w:proofErr w:type="gramEnd"/>
      <w:r w:rsidRPr="008249DB">
        <w:rPr>
          <w:sz w:val="20"/>
          <w:szCs w:val="20"/>
        </w:rPr>
        <w:t xml:space="preserve"> 1981-8106</w:t>
      </w:r>
    </w:p>
    <w:p w:rsidR="008249DB" w:rsidRDefault="008249DB" w:rsidP="008249DB">
      <w:pPr>
        <w:spacing w:line="240" w:lineRule="auto"/>
        <w:rPr>
          <w:sz w:val="20"/>
          <w:szCs w:val="20"/>
        </w:rPr>
      </w:pPr>
      <w:r w:rsidRPr="008249DB">
        <w:rPr>
          <w:sz w:val="20"/>
          <w:szCs w:val="20"/>
        </w:rPr>
        <w:t>RICHARDSON, Roberto Jarry. Pesquisa social: métodos e técnicas. São Paulo: Atlas, 1989.</w:t>
      </w:r>
    </w:p>
    <w:p w:rsidR="008249DB" w:rsidRDefault="008249DB" w:rsidP="008249DB">
      <w:pPr>
        <w:spacing w:line="240" w:lineRule="auto"/>
        <w:rPr>
          <w:sz w:val="20"/>
          <w:szCs w:val="20"/>
        </w:rPr>
      </w:pPr>
      <w:r w:rsidRPr="008249DB">
        <w:rPr>
          <w:sz w:val="20"/>
          <w:szCs w:val="20"/>
        </w:rPr>
        <w:t>R</w:t>
      </w:r>
      <w:r>
        <w:rPr>
          <w:sz w:val="20"/>
          <w:szCs w:val="20"/>
        </w:rPr>
        <w:t>OMUALDO</w:t>
      </w:r>
      <w:r w:rsidRPr="008249DB">
        <w:rPr>
          <w:sz w:val="20"/>
          <w:szCs w:val="20"/>
        </w:rPr>
        <w:t xml:space="preserve">, Taíse de </w:t>
      </w:r>
      <w:proofErr w:type="gramStart"/>
      <w:r w:rsidRPr="008249DB">
        <w:rPr>
          <w:sz w:val="20"/>
          <w:szCs w:val="20"/>
        </w:rPr>
        <w:t>Souza.</w:t>
      </w:r>
      <w:proofErr w:type="gramEnd"/>
      <w:r w:rsidRPr="008249DB">
        <w:rPr>
          <w:sz w:val="20"/>
          <w:szCs w:val="20"/>
        </w:rPr>
        <w:t>EVASÃO ESCOLAR NO ENSINO MÉDIO NO MUNICÍPIO DE ARAÇATUBA.Revista Contemporânea: Revista Unitoledo: Arquitetura, Comunicação, Design e Educação, v. 01, n. 01, p.</w:t>
      </w:r>
      <w:r>
        <w:rPr>
          <w:sz w:val="20"/>
          <w:szCs w:val="20"/>
        </w:rPr>
        <w:t xml:space="preserve"> 149-159, out./dez. 2016.</w:t>
      </w:r>
    </w:p>
    <w:p w:rsidR="008249DB" w:rsidRPr="008249DB" w:rsidRDefault="008249DB" w:rsidP="008249DB">
      <w:pPr>
        <w:spacing w:line="240" w:lineRule="auto"/>
        <w:rPr>
          <w:sz w:val="20"/>
          <w:szCs w:val="20"/>
        </w:rPr>
      </w:pPr>
      <w:r w:rsidRPr="008249DB">
        <w:rPr>
          <w:sz w:val="20"/>
          <w:szCs w:val="20"/>
        </w:rPr>
        <w:t>ROSSETTO, Aldenisa de Lima Acácio; LOBÃO, Mário Sérgio Pedroza. PRONATEC: UMA ABORDAGEM DA EVASÃO NO INSTITUTO FEDERAL DO ACRE - CAMPUS RIO BRANCO NO ANO DE 2014. Revista Teias, [S.l.], v. 18, n. 51, p. 243-260, set. 2017. ISSN 1982-0305. Disponível em: &lt;</w:t>
      </w:r>
      <w:proofErr w:type="gramStart"/>
      <w:r w:rsidRPr="008249DB">
        <w:rPr>
          <w:sz w:val="20"/>
          <w:szCs w:val="20"/>
        </w:rPr>
        <w:t>https</w:t>
      </w:r>
      <w:proofErr w:type="gramEnd"/>
      <w:r w:rsidRPr="008249DB">
        <w:rPr>
          <w:sz w:val="20"/>
          <w:szCs w:val="20"/>
        </w:rPr>
        <w:t xml:space="preserve">://www.e-publicacoes.uerj.br/index.php/revistateias/article/view/24871&gt;. Acesso em: </w:t>
      </w:r>
      <w:r>
        <w:rPr>
          <w:sz w:val="20"/>
          <w:szCs w:val="20"/>
        </w:rPr>
        <w:t>29</w:t>
      </w:r>
      <w:r w:rsidRPr="008249DB">
        <w:rPr>
          <w:sz w:val="20"/>
          <w:szCs w:val="20"/>
        </w:rPr>
        <w:t xml:space="preserve"> dez. 2020. </w:t>
      </w:r>
      <w:proofErr w:type="gramStart"/>
      <w:r w:rsidRPr="008249DB">
        <w:rPr>
          <w:sz w:val="20"/>
          <w:szCs w:val="20"/>
        </w:rPr>
        <w:t>doi</w:t>
      </w:r>
      <w:proofErr w:type="gramEnd"/>
      <w:r w:rsidRPr="008249DB">
        <w:rPr>
          <w:sz w:val="20"/>
          <w:szCs w:val="20"/>
        </w:rPr>
        <w:t>:https://doi.org/10.12957/teias.2017.24871.</w:t>
      </w:r>
    </w:p>
    <w:p w:rsidR="008249DB" w:rsidRPr="008249DB" w:rsidRDefault="008249DB" w:rsidP="008249DB">
      <w:pPr>
        <w:spacing w:line="240" w:lineRule="auto"/>
        <w:rPr>
          <w:sz w:val="20"/>
          <w:szCs w:val="20"/>
        </w:rPr>
      </w:pPr>
      <w:r w:rsidRPr="008249DB">
        <w:rPr>
          <w:sz w:val="20"/>
          <w:szCs w:val="20"/>
        </w:rPr>
        <w:t>ROSSI, Thaine; ARAÚJO, Aparecida; OLIVEIRA, Querido. A QUESTÃO DO DESEMPREGO NO BRASIL. [s.l.: s.n., s.d.]. Disponível em:</w:t>
      </w:r>
      <w:r>
        <w:rPr>
          <w:sz w:val="20"/>
          <w:szCs w:val="20"/>
        </w:rPr>
        <w:t xml:space="preserve"> </w:t>
      </w:r>
      <w:r w:rsidRPr="008249DB">
        <w:rPr>
          <w:sz w:val="20"/>
          <w:szCs w:val="20"/>
        </w:rPr>
        <w:t>&lt;</w:t>
      </w:r>
      <w:proofErr w:type="gramStart"/>
      <w:r w:rsidRPr="008249DB">
        <w:rPr>
          <w:sz w:val="20"/>
          <w:szCs w:val="20"/>
        </w:rPr>
        <w:t>https</w:t>
      </w:r>
      <w:proofErr w:type="gramEnd"/>
      <w:r w:rsidRPr="008249DB">
        <w:rPr>
          <w:sz w:val="20"/>
          <w:szCs w:val="20"/>
        </w:rPr>
        <w:t>://biblioteca.univap.br/dados/INIC/cd/inic/IC6%20anais/IC6-115&gt;. Acesso em: 19 Oct. 2020.</w:t>
      </w:r>
    </w:p>
    <w:p w:rsidR="008249DB" w:rsidRPr="008249DB" w:rsidRDefault="008249DB" w:rsidP="008249DB">
      <w:pPr>
        <w:spacing w:line="240" w:lineRule="auto"/>
        <w:rPr>
          <w:sz w:val="20"/>
          <w:szCs w:val="20"/>
        </w:rPr>
      </w:pPr>
      <w:r w:rsidRPr="008249DB">
        <w:rPr>
          <w:sz w:val="20"/>
          <w:szCs w:val="20"/>
        </w:rPr>
        <w:t>SEGNINI, Liliana R. P. Educação e trabalho: uma relação tão necessária quanto insuficiente. São Paulo em Perspectiva, São Paulo, 2000, v. 14, n. 2.</w:t>
      </w:r>
    </w:p>
    <w:p w:rsidR="007E0016" w:rsidRDefault="008249DB" w:rsidP="008249DB">
      <w:pPr>
        <w:spacing w:line="240" w:lineRule="auto"/>
        <w:rPr>
          <w:sz w:val="20"/>
          <w:szCs w:val="20"/>
        </w:rPr>
      </w:pPr>
      <w:r w:rsidRPr="008249DB">
        <w:rPr>
          <w:sz w:val="20"/>
          <w:szCs w:val="20"/>
        </w:rPr>
        <w:t xml:space="preserve">SILVA, Marcos André </w:t>
      </w:r>
      <w:proofErr w:type="gramStart"/>
      <w:r w:rsidRPr="008249DB">
        <w:rPr>
          <w:sz w:val="20"/>
          <w:szCs w:val="20"/>
        </w:rPr>
        <w:t>da.</w:t>
      </w:r>
      <w:proofErr w:type="gramEnd"/>
      <w:r w:rsidRPr="008249DB">
        <w:rPr>
          <w:sz w:val="20"/>
          <w:szCs w:val="20"/>
        </w:rPr>
        <w:t xml:space="preserve"> PRONATEC e a evasão escolar nos cursos de Formação Inicial e Continuada (FIC) no IFMT – Campus Cuiabá Cel. Octayde Jorge da Silva – 2013. 2015. 122 f. </w:t>
      </w:r>
      <w:r w:rsidRPr="008249DB">
        <w:rPr>
          <w:sz w:val="20"/>
          <w:szCs w:val="20"/>
        </w:rPr>
        <w:lastRenderedPageBreak/>
        <w:t xml:space="preserve">Dissertação (Mestrado em Política Social) - Universidade Federal de Mato Grosso, Instituto de Ciências Humanas e Sociais, Cuiabá, </w:t>
      </w:r>
      <w:proofErr w:type="gramStart"/>
      <w:r w:rsidRPr="008249DB">
        <w:rPr>
          <w:sz w:val="20"/>
          <w:szCs w:val="20"/>
        </w:rPr>
        <w:t>2015</w:t>
      </w:r>
      <w:r>
        <w:rPr>
          <w:sz w:val="20"/>
          <w:szCs w:val="20"/>
        </w:rPr>
        <w:t>.</w:t>
      </w:r>
      <w:proofErr w:type="gramEnd"/>
    </w:p>
    <w:sectPr w:rsidR="007E0016">
      <w:headerReference w:type="default" r:id="rId9"/>
      <w:footerReference w:type="default" r:id="rId10"/>
      <w:pgSz w:w="11906" w:h="16838"/>
      <w:pgMar w:top="1417" w:right="1701" w:bottom="1417" w:left="1701" w:header="284"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46E" w:rsidRDefault="00EF346E">
      <w:pPr>
        <w:spacing w:line="240" w:lineRule="auto"/>
      </w:pPr>
      <w:r>
        <w:separator/>
      </w:r>
    </w:p>
  </w:endnote>
  <w:endnote w:type="continuationSeparator" w:id="0">
    <w:p w:rsidR="00EF346E" w:rsidRDefault="00EF34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Jaapokk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16" w:rsidRDefault="00015C52">
    <w:pPr>
      <w:pBdr>
        <w:top w:val="nil"/>
        <w:left w:val="nil"/>
        <w:bottom w:val="nil"/>
        <w:right w:val="nil"/>
        <w:between w:val="nil"/>
      </w:pBdr>
      <w:tabs>
        <w:tab w:val="center" w:pos="4252"/>
        <w:tab w:val="right" w:pos="8504"/>
      </w:tabs>
      <w:spacing w:line="240" w:lineRule="auto"/>
      <w:jc w:val="center"/>
      <w:rPr>
        <w:rFonts w:ascii="Jaapokki" w:eastAsia="Jaapokki" w:hAnsi="Jaapokki" w:cs="Jaapokki"/>
        <w:color w:val="0070C0"/>
      </w:rPr>
    </w:pPr>
    <w:r>
      <w:rPr>
        <w:rFonts w:ascii="Jaapokki" w:eastAsia="Jaapokki" w:hAnsi="Jaapokki" w:cs="Jaapokki"/>
        <w:color w:val="0070C0"/>
      </w:rPr>
      <w:t>congresso.academico@cesmac.edu.br</w:t>
    </w:r>
    <w:r>
      <w:rPr>
        <w:noProof/>
      </w:rPr>
      <mc:AlternateContent>
        <mc:Choice Requires="wps">
          <w:drawing>
            <wp:anchor distT="0" distB="0" distL="114300" distR="114300" simplePos="0" relativeHeight="251658240" behindDoc="0" locked="0" layoutInCell="1" hidden="0" allowOverlap="1">
              <wp:simplePos x="0" y="0"/>
              <wp:positionH relativeFrom="column">
                <wp:posOffset>-325754</wp:posOffset>
              </wp:positionH>
              <wp:positionV relativeFrom="paragraph">
                <wp:posOffset>-104139</wp:posOffset>
              </wp:positionV>
              <wp:extent cx="6202680" cy="45719"/>
              <wp:effectExtent l="0" t="0" r="7620" b="0"/>
              <wp:wrapNone/>
              <wp:docPr id="1" name="Retângulo 1"/>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-325754</wp:posOffset>
              </wp:positionH>
              <wp:positionV relativeFrom="paragraph">
                <wp:posOffset>-104139</wp:posOffset>
              </wp:positionV>
              <wp:extent cx="6210300" cy="45719"/>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210300" cy="45719"/>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46E" w:rsidRDefault="00EF346E">
      <w:pPr>
        <w:spacing w:line="240" w:lineRule="auto"/>
      </w:pPr>
      <w:r>
        <w:separator/>
      </w:r>
    </w:p>
  </w:footnote>
  <w:footnote w:type="continuationSeparator" w:id="0">
    <w:p w:rsidR="00EF346E" w:rsidRDefault="00EF346E">
      <w:pPr>
        <w:spacing w:line="240" w:lineRule="auto"/>
      </w:pPr>
      <w:r>
        <w:continuationSeparator/>
      </w:r>
    </w:p>
  </w:footnote>
  <w:footnote w:id="1">
    <w:p w:rsidR="002C6EFD" w:rsidRDefault="002C6EFD">
      <w:pPr>
        <w:pStyle w:val="Textodenotaderodap"/>
      </w:pPr>
      <w:r>
        <w:rPr>
          <w:rStyle w:val="Refdenotaderodap"/>
        </w:rPr>
        <w:footnoteRef/>
      </w:r>
      <w:r>
        <w:t xml:space="preserve"> O PRONATEC foi instituído pela </w:t>
      </w:r>
      <w:r w:rsidRPr="00AA5BE2">
        <w:t xml:space="preserve">Lei nº 12.513, em </w:t>
      </w:r>
      <w:proofErr w:type="gramStart"/>
      <w:r w:rsidRPr="00AA5BE2">
        <w:t>26 outubro</w:t>
      </w:r>
      <w:proofErr w:type="gramEnd"/>
      <w:r w:rsidRPr="00AA5BE2">
        <w:t xml:space="preserve"> de 2011</w:t>
      </w:r>
      <w:r>
        <w:t>.</w:t>
      </w:r>
    </w:p>
  </w:footnote>
  <w:footnote w:id="2">
    <w:p w:rsidR="00F742A0" w:rsidRDefault="00F742A0">
      <w:pPr>
        <w:pStyle w:val="Textodenotaderodap"/>
      </w:pPr>
      <w:r>
        <w:rPr>
          <w:rStyle w:val="Refdenotaderodap"/>
        </w:rPr>
        <w:footnoteRef/>
      </w:r>
      <w:r>
        <w:t xml:space="preserve"> </w:t>
      </w:r>
      <w:r w:rsidRPr="00F742A0">
        <w:t>Tal tendência foi apontada no Censo escolar de 2018 onde se verificou que as mulheres são maioria nos cursos profissionais da Educação Básica atingindo um patamar de participação de 60,70% contra 39,30% de homens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016" w:rsidRDefault="00015C52">
    <w:pPr>
      <w:pBdr>
        <w:top w:val="nil"/>
        <w:left w:val="nil"/>
        <w:bottom w:val="nil"/>
        <w:right w:val="nil"/>
        <w:between w:val="nil"/>
      </w:pBdr>
      <w:tabs>
        <w:tab w:val="left" w:pos="6840"/>
      </w:tabs>
      <w:spacing w:line="240" w:lineRule="auto"/>
      <w:rPr>
        <w:color w:val="000000"/>
      </w:rPr>
    </w:pPr>
    <w:r>
      <w:rPr>
        <w:color w:val="000000"/>
      </w:rPr>
      <w:tab/>
    </w:r>
    <w:r>
      <w:rPr>
        <w:noProof/>
        <w:color w:val="000000"/>
      </w:rPr>
      <w:drawing>
        <wp:inline distT="0" distB="0" distL="0" distR="0">
          <wp:extent cx="1234884" cy="1312717"/>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34884" cy="1312717"/>
                  </a:xfrm>
                  <a:prstGeom prst="rect">
                    <a:avLst/>
                  </a:prstGeom>
                  <a:ln/>
                </pic:spPr>
              </pic:pic>
            </a:graphicData>
          </a:graphic>
        </wp:inline>
      </w:drawing>
    </w:r>
    <w:r>
      <w:rPr>
        <w:color w:val="000000"/>
      </w:rPr>
      <w:tab/>
    </w:r>
  </w:p>
  <w:p w:rsidR="007E0016" w:rsidRDefault="007E0016">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E0016"/>
    <w:rsid w:val="00015C52"/>
    <w:rsid w:val="00022766"/>
    <w:rsid w:val="0002673C"/>
    <w:rsid w:val="000F1986"/>
    <w:rsid w:val="00127E03"/>
    <w:rsid w:val="0015311E"/>
    <w:rsid w:val="001654A3"/>
    <w:rsid w:val="001662C0"/>
    <w:rsid w:val="00166EB9"/>
    <w:rsid w:val="0016784F"/>
    <w:rsid w:val="00170990"/>
    <w:rsid w:val="00171615"/>
    <w:rsid w:val="001B2C6C"/>
    <w:rsid w:val="001D487B"/>
    <w:rsid w:val="002026B4"/>
    <w:rsid w:val="00225BE2"/>
    <w:rsid w:val="002275A6"/>
    <w:rsid w:val="00253BA9"/>
    <w:rsid w:val="002C6EFD"/>
    <w:rsid w:val="002E7A93"/>
    <w:rsid w:val="00320C72"/>
    <w:rsid w:val="0033518F"/>
    <w:rsid w:val="00360942"/>
    <w:rsid w:val="003876E2"/>
    <w:rsid w:val="00397815"/>
    <w:rsid w:val="003C6C2A"/>
    <w:rsid w:val="003F7696"/>
    <w:rsid w:val="00435280"/>
    <w:rsid w:val="00460F29"/>
    <w:rsid w:val="0046112B"/>
    <w:rsid w:val="004818A1"/>
    <w:rsid w:val="004837FA"/>
    <w:rsid w:val="00502E57"/>
    <w:rsid w:val="00532805"/>
    <w:rsid w:val="00533258"/>
    <w:rsid w:val="005347D1"/>
    <w:rsid w:val="00537BCF"/>
    <w:rsid w:val="005441B2"/>
    <w:rsid w:val="0057196A"/>
    <w:rsid w:val="005B0216"/>
    <w:rsid w:val="005C0A3A"/>
    <w:rsid w:val="005D49BA"/>
    <w:rsid w:val="005D530F"/>
    <w:rsid w:val="00613621"/>
    <w:rsid w:val="00645A67"/>
    <w:rsid w:val="006A4DDC"/>
    <w:rsid w:val="006C13C8"/>
    <w:rsid w:val="006F197D"/>
    <w:rsid w:val="006F6998"/>
    <w:rsid w:val="006F7E7D"/>
    <w:rsid w:val="007409D5"/>
    <w:rsid w:val="00753109"/>
    <w:rsid w:val="007568EB"/>
    <w:rsid w:val="007D2BF6"/>
    <w:rsid w:val="007E0016"/>
    <w:rsid w:val="007F5078"/>
    <w:rsid w:val="008249DB"/>
    <w:rsid w:val="00881564"/>
    <w:rsid w:val="008B0BC4"/>
    <w:rsid w:val="008D1A39"/>
    <w:rsid w:val="008D2926"/>
    <w:rsid w:val="008E1D6E"/>
    <w:rsid w:val="00923742"/>
    <w:rsid w:val="009329F3"/>
    <w:rsid w:val="00984366"/>
    <w:rsid w:val="009A1C3C"/>
    <w:rsid w:val="009A560F"/>
    <w:rsid w:val="009A5E18"/>
    <w:rsid w:val="009C504A"/>
    <w:rsid w:val="009E6A48"/>
    <w:rsid w:val="00A0471E"/>
    <w:rsid w:val="00A74BBC"/>
    <w:rsid w:val="00AA5BE2"/>
    <w:rsid w:val="00AF132A"/>
    <w:rsid w:val="00AF1B47"/>
    <w:rsid w:val="00B01376"/>
    <w:rsid w:val="00B06BE1"/>
    <w:rsid w:val="00B1508A"/>
    <w:rsid w:val="00B26126"/>
    <w:rsid w:val="00B34FE6"/>
    <w:rsid w:val="00B417F1"/>
    <w:rsid w:val="00B47B63"/>
    <w:rsid w:val="00B57FF5"/>
    <w:rsid w:val="00B679E2"/>
    <w:rsid w:val="00B71555"/>
    <w:rsid w:val="00BD0467"/>
    <w:rsid w:val="00BD67C0"/>
    <w:rsid w:val="00C4109C"/>
    <w:rsid w:val="00C7503D"/>
    <w:rsid w:val="00C921E2"/>
    <w:rsid w:val="00D51013"/>
    <w:rsid w:val="00D80B9B"/>
    <w:rsid w:val="00D974BD"/>
    <w:rsid w:val="00DF7CF4"/>
    <w:rsid w:val="00E00A82"/>
    <w:rsid w:val="00E13C60"/>
    <w:rsid w:val="00E14E6A"/>
    <w:rsid w:val="00E1523C"/>
    <w:rsid w:val="00E338F1"/>
    <w:rsid w:val="00E97E57"/>
    <w:rsid w:val="00EA0041"/>
    <w:rsid w:val="00EB1273"/>
    <w:rsid w:val="00ED7EBF"/>
    <w:rsid w:val="00EF0C1C"/>
    <w:rsid w:val="00EF1F37"/>
    <w:rsid w:val="00EF346E"/>
    <w:rsid w:val="00EF5869"/>
    <w:rsid w:val="00F30DEC"/>
    <w:rsid w:val="00F742A0"/>
    <w:rsid w:val="00F960C5"/>
    <w:rsid w:val="00FD1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5311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11E"/>
    <w:rPr>
      <w:rFonts w:ascii="Tahoma" w:hAnsi="Tahoma" w:cs="Tahoma"/>
      <w:sz w:val="16"/>
      <w:szCs w:val="16"/>
    </w:rPr>
  </w:style>
  <w:style w:type="paragraph" w:styleId="Textodenotaderodap">
    <w:name w:val="footnote text"/>
    <w:basedOn w:val="Normal"/>
    <w:link w:val="TextodenotaderodapChar"/>
    <w:uiPriority w:val="99"/>
    <w:semiHidden/>
    <w:unhideWhenUsed/>
    <w:rsid w:val="002C6E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C6EFD"/>
    <w:rPr>
      <w:sz w:val="20"/>
      <w:szCs w:val="20"/>
    </w:rPr>
  </w:style>
  <w:style w:type="character" w:styleId="Refdenotaderodap">
    <w:name w:val="footnote reference"/>
    <w:basedOn w:val="Fontepargpadro"/>
    <w:uiPriority w:val="99"/>
    <w:semiHidden/>
    <w:unhideWhenUsed/>
    <w:rsid w:val="002C6E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15311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311E"/>
    <w:rPr>
      <w:rFonts w:ascii="Tahoma" w:hAnsi="Tahoma" w:cs="Tahoma"/>
      <w:sz w:val="16"/>
      <w:szCs w:val="16"/>
    </w:rPr>
  </w:style>
  <w:style w:type="paragraph" w:styleId="Textodenotaderodap">
    <w:name w:val="footnote text"/>
    <w:basedOn w:val="Normal"/>
    <w:link w:val="TextodenotaderodapChar"/>
    <w:uiPriority w:val="99"/>
    <w:semiHidden/>
    <w:unhideWhenUsed/>
    <w:rsid w:val="002C6EF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C6EFD"/>
    <w:rPr>
      <w:sz w:val="20"/>
      <w:szCs w:val="20"/>
    </w:rPr>
  </w:style>
  <w:style w:type="character" w:styleId="Refdenotaderodap">
    <w:name w:val="footnote reference"/>
    <w:basedOn w:val="Fontepargpadro"/>
    <w:uiPriority w:val="99"/>
    <w:semiHidden/>
    <w:unhideWhenUsed/>
    <w:rsid w:val="002C6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3306">
      <w:bodyDiv w:val="1"/>
      <w:marLeft w:val="0"/>
      <w:marRight w:val="0"/>
      <w:marTop w:val="0"/>
      <w:marBottom w:val="0"/>
      <w:divBdr>
        <w:top w:val="none" w:sz="0" w:space="0" w:color="auto"/>
        <w:left w:val="none" w:sz="0" w:space="0" w:color="auto"/>
        <w:bottom w:val="none" w:sz="0" w:space="0" w:color="auto"/>
        <w:right w:val="none" w:sz="0" w:space="0" w:color="auto"/>
      </w:divBdr>
    </w:div>
    <w:div w:id="1270890359">
      <w:bodyDiv w:val="1"/>
      <w:marLeft w:val="0"/>
      <w:marRight w:val="0"/>
      <w:marTop w:val="0"/>
      <w:marBottom w:val="0"/>
      <w:divBdr>
        <w:top w:val="none" w:sz="0" w:space="0" w:color="auto"/>
        <w:left w:val="none" w:sz="0" w:space="0" w:color="auto"/>
        <w:bottom w:val="none" w:sz="0" w:space="0" w:color="auto"/>
        <w:right w:val="none" w:sz="0" w:space="0" w:color="auto"/>
      </w:divBdr>
    </w:div>
    <w:div w:id="1387878150">
      <w:bodyDiv w:val="1"/>
      <w:marLeft w:val="0"/>
      <w:marRight w:val="0"/>
      <w:marTop w:val="0"/>
      <w:marBottom w:val="0"/>
      <w:divBdr>
        <w:top w:val="none" w:sz="0" w:space="0" w:color="auto"/>
        <w:left w:val="none" w:sz="0" w:space="0" w:color="auto"/>
        <w:bottom w:val="none" w:sz="0" w:space="0" w:color="auto"/>
        <w:right w:val="none" w:sz="0" w:space="0" w:color="auto"/>
      </w:divBdr>
    </w:div>
    <w:div w:id="1841235126">
      <w:bodyDiv w:val="1"/>
      <w:marLeft w:val="0"/>
      <w:marRight w:val="0"/>
      <w:marTop w:val="0"/>
      <w:marBottom w:val="0"/>
      <w:divBdr>
        <w:top w:val="none" w:sz="0" w:space="0" w:color="auto"/>
        <w:left w:val="none" w:sz="0" w:space="0" w:color="auto"/>
        <w:bottom w:val="none" w:sz="0" w:space="0" w:color="auto"/>
        <w:right w:val="none" w:sz="0" w:space="0" w:color="auto"/>
      </w:divBdr>
    </w:div>
    <w:div w:id="1950432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liente\Desktop\ARTIGO\pronatec\POR%20LOC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spPr>
            <a:solidFill>
              <a:schemeClr val="accent5">
                <a:lumMod val="60000"/>
                <a:lumOff val="40000"/>
              </a:schemeClr>
            </a:solidFill>
          </c:spPr>
          <c:dPt>
            <c:idx val="0"/>
            <c:bubble3D val="0"/>
            <c:spPr>
              <a:solidFill>
                <a:srgbClr val="FFC000"/>
              </a:solidFill>
            </c:spPr>
          </c:dPt>
          <c:dLbls>
            <c:numFmt formatCode="0.00%" sourceLinked="0"/>
            <c:txPr>
              <a:bodyPr/>
              <a:lstStyle/>
              <a:p>
                <a:pPr>
                  <a:defRPr b="1">
                    <a:solidFill>
                      <a:schemeClr val="tx1"/>
                    </a:solidFill>
                  </a:defRPr>
                </a:pPr>
                <a:endParaRPr lang="pt-BR"/>
              </a:p>
            </c:txPr>
            <c:dLblPos val="ctr"/>
            <c:showLegendKey val="0"/>
            <c:showVal val="0"/>
            <c:showCatName val="0"/>
            <c:showSerName val="0"/>
            <c:showPercent val="1"/>
            <c:showBubbleSize val="0"/>
            <c:showLeaderLines val="1"/>
          </c:dLbls>
          <c:cat>
            <c:strRef>
              <c:f>Plan5!$A$16:$A$17</c:f>
              <c:strCache>
                <c:ptCount val="2"/>
                <c:pt idx="0">
                  <c:v>FEMININO</c:v>
                </c:pt>
                <c:pt idx="1">
                  <c:v>MASCULINO</c:v>
                </c:pt>
              </c:strCache>
            </c:strRef>
          </c:cat>
          <c:val>
            <c:numRef>
              <c:f>Plan5!$B$16:$B$17</c:f>
              <c:numCache>
                <c:formatCode>General</c:formatCode>
                <c:ptCount val="2"/>
                <c:pt idx="0">
                  <c:v>302</c:v>
                </c:pt>
                <c:pt idx="1">
                  <c:v>98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pt-B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67DF0-A068-4DE0-AA07-F1EF90CB3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8</Pages>
  <Words>2525</Words>
  <Characters>13638</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Cliente</cp:lastModifiedBy>
  <cp:revision>72</cp:revision>
  <dcterms:created xsi:type="dcterms:W3CDTF">2020-12-29T14:29:00Z</dcterms:created>
  <dcterms:modified xsi:type="dcterms:W3CDTF">2020-12-30T19:23:00Z</dcterms:modified>
</cp:coreProperties>
</file>