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E147C" w14:textId="77777777" w:rsidR="00272688" w:rsidRDefault="00272688">
      <w:pPr>
        <w:jc w:val="center"/>
        <w:rPr>
          <w:b/>
          <w:bCs/>
          <w:szCs w:val="24"/>
        </w:rPr>
      </w:pPr>
    </w:p>
    <w:p w14:paraId="31B4A327" w14:textId="77777777" w:rsidR="00272688" w:rsidRDefault="00BF7E1B">
      <w:pPr>
        <w:tabs>
          <w:tab w:val="left" w:pos="1540"/>
        </w:tabs>
        <w:ind w:left="-360"/>
        <w:jc w:val="center"/>
        <w:rPr>
          <w:b/>
          <w:bCs/>
          <w:szCs w:val="24"/>
        </w:rPr>
      </w:pPr>
      <w:r>
        <w:rPr>
          <w:b/>
          <w:bCs/>
          <w:szCs w:val="24"/>
        </w:rPr>
        <w:t xml:space="preserve">CÉLULAS-TRONCO </w:t>
      </w:r>
      <w:proofErr w:type="spellStart"/>
      <w:r>
        <w:rPr>
          <w:b/>
          <w:bCs/>
          <w:szCs w:val="24"/>
        </w:rPr>
        <w:t>MESENQUIMAIS</w:t>
      </w:r>
      <w:proofErr w:type="spellEnd"/>
      <w:r>
        <w:rPr>
          <w:b/>
          <w:bCs/>
          <w:szCs w:val="24"/>
        </w:rPr>
        <w:t xml:space="preserve"> NA OBSTETRÍCIA E NEONATOLOGIA VETERINÁRIA: APLICAÇÕES TERAPÊUTICAS EM LESÕES DE </w:t>
      </w:r>
      <w:proofErr w:type="spellStart"/>
      <w:r>
        <w:rPr>
          <w:b/>
          <w:bCs/>
          <w:szCs w:val="24"/>
        </w:rPr>
        <w:t>ORGÃOS</w:t>
      </w:r>
      <w:proofErr w:type="spellEnd"/>
      <w:r>
        <w:rPr>
          <w:b/>
          <w:bCs/>
          <w:szCs w:val="24"/>
        </w:rPr>
        <w:t xml:space="preserve"> REPRODUTIVOS E PATOLOGIAS </w:t>
      </w:r>
      <w:proofErr w:type="spellStart"/>
      <w:r>
        <w:rPr>
          <w:b/>
          <w:bCs/>
          <w:szCs w:val="24"/>
        </w:rPr>
        <w:t>PERINATAIS</w:t>
      </w:r>
      <w:proofErr w:type="spellEnd"/>
      <w:r>
        <w:rPr>
          <w:b/>
          <w:bCs/>
          <w:szCs w:val="24"/>
        </w:rPr>
        <w:t>.</w:t>
      </w:r>
    </w:p>
    <w:p w14:paraId="79E3DB4B" w14:textId="77777777" w:rsidR="00272688" w:rsidRDefault="00272688">
      <w:pPr>
        <w:tabs>
          <w:tab w:val="left" w:pos="1540"/>
        </w:tabs>
        <w:ind w:left="-360"/>
        <w:jc w:val="center"/>
        <w:rPr>
          <w:szCs w:val="24"/>
        </w:rPr>
      </w:pPr>
    </w:p>
    <w:p w14:paraId="3560BB11" w14:textId="77777777" w:rsidR="00272688" w:rsidRDefault="00BF7E1B">
      <w:pPr>
        <w:tabs>
          <w:tab w:val="left" w:pos="1540"/>
        </w:tabs>
        <w:ind w:left="-360"/>
        <w:jc w:val="right"/>
        <w:rPr>
          <w:szCs w:val="24"/>
        </w:rPr>
      </w:pPr>
      <w:proofErr w:type="spellStart"/>
      <w:r>
        <w:rPr>
          <w:szCs w:val="24"/>
        </w:rPr>
        <w:t>Kaylla</w:t>
      </w:r>
      <w:proofErr w:type="spellEnd"/>
      <w:r>
        <w:rPr>
          <w:szCs w:val="24"/>
        </w:rPr>
        <w:t xml:space="preserve"> </w:t>
      </w:r>
      <w:proofErr w:type="spellStart"/>
      <w:r>
        <w:rPr>
          <w:szCs w:val="24"/>
        </w:rPr>
        <w:t>Juniely</w:t>
      </w:r>
      <w:proofErr w:type="spellEnd"/>
      <w:r>
        <w:rPr>
          <w:szCs w:val="24"/>
        </w:rPr>
        <w:t xml:space="preserve"> de Brito</w:t>
      </w:r>
      <w:r>
        <w:rPr>
          <w:szCs w:val="24"/>
          <w:vertAlign w:val="superscript"/>
        </w:rPr>
        <w:footnoteReference w:id="1"/>
      </w:r>
      <w:r>
        <w:rPr>
          <w:szCs w:val="24"/>
        </w:rPr>
        <w:t xml:space="preserve"> </w:t>
      </w:r>
    </w:p>
    <w:p w14:paraId="5AF54787" w14:textId="77777777" w:rsidR="00272688" w:rsidRDefault="00BF7E1B">
      <w:pPr>
        <w:tabs>
          <w:tab w:val="left" w:pos="1540"/>
        </w:tabs>
        <w:ind w:left="-360"/>
        <w:jc w:val="right"/>
        <w:rPr>
          <w:szCs w:val="24"/>
        </w:rPr>
      </w:pPr>
      <w:r>
        <w:rPr>
          <w:szCs w:val="24"/>
        </w:rPr>
        <w:t>José Florenço de Cerqueira Júnior</w:t>
      </w:r>
      <w:r>
        <w:rPr>
          <w:szCs w:val="24"/>
          <w:vertAlign w:val="superscript"/>
        </w:rPr>
        <w:footnoteReference w:id="2"/>
      </w:r>
      <w:r>
        <w:rPr>
          <w:szCs w:val="24"/>
        </w:rPr>
        <w:t xml:space="preserve"> </w:t>
      </w:r>
    </w:p>
    <w:p w14:paraId="0EC5E368" w14:textId="77777777" w:rsidR="00272688" w:rsidRDefault="00BF7E1B">
      <w:pPr>
        <w:tabs>
          <w:tab w:val="left" w:pos="2060"/>
          <w:tab w:val="left" w:pos="7240"/>
        </w:tabs>
        <w:ind w:left="-360"/>
        <w:jc w:val="right"/>
        <w:rPr>
          <w:szCs w:val="24"/>
        </w:rPr>
      </w:pPr>
      <w:proofErr w:type="spellStart"/>
      <w:r>
        <w:rPr>
          <w:szCs w:val="24"/>
        </w:rPr>
        <w:t>Vicentede</w:t>
      </w:r>
      <w:proofErr w:type="spellEnd"/>
      <w:r>
        <w:rPr>
          <w:szCs w:val="24"/>
        </w:rPr>
        <w:t xml:space="preserve"> Paula Fernandes Neto</w:t>
      </w:r>
      <w:r>
        <w:rPr>
          <w:szCs w:val="24"/>
          <w:vertAlign w:val="superscript"/>
        </w:rPr>
        <w:footnoteReference w:id="3"/>
      </w:r>
      <w:r>
        <w:rPr>
          <w:szCs w:val="24"/>
        </w:rPr>
        <w:t xml:space="preserve"> </w:t>
      </w:r>
    </w:p>
    <w:p w14:paraId="58B1CCB2" w14:textId="77777777" w:rsidR="00272688" w:rsidRDefault="00BF7E1B">
      <w:pPr>
        <w:tabs>
          <w:tab w:val="left" w:pos="2060"/>
          <w:tab w:val="left" w:pos="7240"/>
        </w:tabs>
        <w:ind w:left="-360"/>
        <w:jc w:val="right"/>
        <w:rPr>
          <w:szCs w:val="24"/>
        </w:rPr>
      </w:pPr>
      <w:r>
        <w:rPr>
          <w:szCs w:val="24"/>
        </w:rPr>
        <w:t>Paloma Medeiros Ferreira</w:t>
      </w:r>
      <w:r>
        <w:rPr>
          <w:szCs w:val="24"/>
          <w:vertAlign w:val="superscript"/>
        </w:rPr>
        <w:footnoteReference w:id="4"/>
      </w:r>
      <w:r>
        <w:rPr>
          <w:szCs w:val="24"/>
        </w:rPr>
        <w:t xml:space="preserve"> </w:t>
      </w:r>
    </w:p>
    <w:p w14:paraId="3806A02E" w14:textId="77777777" w:rsidR="00272688" w:rsidRDefault="00272688">
      <w:pPr>
        <w:tabs>
          <w:tab w:val="left" w:pos="2060"/>
          <w:tab w:val="left" w:pos="7240"/>
        </w:tabs>
        <w:ind w:firstLine="0"/>
        <w:rPr>
          <w:szCs w:val="24"/>
        </w:rPr>
      </w:pPr>
    </w:p>
    <w:p w14:paraId="713BE48B" w14:textId="77777777" w:rsidR="00272688" w:rsidRDefault="00BF7E1B">
      <w:pPr>
        <w:ind w:firstLine="0"/>
        <w:jc w:val="center"/>
        <w:rPr>
          <w:b/>
          <w:bCs/>
          <w:szCs w:val="24"/>
        </w:rPr>
      </w:pPr>
      <w:r>
        <w:rPr>
          <w:b/>
          <w:bCs/>
          <w:szCs w:val="24"/>
        </w:rPr>
        <w:t>RESUMO</w:t>
      </w:r>
    </w:p>
    <w:p w14:paraId="21BB8E8D" w14:textId="77777777" w:rsidR="00272688" w:rsidRDefault="00272688">
      <w:pPr>
        <w:ind w:firstLine="0"/>
        <w:jc w:val="center"/>
        <w:rPr>
          <w:b/>
          <w:bCs/>
          <w:szCs w:val="24"/>
        </w:rPr>
      </w:pPr>
    </w:p>
    <w:p w14:paraId="335879D6" w14:textId="77777777" w:rsidR="00272688" w:rsidRDefault="00BF7E1B">
      <w:pPr>
        <w:spacing w:line="20" w:lineRule="atLeast"/>
        <w:ind w:firstLine="0"/>
        <w:rPr>
          <w:szCs w:val="24"/>
        </w:rPr>
      </w:pPr>
      <w:r>
        <w:rPr>
          <w:szCs w:val="24"/>
        </w:rPr>
        <w:t xml:space="preserve">A infertilidade, as lesões uterinas e </w:t>
      </w:r>
      <w:proofErr w:type="spellStart"/>
      <w:r>
        <w:rPr>
          <w:szCs w:val="24"/>
        </w:rPr>
        <w:t>ovarianas</w:t>
      </w:r>
      <w:proofErr w:type="spellEnd"/>
      <w:r>
        <w:rPr>
          <w:szCs w:val="24"/>
        </w:rPr>
        <w:t xml:space="preserve"> e as patologias </w:t>
      </w:r>
      <w:proofErr w:type="spellStart"/>
      <w:r>
        <w:rPr>
          <w:szCs w:val="24"/>
        </w:rPr>
        <w:t>perinatais</w:t>
      </w:r>
      <w:proofErr w:type="spellEnd"/>
      <w:r>
        <w:rPr>
          <w:szCs w:val="24"/>
        </w:rPr>
        <w:t xml:space="preserve"> figuram entre as principais causas de perda econômica e de comprometimento do bem-estar animal na clínica veterinária. Os tratamentos convencionais, embora amplamente utilizados, apresentam eficácia limitada diante de danos </w:t>
      </w:r>
      <w:proofErr w:type="spellStart"/>
      <w:r>
        <w:rPr>
          <w:szCs w:val="24"/>
        </w:rPr>
        <w:t>teciduais</w:t>
      </w:r>
      <w:proofErr w:type="spellEnd"/>
      <w:r>
        <w:rPr>
          <w:szCs w:val="24"/>
        </w:rPr>
        <w:t xml:space="preserve"> estabelecidos. Nesse contexto, as células-tronco </w:t>
      </w:r>
      <w:proofErr w:type="spellStart"/>
      <w:r>
        <w:rPr>
          <w:szCs w:val="24"/>
        </w:rPr>
        <w:t>mesenquimais</w:t>
      </w:r>
      <w:proofErr w:type="spellEnd"/>
      <w:r>
        <w:rPr>
          <w:szCs w:val="24"/>
        </w:rPr>
        <w:t xml:space="preserve"> despontam como estratégia terapêutica regenerativa, dada sua capacidade de diferenciação </w:t>
      </w:r>
      <w:proofErr w:type="spellStart"/>
      <w:r>
        <w:rPr>
          <w:szCs w:val="24"/>
        </w:rPr>
        <w:t>multipotente</w:t>
      </w:r>
      <w:proofErr w:type="spellEnd"/>
      <w:r>
        <w:rPr>
          <w:szCs w:val="24"/>
        </w:rPr>
        <w:t xml:space="preserve">, seu tropismo por tecidos lesionados e suas propriedades </w:t>
      </w:r>
      <w:proofErr w:type="spellStart"/>
      <w:r>
        <w:rPr>
          <w:szCs w:val="24"/>
        </w:rPr>
        <w:t>imunomoduladoras</w:t>
      </w:r>
      <w:proofErr w:type="spellEnd"/>
      <w:r>
        <w:rPr>
          <w:szCs w:val="24"/>
        </w:rPr>
        <w:t xml:space="preserve"> e a</w:t>
      </w:r>
      <w:r>
        <w:rPr>
          <w:szCs w:val="24"/>
        </w:rPr>
        <w:t xml:space="preserve">nti-inflamatórias. Os achados indicam que a terapia com células-tronco </w:t>
      </w:r>
      <w:proofErr w:type="spellStart"/>
      <w:r>
        <w:rPr>
          <w:szCs w:val="24"/>
        </w:rPr>
        <w:t>mesenquimais</w:t>
      </w:r>
      <w:proofErr w:type="spellEnd"/>
      <w:r>
        <w:rPr>
          <w:szCs w:val="24"/>
        </w:rPr>
        <w:t xml:space="preserve">, aplicada por via intrauterina, intravenosa ou </w:t>
      </w:r>
      <w:proofErr w:type="spellStart"/>
      <w:r>
        <w:rPr>
          <w:szCs w:val="24"/>
        </w:rPr>
        <w:t>intraovariana</w:t>
      </w:r>
      <w:proofErr w:type="spellEnd"/>
      <w:r>
        <w:rPr>
          <w:szCs w:val="24"/>
        </w:rPr>
        <w:t xml:space="preserve">, promove regeneração </w:t>
      </w:r>
      <w:proofErr w:type="spellStart"/>
      <w:r>
        <w:rPr>
          <w:szCs w:val="24"/>
        </w:rPr>
        <w:t>endometrial</w:t>
      </w:r>
      <w:proofErr w:type="spellEnd"/>
      <w:r>
        <w:rPr>
          <w:szCs w:val="24"/>
        </w:rPr>
        <w:t xml:space="preserve"> e </w:t>
      </w:r>
      <w:proofErr w:type="spellStart"/>
      <w:r>
        <w:rPr>
          <w:szCs w:val="24"/>
        </w:rPr>
        <w:t>ovariana</w:t>
      </w:r>
      <w:proofErr w:type="spellEnd"/>
      <w:r>
        <w:rPr>
          <w:szCs w:val="24"/>
        </w:rPr>
        <w:t xml:space="preserve">, restauração da função folicular e melhora das taxas de gestação em diferentes espécies. </w:t>
      </w:r>
    </w:p>
    <w:p w14:paraId="6446CC93" w14:textId="77777777" w:rsidR="00272688" w:rsidRDefault="00272688">
      <w:pPr>
        <w:spacing w:line="20" w:lineRule="atLeast"/>
        <w:ind w:firstLine="0"/>
        <w:rPr>
          <w:szCs w:val="24"/>
        </w:rPr>
      </w:pPr>
    </w:p>
    <w:p w14:paraId="0B230856" w14:textId="641CC0E6" w:rsidR="00272688" w:rsidRDefault="00BF7E1B">
      <w:pPr>
        <w:spacing w:line="20" w:lineRule="atLeast"/>
        <w:ind w:firstLine="0"/>
        <w:rPr>
          <w:i/>
          <w:iCs/>
          <w:szCs w:val="24"/>
        </w:rPr>
      </w:pPr>
      <w:r>
        <w:rPr>
          <w:b/>
          <w:bCs/>
          <w:szCs w:val="24"/>
        </w:rPr>
        <w:t>Palavras-chave:</w:t>
      </w:r>
      <w:r w:rsidR="009F32F7">
        <w:rPr>
          <w:szCs w:val="24"/>
        </w:rPr>
        <w:t xml:space="preserve"> Anti</w:t>
      </w:r>
      <w:r>
        <w:rPr>
          <w:szCs w:val="24"/>
        </w:rPr>
        <w:t>-inflamatórias;</w:t>
      </w:r>
      <w:r>
        <w:rPr>
          <w:szCs w:val="24"/>
        </w:rPr>
        <w:t xml:space="preserve"> </w:t>
      </w:r>
      <w:proofErr w:type="spellStart"/>
      <w:r w:rsidR="00913B13">
        <w:rPr>
          <w:szCs w:val="24"/>
        </w:rPr>
        <w:t>I</w:t>
      </w:r>
      <w:r>
        <w:rPr>
          <w:szCs w:val="24"/>
        </w:rPr>
        <w:t>munomoduladoras</w:t>
      </w:r>
      <w:proofErr w:type="spellEnd"/>
      <w:r>
        <w:rPr>
          <w:szCs w:val="24"/>
        </w:rPr>
        <w:t>; Infertilidade; Lesões</w:t>
      </w:r>
      <w:r>
        <w:rPr>
          <w:szCs w:val="24"/>
        </w:rPr>
        <w:t xml:space="preserve"> </w:t>
      </w:r>
      <w:r>
        <w:rPr>
          <w:szCs w:val="24"/>
        </w:rPr>
        <w:t xml:space="preserve">uterinas; </w:t>
      </w:r>
      <w:r>
        <w:rPr>
          <w:szCs w:val="24"/>
        </w:rPr>
        <w:t>Terapia regenerativa.</w:t>
      </w:r>
    </w:p>
    <w:p w14:paraId="5A03720E" w14:textId="77777777" w:rsidR="00272688" w:rsidRDefault="00272688">
      <w:pPr>
        <w:rPr>
          <w:szCs w:val="24"/>
        </w:rPr>
      </w:pPr>
    </w:p>
    <w:p w14:paraId="513B605F" w14:textId="77777777" w:rsidR="00272688" w:rsidRDefault="00BF7E1B">
      <w:pPr>
        <w:rPr>
          <w:b/>
          <w:bCs/>
          <w:szCs w:val="24"/>
        </w:rPr>
      </w:pPr>
      <w:bookmarkStart w:id="0" w:name="f5vk82do5j7i" w:colFirst="0" w:colLast="0"/>
      <w:bookmarkEnd w:id="0"/>
      <w:r>
        <w:rPr>
          <w:b/>
          <w:bCs/>
          <w:szCs w:val="24"/>
        </w:rPr>
        <w:t>1 INTRODUÇÃO</w:t>
      </w:r>
    </w:p>
    <w:p w14:paraId="6DECFBD1" w14:textId="77777777" w:rsidR="00272688" w:rsidRDefault="00272688">
      <w:pPr>
        <w:rPr>
          <w:szCs w:val="24"/>
        </w:rPr>
      </w:pPr>
    </w:p>
    <w:p w14:paraId="378582ED" w14:textId="77777777" w:rsidR="00272688" w:rsidRDefault="00BF7E1B">
      <w:r>
        <w:t xml:space="preserve">A saúde reprodutiva e a sobrevivência neonatal continuam sendo dois dos maiores desafios da clínica veterinária, tanto em animais de produção quanto de companhia. Distúrbios como </w:t>
      </w:r>
      <w:proofErr w:type="spellStart"/>
      <w:r>
        <w:t>endometrite</w:t>
      </w:r>
      <w:proofErr w:type="spellEnd"/>
      <w:r>
        <w:t xml:space="preserve">, degeneração </w:t>
      </w:r>
      <w:proofErr w:type="spellStart"/>
      <w:r>
        <w:t>ovariana</w:t>
      </w:r>
      <w:proofErr w:type="spellEnd"/>
      <w:r>
        <w:t>, cistos foliculares, hipoplasia uterina e complicações do parto respondem por parcela expressiva das perdas econômicas na pecuária e do sofrimento clínico em pequenos animais, muitas vezes culminando em infertilidade permanente ou em óbito neonatal (</w:t>
      </w:r>
      <w:proofErr w:type="spellStart"/>
      <w:r>
        <w:t>Prabowo</w:t>
      </w:r>
      <w:proofErr w:type="spellEnd"/>
      <w:r>
        <w:t xml:space="preserve"> et al., 2025). Os tratamentos convencionais </w:t>
      </w:r>
      <w:proofErr w:type="spellStart"/>
      <w:r>
        <w:t>antibioticoterapia</w:t>
      </w:r>
      <w:proofErr w:type="spellEnd"/>
      <w:r>
        <w:t>, protocolos hormonais e suporte intensivo ao neonato seguem sendo a base da prática clínica, mas apresentam limitações conhecidas: resistência antimicrobiana</w:t>
      </w:r>
      <w:r>
        <w:t xml:space="preserve"> crescente, resultados inconsistentes entre pacientes e pouca capacidade de reverter o dano estrutural já instalado no tecido (</w:t>
      </w:r>
      <w:proofErr w:type="spellStart"/>
      <w:r>
        <w:t>Prabowo</w:t>
      </w:r>
      <w:proofErr w:type="spellEnd"/>
      <w:r>
        <w:t xml:space="preserve"> et al., 2025; Oliveira et al., 2024).</w:t>
      </w:r>
    </w:p>
    <w:p w14:paraId="17FC9DA2" w14:textId="77777777" w:rsidR="00272688" w:rsidRDefault="00BF7E1B">
      <w:r>
        <w:t xml:space="preserve">É nesse cenário que a medicina regenerativa, e em particular a terapia com células-tronco </w:t>
      </w:r>
      <w:proofErr w:type="spellStart"/>
      <w:r>
        <w:t>mesenquimais</w:t>
      </w:r>
      <w:proofErr w:type="spellEnd"/>
      <w:r>
        <w:t xml:space="preserve"> (CTMs), tem se consolidado como uma das frentes mais promissoras da obstetrícia e da neonatologia veterinária contemporânea. As CTM são células </w:t>
      </w:r>
      <w:proofErr w:type="spellStart"/>
      <w:r>
        <w:t>multipotentes</w:t>
      </w:r>
      <w:proofErr w:type="spellEnd"/>
      <w:r>
        <w:t xml:space="preserve">, capazes de se diferenciar em diversas linhagens </w:t>
      </w:r>
      <w:proofErr w:type="spellStart"/>
      <w:r>
        <w:t>teciduais</w:t>
      </w:r>
      <w:proofErr w:type="spellEnd"/>
      <w:r>
        <w:t xml:space="preserve"> e de atuar por mecanismos </w:t>
      </w:r>
      <w:proofErr w:type="spellStart"/>
      <w:r>
        <w:t>parácrinos</w:t>
      </w:r>
      <w:proofErr w:type="spellEnd"/>
      <w:r>
        <w:t xml:space="preserve">, migrando para sítios de lesão, inflamação ou doença, onde liberam fatores bioativos que estimulam a regeneração do tecido hospedeiro (Oliveira et al., 2024). Essa combinação de plasticidade, capacidade de </w:t>
      </w:r>
      <w:proofErr w:type="spellStart"/>
      <w:r>
        <w:t>homing</w:t>
      </w:r>
      <w:proofErr w:type="spellEnd"/>
      <w:r>
        <w:t xml:space="preserve"> e ação </w:t>
      </w:r>
      <w:proofErr w:type="spellStart"/>
      <w:r>
        <w:t>imunomoduladora</w:t>
      </w:r>
      <w:proofErr w:type="spellEnd"/>
      <w:r>
        <w:t xml:space="preserve"> explica p</w:t>
      </w:r>
      <w:r>
        <w:t>or que essas células vêm sendo investigadas em praticamente todas as áreas da clínica veterinária, da ortopedia à neurologia, e cada vez mais no campo reprodutivo (</w:t>
      </w:r>
      <w:proofErr w:type="spellStart"/>
      <w:r>
        <w:t>Lagonegro</w:t>
      </w:r>
      <w:proofErr w:type="spellEnd"/>
      <w:r>
        <w:t xml:space="preserve"> </w:t>
      </w:r>
      <w:proofErr w:type="spellStart"/>
      <w:r>
        <w:t>Amanatidis</w:t>
      </w:r>
      <w:proofErr w:type="spellEnd"/>
      <w:r>
        <w:t xml:space="preserve"> &amp; Mendes, 2025).</w:t>
      </w:r>
    </w:p>
    <w:p w14:paraId="51381A08" w14:textId="77777777" w:rsidR="00272688" w:rsidRDefault="00BF7E1B">
      <w:r>
        <w:t xml:space="preserve">No que se refere especificamente aos órgãos reprodutivos, estudos pré-clínicos e clínicos recentes têm demonstrado que as CTMs favorecem a reparação de lesões </w:t>
      </w:r>
      <w:proofErr w:type="spellStart"/>
      <w:r>
        <w:t>ovarianas</w:t>
      </w:r>
      <w:proofErr w:type="spellEnd"/>
      <w:r>
        <w:t xml:space="preserve"> e uterinas ao migrarem para as áreas danificadas, reduzir a resposta inflamatória local, estimular a </w:t>
      </w:r>
      <w:proofErr w:type="spellStart"/>
      <w:r>
        <w:t>angiogênese</w:t>
      </w:r>
      <w:proofErr w:type="spellEnd"/>
      <w:r>
        <w:t xml:space="preserve"> e proteger o tecido do estresse oxidativo (</w:t>
      </w:r>
      <w:proofErr w:type="spellStart"/>
      <w:r>
        <w:t>Prabowo</w:t>
      </w:r>
      <w:proofErr w:type="spellEnd"/>
      <w:r>
        <w:t xml:space="preserve"> et al., 2025). Em fêmeas bovinas, por exemplo, a infusão intrauterina de CTM tem sido associada à melhora das taxas de gestação em casos de </w:t>
      </w:r>
      <w:proofErr w:type="spellStart"/>
      <w:r>
        <w:t>endometrite</w:t>
      </w:r>
      <w:proofErr w:type="spellEnd"/>
      <w:r>
        <w:t xml:space="preserve">, enquanto a injeção </w:t>
      </w:r>
      <w:proofErr w:type="spellStart"/>
      <w:r>
        <w:t>intraovariana</w:t>
      </w:r>
      <w:proofErr w:type="spellEnd"/>
      <w:r>
        <w:t xml:space="preserve"> tem restaurado a atividade folicular em animais com disfunção </w:t>
      </w:r>
      <w:proofErr w:type="spellStart"/>
      <w:r>
        <w:t>ovariana</w:t>
      </w:r>
      <w:proofErr w:type="spellEnd"/>
      <w:r>
        <w:t xml:space="preserve"> (</w:t>
      </w:r>
      <w:proofErr w:type="spellStart"/>
      <w:r>
        <w:t>Prabowo</w:t>
      </w:r>
      <w:proofErr w:type="spellEnd"/>
      <w:r>
        <w:t xml:space="preserve"> et al., 2025; Oliveira et al., 2024). Paralelamente, abordagens livres d</w:t>
      </w:r>
      <w:r>
        <w:t xml:space="preserve">e células baseadas em </w:t>
      </w:r>
      <w:proofErr w:type="spellStart"/>
      <w:r>
        <w:t>secretomas</w:t>
      </w:r>
      <w:proofErr w:type="spellEnd"/>
      <w:r>
        <w:t xml:space="preserve"> e </w:t>
      </w:r>
      <w:proofErr w:type="spellStart"/>
      <w:r>
        <w:t>exossomos</w:t>
      </w:r>
      <w:proofErr w:type="spellEnd"/>
      <w:r>
        <w:t xml:space="preserve"> derivados de CTMs vêm ganhando espaço como alternativas de menor risco imunogênico, ampliando ainda mais o leque terapêutico disponível para o clínico (</w:t>
      </w:r>
      <w:proofErr w:type="spellStart"/>
      <w:r>
        <w:t>Prabowo</w:t>
      </w:r>
      <w:proofErr w:type="spellEnd"/>
      <w:r>
        <w:t xml:space="preserve"> et al., 2025).</w:t>
      </w:r>
    </w:p>
    <w:p w14:paraId="704B7800" w14:textId="77777777" w:rsidR="00272688" w:rsidRDefault="00BF7E1B">
      <w:r>
        <w:t xml:space="preserve">Essa mesma lógica regenerativa começa a ser explorada no período perinatal. Neonatos acometidos por hipóxia, sepse, prematuridade ou falhas na transferência de imunidade passiva representam um grupo de pacientes extremamente vulnerável, no qual as opções terapêuticas seguem, em grande parte, restritas ao suporte clínico. O conhecimento acumulado sobre as propriedades </w:t>
      </w:r>
      <w:proofErr w:type="spellStart"/>
      <w:r>
        <w:t>imunomoduladoras</w:t>
      </w:r>
      <w:proofErr w:type="spellEnd"/>
      <w:r>
        <w:t xml:space="preserve"> e anti-inflamatórias das CTMs já bem documentado em outras áreas da medicina veterinária regenerativa (</w:t>
      </w:r>
      <w:proofErr w:type="spellStart"/>
      <w:r>
        <w:t>Lagonegro</w:t>
      </w:r>
      <w:proofErr w:type="spellEnd"/>
      <w:r>
        <w:t xml:space="preserve"> </w:t>
      </w:r>
      <w:proofErr w:type="spellStart"/>
      <w:r>
        <w:t>Amanatidis</w:t>
      </w:r>
      <w:proofErr w:type="spellEnd"/>
      <w:r>
        <w:t xml:space="preserve"> &amp; Mendes, 2025) abre uma perspectiva ainda pouco explorada, mas biologicamente coerente, de aplicação dessas células também no manejo de patologias </w:t>
      </w:r>
      <w:proofErr w:type="spellStart"/>
      <w:r>
        <w:t>perinatais</w:t>
      </w:r>
      <w:proofErr w:type="spellEnd"/>
      <w:r>
        <w:t>.</w:t>
      </w:r>
    </w:p>
    <w:p w14:paraId="1A4782B3" w14:textId="77777777" w:rsidR="00272688" w:rsidRDefault="00BF7E1B">
      <w:r>
        <w:t xml:space="preserve">Diante desse panorama, o presente artigo tem como objetivo revisar as evidências científicas mais atuais sobre o uso de células-tronco </w:t>
      </w:r>
      <w:proofErr w:type="spellStart"/>
      <w:r>
        <w:t>mesenquimais</w:t>
      </w:r>
      <w:proofErr w:type="spellEnd"/>
      <w:r>
        <w:t xml:space="preserve"> na obstetrícia e na neonatologia veterinária, discutindo seus mecanismos de ação, as principais vias de administração empregadas, os resultados terapêuticos já relatados em lesões de órgãos reprodutivos e as perspectivas de aplicação em patologias </w:t>
      </w:r>
      <w:proofErr w:type="spellStart"/>
      <w:r>
        <w:t>perinatais</w:t>
      </w:r>
      <w:proofErr w:type="spellEnd"/>
      <w:r>
        <w:t>.</w:t>
      </w:r>
    </w:p>
    <w:p w14:paraId="446DD9AE" w14:textId="77777777" w:rsidR="00272688" w:rsidRDefault="00272688">
      <w:pPr>
        <w:rPr>
          <w:b/>
          <w:bCs/>
          <w:szCs w:val="24"/>
        </w:rPr>
      </w:pPr>
    </w:p>
    <w:p w14:paraId="4544BB15" w14:textId="77777777" w:rsidR="00272688" w:rsidRDefault="00BF7E1B">
      <w:pPr>
        <w:rPr>
          <w:b/>
          <w:bCs/>
          <w:szCs w:val="24"/>
        </w:rPr>
      </w:pPr>
      <w:r>
        <w:rPr>
          <w:b/>
          <w:bCs/>
          <w:szCs w:val="24"/>
        </w:rPr>
        <w:t>2 REFERENCIAL TEÓRICO</w:t>
      </w:r>
    </w:p>
    <w:p w14:paraId="78C9EA6B" w14:textId="77777777" w:rsidR="00272688" w:rsidRDefault="00272688">
      <w:pPr>
        <w:rPr>
          <w:b/>
          <w:bCs/>
          <w:szCs w:val="24"/>
        </w:rPr>
      </w:pPr>
    </w:p>
    <w:p w14:paraId="75330A3F" w14:textId="77777777" w:rsidR="00272688" w:rsidRDefault="00BF7E1B">
      <w:pPr>
        <w:rPr>
          <w:rFonts w:eastAsia="Calibri"/>
          <w:lang w:eastAsia="en-US"/>
        </w:rPr>
      </w:pPr>
      <w:r>
        <w:rPr>
          <w:rFonts w:eastAsia="Calibri"/>
          <w:lang w:eastAsia="en-US"/>
        </w:rPr>
        <w:t>As células-tronco possuem a notável capacidade de se diferenciar em tipos celulares especializados. As células</w:t>
      </w:r>
      <w:r>
        <w:rPr>
          <w:rFonts w:eastAsia="Calibri"/>
          <w:lang w:eastAsia="en-US"/>
        </w:rPr>
        <w:t>-</w:t>
      </w:r>
      <w:r>
        <w:rPr>
          <w:rFonts w:eastAsia="Calibri"/>
          <w:lang w:eastAsia="en-US"/>
        </w:rPr>
        <w:t xml:space="preserve">tronco </w:t>
      </w:r>
      <w:proofErr w:type="spellStart"/>
      <w:r>
        <w:rPr>
          <w:rFonts w:eastAsia="Calibri"/>
          <w:lang w:eastAsia="en-US"/>
        </w:rPr>
        <w:t>mesenquimais</w:t>
      </w:r>
      <w:proofErr w:type="spellEnd"/>
      <w:r>
        <w:rPr>
          <w:rFonts w:eastAsia="Calibri"/>
          <w:lang w:eastAsia="en-US"/>
        </w:rPr>
        <w:t xml:space="preserve"> (CTMs) estão entre as mais amplamente estudadas, oferecendo amplo potencial terapêutico devido à sua </w:t>
      </w:r>
      <w:proofErr w:type="spellStart"/>
      <w:r>
        <w:rPr>
          <w:rFonts w:eastAsia="Calibri"/>
          <w:lang w:eastAsia="en-US"/>
        </w:rPr>
        <w:t>multipotência</w:t>
      </w:r>
      <w:proofErr w:type="spellEnd"/>
      <w:r>
        <w:rPr>
          <w:rFonts w:eastAsia="Calibri"/>
          <w:lang w:eastAsia="en-US"/>
        </w:rPr>
        <w:t xml:space="preserve"> (</w:t>
      </w:r>
      <w:proofErr w:type="spellStart"/>
      <w:r>
        <w:rPr>
          <w:rFonts w:eastAsia="Calibri"/>
          <w:lang w:eastAsia="en-US"/>
        </w:rPr>
        <w:t>Prabowo</w:t>
      </w:r>
      <w:proofErr w:type="spellEnd"/>
      <w:r>
        <w:rPr>
          <w:rFonts w:eastAsia="Calibri"/>
          <w:lang w:eastAsia="en-US"/>
        </w:rPr>
        <w:t xml:space="preserve"> et al., 2025). São células com alto potencial de produzir uma grande variedade de tipos celulares. Por exemplo de origem </w:t>
      </w:r>
      <w:proofErr w:type="spellStart"/>
      <w:r>
        <w:rPr>
          <w:rFonts w:eastAsia="Calibri"/>
          <w:lang w:eastAsia="en-US"/>
        </w:rPr>
        <w:t>mesenquimal</w:t>
      </w:r>
      <w:proofErr w:type="spellEnd"/>
      <w:r>
        <w:rPr>
          <w:rFonts w:eastAsia="Calibri"/>
          <w:lang w:eastAsia="en-US"/>
        </w:rPr>
        <w:t xml:space="preserve">, como fibroblastos, </w:t>
      </w:r>
      <w:proofErr w:type="spellStart"/>
      <w:r>
        <w:rPr>
          <w:rFonts w:eastAsia="Calibri"/>
          <w:lang w:eastAsia="en-US"/>
        </w:rPr>
        <w:t>miócitos</w:t>
      </w:r>
      <w:proofErr w:type="spellEnd"/>
      <w:r>
        <w:rPr>
          <w:rFonts w:eastAsia="Calibri"/>
          <w:lang w:eastAsia="en-US"/>
        </w:rPr>
        <w:t xml:space="preserve">, </w:t>
      </w:r>
      <w:proofErr w:type="spellStart"/>
      <w:r>
        <w:rPr>
          <w:rFonts w:eastAsia="Calibri"/>
          <w:lang w:eastAsia="en-US"/>
        </w:rPr>
        <w:t>osteócitos</w:t>
      </w:r>
      <w:proofErr w:type="spellEnd"/>
      <w:r>
        <w:rPr>
          <w:rFonts w:eastAsia="Calibri"/>
          <w:lang w:eastAsia="en-US"/>
        </w:rPr>
        <w:t xml:space="preserve">, </w:t>
      </w:r>
      <w:proofErr w:type="spellStart"/>
      <w:r>
        <w:rPr>
          <w:rFonts w:eastAsia="Calibri"/>
          <w:lang w:eastAsia="en-US"/>
        </w:rPr>
        <w:t>tenócitos</w:t>
      </w:r>
      <w:proofErr w:type="spellEnd"/>
      <w:r>
        <w:rPr>
          <w:rFonts w:eastAsia="Calibri"/>
          <w:lang w:eastAsia="en-US"/>
        </w:rPr>
        <w:t>, adipócitos e outros (Leite, 2024).</w:t>
      </w:r>
    </w:p>
    <w:p w14:paraId="421D0AFF" w14:textId="77777777" w:rsidR="00272688" w:rsidRDefault="00BF7E1B">
      <w:pPr>
        <w:rPr>
          <w:rFonts w:eastAsia="Calibri"/>
          <w:lang w:eastAsia="en-US"/>
        </w:rPr>
      </w:pPr>
      <w:r>
        <w:rPr>
          <w:rFonts w:eastAsia="Calibri"/>
          <w:lang w:eastAsia="en-US"/>
        </w:rPr>
        <w:t xml:space="preserve">Essas células podem ser encontradas em uma variedade de tecidos, incluindo músculo, pele, tecido adiposo, fígado, medula óssea, sangue periférico, cordão umbilical, entre outros tecidos. </w:t>
      </w:r>
      <w:proofErr w:type="spellStart"/>
      <w:r>
        <w:rPr>
          <w:rFonts w:eastAsia="CIDFont" w:cs="Arial"/>
          <w:color w:val="000000"/>
          <w:szCs w:val="24"/>
          <w:lang w:val="en-US" w:eastAsia="zh-CN" w:bidi="ar"/>
        </w:rPr>
        <w:t>Destaca-se</w:t>
      </w:r>
      <w:proofErr w:type="spellEnd"/>
      <w:r>
        <w:rPr>
          <w:rFonts w:eastAsia="CIDFont" w:cs="Arial"/>
          <w:color w:val="000000"/>
          <w:szCs w:val="24"/>
          <w:lang w:val="en-US" w:eastAsia="zh-CN" w:bidi="ar"/>
        </w:rPr>
        <w:t xml:space="preserve"> na </w:t>
      </w:r>
      <w:proofErr w:type="spellStart"/>
      <w:r>
        <w:rPr>
          <w:rFonts w:eastAsia="CIDFont" w:cs="Arial"/>
          <w:color w:val="000000"/>
          <w:szCs w:val="24"/>
          <w:lang w:val="en-US" w:eastAsia="zh-CN" w:bidi="ar"/>
        </w:rPr>
        <w:t>medicina</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veterinária</w:t>
      </w:r>
      <w:proofErr w:type="spellEnd"/>
      <w:r>
        <w:rPr>
          <w:rFonts w:eastAsia="CIDFont" w:cs="Arial"/>
          <w:color w:val="000000"/>
          <w:szCs w:val="24"/>
          <w:lang w:val="en-US" w:eastAsia="zh-CN" w:bidi="ar"/>
        </w:rPr>
        <w:t xml:space="preserve"> o </w:t>
      </w:r>
      <w:proofErr w:type="spellStart"/>
      <w:r>
        <w:rPr>
          <w:rFonts w:eastAsia="CIDFont" w:cs="Arial"/>
          <w:color w:val="000000"/>
          <w:szCs w:val="24"/>
          <w:lang w:val="en-US" w:eastAsia="zh-CN" w:bidi="ar"/>
        </w:rPr>
        <w:t>tecido</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adiposo</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por</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ter</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uma</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quantidade</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abundante</w:t>
      </w:r>
      <w:proofErr w:type="spellEnd"/>
      <w:r>
        <w:rPr>
          <w:rFonts w:eastAsia="CIDFont" w:cs="Arial"/>
          <w:color w:val="000000"/>
          <w:szCs w:val="24"/>
          <w:lang w:val="en-US" w:eastAsia="zh-CN" w:bidi="ar"/>
        </w:rPr>
        <w:t xml:space="preserve"> de </w:t>
      </w:r>
      <w:proofErr w:type="spellStart"/>
      <w:r>
        <w:rPr>
          <w:rFonts w:eastAsia="CIDFont" w:cs="Arial"/>
          <w:color w:val="000000"/>
          <w:szCs w:val="24"/>
          <w:lang w:val="en-US" w:eastAsia="zh-CN" w:bidi="ar"/>
        </w:rPr>
        <w:t>células</w:t>
      </w:r>
      <w:proofErr w:type="spellEnd"/>
      <w:r>
        <w:rPr>
          <w:rFonts w:eastAsia="CIDFont" w:cs="Arial"/>
          <w:color w:val="000000"/>
          <w:szCs w:val="24"/>
          <w:lang w:val="en-US" w:eastAsia="zh-CN" w:bidi="ar"/>
        </w:rPr>
        <w:t xml:space="preserve"> e </w:t>
      </w:r>
      <w:proofErr w:type="spellStart"/>
      <w:r>
        <w:rPr>
          <w:rFonts w:eastAsia="CIDFont" w:cs="Arial"/>
          <w:color w:val="000000"/>
          <w:szCs w:val="24"/>
          <w:lang w:val="en-US" w:eastAsia="zh-CN" w:bidi="ar"/>
        </w:rPr>
        <w:t>pela</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sua</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facilidade</w:t>
      </w:r>
      <w:proofErr w:type="spellEnd"/>
      <w:r>
        <w:rPr>
          <w:rFonts w:eastAsia="CIDFont" w:cs="Arial"/>
          <w:color w:val="000000"/>
          <w:szCs w:val="24"/>
          <w:lang w:val="en-US" w:eastAsia="zh-CN" w:bidi="ar"/>
        </w:rPr>
        <w:t xml:space="preserve"> de </w:t>
      </w:r>
      <w:proofErr w:type="spellStart"/>
      <w:r>
        <w:rPr>
          <w:rFonts w:eastAsia="CIDFont" w:cs="Arial"/>
          <w:color w:val="000000"/>
          <w:szCs w:val="24"/>
          <w:lang w:val="en-US" w:eastAsia="zh-CN" w:bidi="ar"/>
        </w:rPr>
        <w:t>obtenção</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causando</w:t>
      </w:r>
      <w:proofErr w:type="spellEnd"/>
      <w:r>
        <w:rPr>
          <w:rFonts w:eastAsia="CIDFont" w:cs="Arial"/>
          <w:color w:val="000000"/>
          <w:szCs w:val="24"/>
          <w:lang w:val="en-US" w:eastAsia="zh-CN" w:bidi="ar"/>
        </w:rPr>
        <w:t xml:space="preserve"> o </w:t>
      </w:r>
      <w:proofErr w:type="spellStart"/>
      <w:r>
        <w:rPr>
          <w:rFonts w:eastAsia="CIDFont" w:cs="Arial"/>
          <w:color w:val="000000"/>
          <w:szCs w:val="24"/>
          <w:lang w:val="en-US" w:eastAsia="zh-CN" w:bidi="ar"/>
        </w:rPr>
        <w:t>mínimo</w:t>
      </w:r>
      <w:proofErr w:type="spellEnd"/>
      <w:r>
        <w:rPr>
          <w:rFonts w:eastAsia="CIDFont" w:cs="Arial"/>
          <w:color w:val="000000"/>
          <w:szCs w:val="24"/>
          <w:lang w:val="en-US" w:eastAsia="zh-CN" w:bidi="ar"/>
        </w:rPr>
        <w:t xml:space="preserve"> de </w:t>
      </w:r>
      <w:proofErr w:type="spellStart"/>
      <w:r>
        <w:rPr>
          <w:rFonts w:eastAsia="CIDFont" w:cs="Arial"/>
          <w:color w:val="000000"/>
          <w:szCs w:val="24"/>
          <w:lang w:val="en-US" w:eastAsia="zh-CN" w:bidi="ar"/>
        </w:rPr>
        <w:t>desconforto</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ao</w:t>
      </w:r>
      <w:proofErr w:type="spellEnd"/>
      <w:r>
        <w:rPr>
          <w:rFonts w:eastAsia="CIDFont" w:cs="Arial"/>
          <w:color w:val="000000"/>
          <w:szCs w:val="24"/>
          <w:lang w:eastAsia="zh-CN" w:bidi="ar"/>
        </w:rPr>
        <w:t xml:space="preserve"> </w:t>
      </w:r>
      <w:r>
        <w:rPr>
          <w:rFonts w:eastAsia="CIDFont" w:cs="Arial"/>
          <w:color w:val="000000"/>
          <w:szCs w:val="24"/>
          <w:lang w:val="en-US" w:eastAsia="zh-CN" w:bidi="ar"/>
        </w:rPr>
        <w:t xml:space="preserve">animal na </w:t>
      </w:r>
      <w:proofErr w:type="spellStart"/>
      <w:r>
        <w:rPr>
          <w:rFonts w:eastAsia="CIDFont" w:cs="Arial"/>
          <w:color w:val="000000"/>
          <w:szCs w:val="24"/>
          <w:lang w:val="en-US" w:eastAsia="zh-CN" w:bidi="ar"/>
        </w:rPr>
        <w:t>sua</w:t>
      </w:r>
      <w:proofErr w:type="spellEnd"/>
      <w:r>
        <w:rPr>
          <w:rFonts w:eastAsia="CIDFont" w:cs="Arial"/>
          <w:color w:val="000000"/>
          <w:szCs w:val="24"/>
          <w:lang w:val="en-US" w:eastAsia="zh-CN" w:bidi="ar"/>
        </w:rPr>
        <w:t xml:space="preserve"> </w:t>
      </w:r>
      <w:proofErr w:type="spellStart"/>
      <w:r>
        <w:rPr>
          <w:rFonts w:eastAsia="CIDFont" w:cs="Arial"/>
          <w:color w:val="000000"/>
          <w:szCs w:val="24"/>
          <w:lang w:val="en-US" w:eastAsia="zh-CN" w:bidi="ar"/>
        </w:rPr>
        <w:t>retirada</w:t>
      </w:r>
      <w:proofErr w:type="spellEnd"/>
      <w:r>
        <w:rPr>
          <w:rFonts w:eastAsia="Calibri"/>
          <w:lang w:eastAsia="en-US"/>
        </w:rPr>
        <w:t xml:space="preserve"> (Leite, 2024)</w:t>
      </w:r>
    </w:p>
    <w:p w14:paraId="6F3BB911" w14:textId="77777777" w:rsidR="00272688" w:rsidRDefault="00BF7E1B">
      <w:pPr>
        <w:rPr>
          <w:rFonts w:cs="Arial"/>
        </w:rPr>
      </w:pPr>
      <w:r>
        <w:rPr>
          <w:rFonts w:eastAsia="SimSun" w:cs="Arial"/>
          <w:color w:val="000000"/>
          <w:szCs w:val="24"/>
          <w:lang w:eastAsia="zh-CN" w:bidi="ar"/>
        </w:rPr>
        <w:t>As CTMs</w:t>
      </w:r>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possuem</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propriedades</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tróficas</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envolvendo</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secreção</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fatores</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crescimento</w:t>
      </w:r>
      <w:proofErr w:type="spellEnd"/>
      <w:r>
        <w:rPr>
          <w:rFonts w:eastAsia="SimSun" w:cs="Arial"/>
          <w:color w:val="000000"/>
          <w:szCs w:val="24"/>
          <w:lang w:val="en-US" w:eastAsia="zh-CN" w:bidi="ar"/>
        </w:rPr>
        <w:t xml:space="preserve"> e </w:t>
      </w:r>
      <w:proofErr w:type="spellStart"/>
      <w:r>
        <w:rPr>
          <w:rFonts w:eastAsia="SimSun" w:cs="Arial"/>
          <w:color w:val="000000"/>
          <w:szCs w:val="24"/>
          <w:lang w:val="en-US" w:eastAsia="zh-CN" w:bidi="ar"/>
        </w:rPr>
        <w:t>citocinas</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capazes</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induzir</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proliferação</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celular</w:t>
      </w:r>
      <w:proofErr w:type="spellEnd"/>
      <w:r>
        <w:rPr>
          <w:rFonts w:eastAsia="SimSun" w:cs="Arial"/>
          <w:color w:val="000000"/>
          <w:szCs w:val="24"/>
          <w:lang w:val="en-US" w:eastAsia="zh-CN" w:bidi="ar"/>
        </w:rPr>
        <w:t xml:space="preserve"> e </w:t>
      </w:r>
      <w:proofErr w:type="spellStart"/>
      <w:r>
        <w:rPr>
          <w:rFonts w:eastAsia="SimSun" w:cs="Arial"/>
          <w:color w:val="000000"/>
          <w:szCs w:val="24"/>
          <w:lang w:val="en-US" w:eastAsia="zh-CN" w:bidi="ar"/>
        </w:rPr>
        <w:t>angiogênese</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além</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reduzir</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formação</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tecido</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cicatrizante</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sua</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capacidade</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anti-inflamatória</w:t>
      </w:r>
      <w:proofErr w:type="spellEnd"/>
      <w:r>
        <w:rPr>
          <w:rFonts w:eastAsia="SimSun" w:cs="Arial"/>
          <w:color w:val="000000"/>
          <w:szCs w:val="24"/>
          <w:lang w:val="en-US" w:eastAsia="zh-CN" w:bidi="ar"/>
        </w:rPr>
        <w:t xml:space="preserve"> e </w:t>
      </w:r>
      <w:proofErr w:type="spellStart"/>
      <w:r>
        <w:rPr>
          <w:rFonts w:eastAsia="SimSun" w:cs="Arial"/>
          <w:color w:val="000000"/>
          <w:szCs w:val="24"/>
          <w:lang w:val="en-US" w:eastAsia="zh-CN" w:bidi="ar"/>
        </w:rPr>
        <w:t>imunomoduladora</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também</w:t>
      </w:r>
      <w:proofErr w:type="spellEnd"/>
      <w:r>
        <w:rPr>
          <w:rFonts w:eastAsia="SimSun" w:cs="Arial"/>
          <w:color w:val="000000"/>
          <w:szCs w:val="24"/>
          <w:lang w:val="en-US" w:eastAsia="zh-CN" w:bidi="ar"/>
        </w:rPr>
        <w:t xml:space="preserve"> se </w:t>
      </w:r>
      <w:proofErr w:type="spellStart"/>
      <w:r>
        <w:rPr>
          <w:rFonts w:eastAsia="SimSun" w:cs="Arial"/>
          <w:color w:val="000000"/>
          <w:szCs w:val="24"/>
          <w:lang w:val="en-US" w:eastAsia="zh-CN" w:bidi="ar"/>
        </w:rPr>
        <w:t>destaca</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pois</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partir</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mecanismos</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parácrinos</w:t>
      </w:r>
      <w:proofErr w:type="spellEnd"/>
      <w:r>
        <w:rPr>
          <w:rFonts w:eastAsia="SimSun" w:cs="Arial"/>
          <w:color w:val="000000"/>
          <w:szCs w:val="24"/>
          <w:lang w:val="en-US" w:eastAsia="zh-CN" w:bidi="ar"/>
        </w:rPr>
        <w:t>, as CTM's</w:t>
      </w:r>
      <w:r>
        <w:rPr>
          <w:rFonts w:eastAsia="SimSun" w:cs="Arial"/>
          <w:color w:val="000000"/>
          <w:szCs w:val="24"/>
          <w:lang w:eastAsia="zh-CN" w:bidi="ar"/>
        </w:rPr>
        <w:t xml:space="preserve"> </w:t>
      </w:r>
      <w:proofErr w:type="spellStart"/>
      <w:r>
        <w:rPr>
          <w:rFonts w:eastAsia="SimSun" w:cs="Arial"/>
          <w:color w:val="000000"/>
          <w:szCs w:val="24"/>
          <w:lang w:val="en-US" w:eastAsia="zh-CN" w:bidi="ar"/>
        </w:rPr>
        <w:t>secretam</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fatores</w:t>
      </w:r>
      <w:proofErr w:type="spellEnd"/>
      <w:r>
        <w:rPr>
          <w:rFonts w:eastAsia="SimSun" w:cs="Arial"/>
          <w:color w:val="000000"/>
          <w:szCs w:val="24"/>
          <w:lang w:val="en-US" w:eastAsia="zh-CN" w:bidi="ar"/>
        </w:rPr>
        <w:t xml:space="preserve"> de </w:t>
      </w:r>
      <w:proofErr w:type="spellStart"/>
      <w:r>
        <w:rPr>
          <w:rFonts w:eastAsia="SimSun" w:cs="Arial"/>
          <w:color w:val="000000"/>
          <w:szCs w:val="24"/>
          <w:lang w:val="en-US" w:eastAsia="zh-CN" w:bidi="ar"/>
        </w:rPr>
        <w:t>crescimento</w:t>
      </w:r>
      <w:proofErr w:type="spellEnd"/>
      <w:r>
        <w:rPr>
          <w:rFonts w:eastAsia="SimSun" w:cs="Arial"/>
          <w:color w:val="000000"/>
          <w:szCs w:val="24"/>
          <w:lang w:val="en-US" w:eastAsia="zh-CN" w:bidi="ar"/>
        </w:rPr>
        <w:t xml:space="preserve"> e </w:t>
      </w:r>
      <w:proofErr w:type="spellStart"/>
      <w:r>
        <w:rPr>
          <w:rFonts w:eastAsia="SimSun" w:cs="Arial"/>
          <w:color w:val="000000"/>
          <w:szCs w:val="24"/>
          <w:lang w:val="en-US" w:eastAsia="zh-CN" w:bidi="ar"/>
        </w:rPr>
        <w:t>citocinas</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anti-inflamatórias</w:t>
      </w:r>
      <w:proofErr w:type="spellEnd"/>
      <w:r>
        <w:rPr>
          <w:rFonts w:eastAsia="SimSun" w:cs="Arial"/>
          <w:color w:val="000000"/>
          <w:szCs w:val="24"/>
          <w:lang w:val="en-US" w:eastAsia="zh-CN" w:bidi="ar"/>
        </w:rPr>
        <w:t xml:space="preserve"> a </w:t>
      </w:r>
      <w:proofErr w:type="spellStart"/>
      <w:r>
        <w:rPr>
          <w:rFonts w:eastAsia="SimSun" w:cs="Arial"/>
          <w:color w:val="000000"/>
          <w:szCs w:val="24"/>
          <w:lang w:val="en-US" w:eastAsia="zh-CN" w:bidi="ar"/>
        </w:rPr>
        <w:t>fim</w:t>
      </w:r>
      <w:proofErr w:type="spellEnd"/>
      <w:r>
        <w:rPr>
          <w:rFonts w:eastAsia="SimSun" w:cs="Arial"/>
          <w:color w:val="000000"/>
          <w:szCs w:val="24"/>
          <w:lang w:val="en-US" w:eastAsia="zh-CN" w:bidi="ar"/>
        </w:rPr>
        <w:t xml:space="preserve"> de reverter o </w:t>
      </w:r>
      <w:proofErr w:type="spellStart"/>
      <w:r>
        <w:rPr>
          <w:rFonts w:eastAsia="SimSun" w:cs="Arial"/>
          <w:color w:val="000000"/>
          <w:szCs w:val="24"/>
          <w:lang w:val="en-US" w:eastAsia="zh-CN" w:bidi="ar"/>
        </w:rPr>
        <w:t>sinal</w:t>
      </w:r>
      <w:proofErr w:type="spellEnd"/>
      <w:r>
        <w:rPr>
          <w:rFonts w:eastAsia="SimSun" w:cs="Arial"/>
          <w:color w:val="000000"/>
          <w:szCs w:val="24"/>
          <w:lang w:val="en-US" w:eastAsia="zh-CN" w:bidi="ar"/>
        </w:rPr>
        <w:t xml:space="preserve"> </w:t>
      </w:r>
      <w:proofErr w:type="spellStart"/>
      <w:r>
        <w:rPr>
          <w:rFonts w:eastAsia="SimSun" w:cs="Arial"/>
          <w:color w:val="000000"/>
          <w:szCs w:val="24"/>
          <w:lang w:val="en-US" w:eastAsia="zh-CN" w:bidi="ar"/>
        </w:rPr>
        <w:t>inflamatório</w:t>
      </w:r>
      <w:proofErr w:type="spellEnd"/>
      <w:r>
        <w:rPr>
          <w:rFonts w:eastAsia="SimSun" w:cs="Arial"/>
          <w:color w:val="000000"/>
          <w:szCs w:val="24"/>
          <w:lang w:eastAsia="zh-CN" w:bidi="ar"/>
        </w:rPr>
        <w:t xml:space="preserve"> (</w:t>
      </w:r>
      <w:r>
        <w:rPr>
          <w:rFonts w:eastAsia="SimSun" w:cs="Arial"/>
          <w:color w:val="000000"/>
          <w:szCs w:val="24"/>
          <w:lang w:val="en-US" w:eastAsia="zh-CN" w:bidi="ar"/>
        </w:rPr>
        <w:t>Lima et al.</w:t>
      </w:r>
      <w:r>
        <w:rPr>
          <w:rFonts w:eastAsia="SimSun" w:cs="Arial"/>
          <w:color w:val="000000"/>
          <w:szCs w:val="24"/>
          <w:lang w:eastAsia="zh-CN" w:bidi="ar"/>
        </w:rPr>
        <w:t>,</w:t>
      </w:r>
      <w:r>
        <w:rPr>
          <w:rFonts w:eastAsia="SimSun" w:cs="Arial"/>
          <w:color w:val="000000"/>
          <w:szCs w:val="24"/>
          <w:lang w:val="en-US" w:eastAsia="zh-CN" w:bidi="ar"/>
        </w:rPr>
        <w:t>2021)</w:t>
      </w:r>
      <w:r>
        <w:rPr>
          <w:rFonts w:eastAsia="SimSun" w:cs="Arial"/>
          <w:color w:val="000000"/>
          <w:szCs w:val="24"/>
          <w:lang w:eastAsia="zh-CN" w:bidi="ar"/>
        </w:rPr>
        <w:t>.</w:t>
      </w:r>
    </w:p>
    <w:p w14:paraId="6137B89C" w14:textId="77777777" w:rsidR="00272688" w:rsidRDefault="00BF7E1B">
      <w:pPr>
        <w:rPr>
          <w:b/>
          <w:bCs/>
          <w:szCs w:val="24"/>
        </w:rPr>
      </w:pPr>
      <w:r>
        <w:rPr>
          <w:b/>
          <w:bCs/>
          <w:szCs w:val="24"/>
        </w:rPr>
        <w:t xml:space="preserve"> </w:t>
      </w:r>
    </w:p>
    <w:p w14:paraId="31B2270B" w14:textId="77777777" w:rsidR="00272688" w:rsidRDefault="00BF7E1B">
      <w:pPr>
        <w:ind w:firstLine="0"/>
        <w:rPr>
          <w:b/>
          <w:bCs/>
          <w:szCs w:val="24"/>
        </w:rPr>
      </w:pPr>
      <w:r>
        <w:rPr>
          <w:b/>
          <w:bCs/>
          <w:szCs w:val="24"/>
        </w:rPr>
        <w:t>3 OBJETIVOS</w:t>
      </w:r>
    </w:p>
    <w:p w14:paraId="1A9099D4" w14:textId="77777777" w:rsidR="00272688" w:rsidRDefault="00272688">
      <w:pPr>
        <w:ind w:firstLine="0"/>
        <w:rPr>
          <w:szCs w:val="24"/>
        </w:rPr>
      </w:pPr>
    </w:p>
    <w:p w14:paraId="386A22C6" w14:textId="77777777" w:rsidR="00272688" w:rsidRDefault="00BF7E1B">
      <w:r>
        <w:t xml:space="preserve">O presente artigo tem como objetivo analisar, a partir da literatura científica disponível, os principais aspectos relacionados ao uso de células tronco </w:t>
      </w:r>
      <w:proofErr w:type="spellStart"/>
      <w:r>
        <w:t>mesenquimais</w:t>
      </w:r>
      <w:proofErr w:type="spellEnd"/>
      <w:r>
        <w:t xml:space="preserve"> obstetrícia e neonatologia veterinária, com ênfase em suas utilizações terapêuticas no tratamento e na regeneração de lesões dos órgãos reprodutivos e de patologias </w:t>
      </w:r>
      <w:proofErr w:type="spellStart"/>
      <w:r>
        <w:t>perineais</w:t>
      </w:r>
      <w:proofErr w:type="spellEnd"/>
      <w:r>
        <w:t xml:space="preserve">. Destacando seus efeitos anti-inflamatórios, </w:t>
      </w:r>
      <w:proofErr w:type="spellStart"/>
      <w:r>
        <w:t>imunomoduladores</w:t>
      </w:r>
      <w:proofErr w:type="spellEnd"/>
      <w:r>
        <w:t xml:space="preserve"> e regenerativos, discutindo estratégias terapêuticas utilizadas na medicina veterinária, sua aplicação clínica, benefícios, limitações e perspectivas futuras para a recuperação tecidual e a preservação da função reprodutiva dos animais.</w:t>
      </w:r>
    </w:p>
    <w:p w14:paraId="5AC4C7B7" w14:textId="77777777" w:rsidR="00272688" w:rsidRDefault="00272688">
      <w:pPr>
        <w:rPr>
          <w:b/>
          <w:bCs/>
          <w:szCs w:val="24"/>
        </w:rPr>
      </w:pPr>
    </w:p>
    <w:p w14:paraId="4A2EA3C0" w14:textId="77777777" w:rsidR="00272688" w:rsidRDefault="00BF7E1B">
      <w:pPr>
        <w:ind w:firstLine="0"/>
        <w:rPr>
          <w:b/>
          <w:bCs/>
          <w:szCs w:val="24"/>
        </w:rPr>
      </w:pPr>
      <w:r>
        <w:rPr>
          <w:b/>
          <w:bCs/>
          <w:szCs w:val="24"/>
        </w:rPr>
        <w:t>4 MÉTODO</w:t>
      </w:r>
    </w:p>
    <w:p w14:paraId="7A4CE8A5" w14:textId="77777777" w:rsidR="00272688" w:rsidRDefault="00272688">
      <w:pPr>
        <w:ind w:firstLine="0"/>
        <w:rPr>
          <w:b/>
          <w:bCs/>
          <w:szCs w:val="24"/>
        </w:rPr>
      </w:pPr>
    </w:p>
    <w:p w14:paraId="7385F15B" w14:textId="77777777" w:rsidR="00272688" w:rsidRDefault="00BF7E1B">
      <w:r>
        <w:t xml:space="preserve">O presente artigo trata-se de uma revisão bibliográfica narrativa, de caráter descritivo e integrativo, realizada com base em materiais obtidos de fontes bibliográficas e artigos científicos, com o objetivo de reunir evidências científicas recentes sobre a aplicação de células-tronco </w:t>
      </w:r>
      <w:proofErr w:type="spellStart"/>
      <w:r>
        <w:t>mesenquimais</w:t>
      </w:r>
      <w:proofErr w:type="spellEnd"/>
      <w:r>
        <w:t xml:space="preserve"> (CTM</w:t>
      </w:r>
      <w:r>
        <w:t>s</w:t>
      </w:r>
      <w:r>
        <w:t>) na obstetrícia e neonatologia veterinária.</w:t>
      </w:r>
    </w:p>
    <w:p w14:paraId="74893427" w14:textId="77777777" w:rsidR="00272688" w:rsidRDefault="00BF7E1B">
      <w:r>
        <w:t xml:space="preserve">Como termos de busca foram empregadas as palavras-chave: “Células-tronco </w:t>
      </w:r>
      <w:proofErr w:type="spellStart"/>
      <w:r>
        <w:t>mesenquimais</w:t>
      </w:r>
      <w:proofErr w:type="spellEnd"/>
      <w:r>
        <w:t>”; “Reprodução animal”; “Obstetrícia veterinária”; “Neonatologia veterinária”; “</w:t>
      </w:r>
      <w:proofErr w:type="spellStart"/>
      <w:r>
        <w:t>Endometrite</w:t>
      </w:r>
      <w:proofErr w:type="spellEnd"/>
      <w:r>
        <w:t xml:space="preserve">”; “Disfunção </w:t>
      </w:r>
      <w:proofErr w:type="spellStart"/>
      <w:r>
        <w:t>ovariana</w:t>
      </w:r>
      <w:proofErr w:type="spellEnd"/>
      <w:r>
        <w:t>”; “Terapia celular” e “Medicina regenerativa”.  A busca bibliográfica foi realizada nas bases de dados PubMed/</w:t>
      </w:r>
      <w:proofErr w:type="spellStart"/>
      <w:r>
        <w:t>MEDLINE</w:t>
      </w:r>
      <w:proofErr w:type="spellEnd"/>
      <w:r>
        <w:t xml:space="preserve">, </w:t>
      </w:r>
      <w:proofErr w:type="spellStart"/>
      <w:r>
        <w:t>Scopus</w:t>
      </w:r>
      <w:proofErr w:type="spellEnd"/>
      <w:r>
        <w:t xml:space="preserve">, </w:t>
      </w:r>
      <w:proofErr w:type="spellStart"/>
      <w:r>
        <w:t>ScienceDirect</w:t>
      </w:r>
      <w:proofErr w:type="spellEnd"/>
      <w:r>
        <w:t xml:space="preserve">, </w:t>
      </w:r>
      <w:proofErr w:type="spellStart"/>
      <w:r>
        <w:t>SciELO</w:t>
      </w:r>
      <w:proofErr w:type="spellEnd"/>
      <w:r>
        <w:t xml:space="preserve"> e Google Acadêmico.</w:t>
      </w:r>
    </w:p>
    <w:p w14:paraId="4EA2C55C" w14:textId="77777777" w:rsidR="00272688" w:rsidRDefault="00BF7E1B">
      <w:r>
        <w:rPr>
          <w:b/>
        </w:rPr>
        <w:t>Como critério de inclusão:</w:t>
      </w:r>
    </w:p>
    <w:p w14:paraId="557A4ABD" w14:textId="77777777" w:rsidR="00272688" w:rsidRDefault="00BF7E1B">
      <w:r>
        <w:rPr>
          <w:b/>
        </w:rPr>
        <w:t>1. Temática:</w:t>
      </w:r>
      <w:r>
        <w:t xml:space="preserve"> Estudos que abordassem a aplicação de células-tronco </w:t>
      </w:r>
      <w:proofErr w:type="spellStart"/>
      <w:r>
        <w:t>mesenquimais</w:t>
      </w:r>
      <w:proofErr w:type="spellEnd"/>
      <w:r>
        <w:t xml:space="preserve"> em distúrbios reprodutivos, obstétricos ou </w:t>
      </w:r>
      <w:proofErr w:type="spellStart"/>
      <w:r>
        <w:t>perinatais</w:t>
      </w:r>
      <w:proofErr w:type="spellEnd"/>
      <w:r>
        <w:t>, com enfoque em animais domésticos ou modelos experimentais relevantes;</w:t>
      </w:r>
    </w:p>
    <w:p w14:paraId="4F921937" w14:textId="77777777" w:rsidR="00272688" w:rsidRDefault="00BF7E1B">
      <w:r>
        <w:rPr>
          <w:b/>
        </w:rPr>
        <w:t>2. Disponibilidade:</w:t>
      </w:r>
      <w:r>
        <w:t xml:space="preserve"> Artigos com texto completo disponível em português, inglês ou espanhol;</w:t>
      </w:r>
    </w:p>
    <w:p w14:paraId="32DE23AE" w14:textId="77777777" w:rsidR="00272688" w:rsidRDefault="00BF7E1B">
      <w:r>
        <w:rPr>
          <w:b/>
        </w:rPr>
        <w:t>3. Período:</w:t>
      </w:r>
      <w:r>
        <w:t xml:space="preserve"> Publicações datadas entre 2020 e 2026;</w:t>
      </w:r>
    </w:p>
    <w:p w14:paraId="0F0B95BE" w14:textId="77777777" w:rsidR="00272688" w:rsidRDefault="00BF7E1B">
      <w:r>
        <w:rPr>
          <w:b/>
        </w:rPr>
        <w:t>4. Tipo de estudo:</w:t>
      </w:r>
      <w:r>
        <w:t xml:space="preserve"> Artigos originais, revisões narrativas ou sistemáticas e ensaios clínicos ou pré-clínicos revisados por pares.</w:t>
      </w:r>
    </w:p>
    <w:p w14:paraId="4A7C5118" w14:textId="77777777" w:rsidR="00272688" w:rsidRDefault="00BF7E1B">
      <w:pPr>
        <w:rPr>
          <w:b/>
        </w:rPr>
      </w:pPr>
      <w:r>
        <w:rPr>
          <w:b/>
        </w:rPr>
        <w:t>Como critério de exclusão:</w:t>
      </w:r>
    </w:p>
    <w:p w14:paraId="1E3FF2F7" w14:textId="77777777" w:rsidR="00272688" w:rsidRDefault="00BF7E1B">
      <w:r>
        <w:rPr>
          <w:b/>
        </w:rPr>
        <w:t>1. Temática:</w:t>
      </w:r>
      <w:r>
        <w:t xml:space="preserve"> Artigos que não abordassem a aplicação de células-tronco </w:t>
      </w:r>
      <w:proofErr w:type="spellStart"/>
      <w:r>
        <w:t>mesenquimais</w:t>
      </w:r>
      <w:proofErr w:type="spellEnd"/>
      <w:r>
        <w:t xml:space="preserve"> na saúde reprodutiva, obstétrica ou neonatal;</w:t>
      </w:r>
    </w:p>
    <w:p w14:paraId="1658C121" w14:textId="77777777" w:rsidR="00272688" w:rsidRDefault="00BF7E1B">
      <w:r>
        <w:rPr>
          <w:b/>
        </w:rPr>
        <w:t>2. Período:</w:t>
      </w:r>
      <w:r>
        <w:t xml:space="preserve"> Publicações anteriores a 2020, exceto aquelas utilizadas pontualmente como referências históricas sobre a biologia das CTM</w:t>
      </w:r>
      <w:r>
        <w:t>s</w:t>
      </w:r>
      <w:r>
        <w:t>;</w:t>
      </w:r>
    </w:p>
    <w:p w14:paraId="65F5C8D5" w14:textId="77777777" w:rsidR="00272688" w:rsidRDefault="00BF7E1B">
      <w:r>
        <w:rPr>
          <w:b/>
        </w:rPr>
        <w:t>3. Disponibilidade:</w:t>
      </w:r>
      <w:r>
        <w:t xml:space="preserve"> Resumos de congressos ou estudos sem dados suficientes para análise;</w:t>
      </w:r>
    </w:p>
    <w:p w14:paraId="212675E9" w14:textId="77777777" w:rsidR="00272688" w:rsidRDefault="00BF7E1B">
      <w:r>
        <w:t xml:space="preserve">Os dados obtidos foram organizados em três eixos principais: mecanismos biológicos e </w:t>
      </w:r>
      <w:proofErr w:type="spellStart"/>
      <w:r>
        <w:t>imunomoduladores</w:t>
      </w:r>
      <w:proofErr w:type="spellEnd"/>
      <w:r>
        <w:t xml:space="preserve"> das CTM</w:t>
      </w:r>
      <w:r>
        <w:t>s</w:t>
      </w:r>
      <w:r>
        <w:t xml:space="preserve">, aplicações terapêuticas em órgãos reprodutivos e perspectivas de utilização em patologias </w:t>
      </w:r>
      <w:proofErr w:type="spellStart"/>
      <w:r>
        <w:t>perinatais</w:t>
      </w:r>
      <w:proofErr w:type="spellEnd"/>
      <w:r>
        <w:t xml:space="preserve"> e neonatais.</w:t>
      </w:r>
    </w:p>
    <w:p w14:paraId="5B864003" w14:textId="77777777" w:rsidR="00272688" w:rsidRDefault="00272688">
      <w:pPr>
        <w:rPr>
          <w:b/>
          <w:bCs/>
          <w:szCs w:val="24"/>
        </w:rPr>
      </w:pPr>
    </w:p>
    <w:p w14:paraId="4852A129" w14:textId="77777777" w:rsidR="00272688" w:rsidRDefault="00BF7E1B">
      <w:pPr>
        <w:ind w:firstLine="0"/>
        <w:rPr>
          <w:b/>
          <w:bCs/>
          <w:szCs w:val="24"/>
        </w:rPr>
      </w:pPr>
      <w:r>
        <w:rPr>
          <w:b/>
          <w:bCs/>
          <w:szCs w:val="24"/>
        </w:rPr>
        <w:t>5 RESULTADOS E DISCUSSÃO</w:t>
      </w:r>
    </w:p>
    <w:p w14:paraId="24FD7537" w14:textId="77777777" w:rsidR="00272688" w:rsidRDefault="00272688">
      <w:pPr>
        <w:ind w:firstLine="0"/>
        <w:rPr>
          <w:b/>
          <w:bCs/>
          <w:szCs w:val="24"/>
        </w:rPr>
      </w:pPr>
    </w:p>
    <w:p w14:paraId="2A869839" w14:textId="77777777" w:rsidR="00272688" w:rsidRDefault="00BF7E1B">
      <w:pPr>
        <w:rPr>
          <w:bCs/>
        </w:rPr>
      </w:pPr>
      <w:r>
        <w:rPr>
          <w:bCs/>
        </w:rPr>
        <w:t xml:space="preserve">Os estudos analisados demonstraram que as células-tronco </w:t>
      </w:r>
      <w:proofErr w:type="spellStart"/>
      <w:r>
        <w:rPr>
          <w:bCs/>
        </w:rPr>
        <w:t>mesenquimais</w:t>
      </w:r>
      <w:proofErr w:type="spellEnd"/>
      <w:r>
        <w:rPr>
          <w:bCs/>
        </w:rPr>
        <w:t xml:space="preserve"> (CTMs) aplicada na medicina regenerativa veterinária vem tendo promissores restados, principalmente por conta de sua capacidade de autor renovação, diferenciação e atuação no processo de reparação tecidual.  </w:t>
      </w:r>
      <w:proofErr w:type="spellStart"/>
      <w:r>
        <w:rPr>
          <w:bCs/>
        </w:rPr>
        <w:t>Amanatidis</w:t>
      </w:r>
      <w:proofErr w:type="spellEnd"/>
      <w:r>
        <w:rPr>
          <w:bCs/>
        </w:rPr>
        <w:t xml:space="preserve"> e Mendes (2025) destacam que as CTMs também participam da modulação da resposta inflamatória e da </w:t>
      </w:r>
      <w:proofErr w:type="spellStart"/>
      <w:r>
        <w:rPr>
          <w:bCs/>
        </w:rPr>
        <w:t>angiogênese</w:t>
      </w:r>
      <w:proofErr w:type="spellEnd"/>
      <w:r>
        <w:rPr>
          <w:bCs/>
        </w:rPr>
        <w:t xml:space="preserve">, agindo na liberação de fatores de crescimento e </w:t>
      </w:r>
      <w:proofErr w:type="spellStart"/>
      <w:r>
        <w:rPr>
          <w:bCs/>
        </w:rPr>
        <w:t>citocinas</w:t>
      </w:r>
      <w:proofErr w:type="spellEnd"/>
      <w:r>
        <w:rPr>
          <w:bCs/>
        </w:rPr>
        <w:t xml:space="preserve">, melhorando na recuperação de tecidos lesionados. </w:t>
      </w:r>
    </w:p>
    <w:p w14:paraId="088A8300" w14:textId="77777777" w:rsidR="00272688" w:rsidRDefault="00BF7E1B">
      <w:pPr>
        <w:rPr>
          <w:bCs/>
        </w:rPr>
      </w:pPr>
      <w:r>
        <w:rPr>
          <w:bCs/>
        </w:rPr>
        <w:t xml:space="preserve">Na reprodução animal, Oliveira et al. (2024) e </w:t>
      </w:r>
      <w:proofErr w:type="spellStart"/>
      <w:r>
        <w:rPr>
          <w:bCs/>
        </w:rPr>
        <w:t>Prabowo</w:t>
      </w:r>
      <w:proofErr w:type="spellEnd"/>
      <w:r>
        <w:rPr>
          <w:bCs/>
        </w:rPr>
        <w:t xml:space="preserve"> et al. (2025) relatam resultados favoráveis quando relacionado à recuperação da função </w:t>
      </w:r>
      <w:proofErr w:type="spellStart"/>
      <w:r>
        <w:rPr>
          <w:bCs/>
        </w:rPr>
        <w:t>ovariana</w:t>
      </w:r>
      <w:proofErr w:type="spellEnd"/>
      <w:r>
        <w:rPr>
          <w:bCs/>
        </w:rPr>
        <w:t xml:space="preserve">, desenvolvimento folicular e regeneração dos tecidos uterinos. Sendo relacionados principalmente pela capacidade das CTMs de migrar para regiões lesionadas e liberar fatores bioativos que auxiliam na redução da inflamação, </w:t>
      </w:r>
      <w:proofErr w:type="spellStart"/>
      <w:r>
        <w:rPr>
          <w:bCs/>
        </w:rPr>
        <w:t>angiogênese</w:t>
      </w:r>
      <w:proofErr w:type="spellEnd"/>
      <w:r>
        <w:rPr>
          <w:bCs/>
        </w:rPr>
        <w:t xml:space="preserve"> e regeneração celular. Assim à terapia celular tem grande potencial para auxiliar no tratamento de alterações que comprometem a eficiência reprodutiva.</w:t>
      </w:r>
    </w:p>
    <w:p w14:paraId="44D044A2" w14:textId="77777777" w:rsidR="00272688" w:rsidRDefault="00BF7E1B">
      <w:pPr>
        <w:rPr>
          <w:bCs/>
        </w:rPr>
      </w:pPr>
      <w:r>
        <w:rPr>
          <w:bCs/>
        </w:rPr>
        <w:t xml:space="preserve">No estudo realizado por </w:t>
      </w:r>
      <w:proofErr w:type="spellStart"/>
      <w:r>
        <w:rPr>
          <w:bCs/>
        </w:rPr>
        <w:t>Prabowo</w:t>
      </w:r>
      <w:proofErr w:type="spellEnd"/>
      <w:r>
        <w:rPr>
          <w:bCs/>
        </w:rPr>
        <w:t xml:space="preserve"> et al. (2025) a administração intrauterina de </w:t>
      </w:r>
      <w:r>
        <w:rPr>
          <w:bCs/>
        </w:rPr>
        <w:t>CMT</w:t>
      </w:r>
      <w:r>
        <w:rPr>
          <w:bCs/>
        </w:rPr>
        <w:t xml:space="preserve">s melhorou as taxas de </w:t>
      </w:r>
      <w:r>
        <w:rPr>
          <w:bCs/>
        </w:rPr>
        <w:t xml:space="preserve">prenhes </w:t>
      </w:r>
      <w:r>
        <w:rPr>
          <w:bCs/>
        </w:rPr>
        <w:t xml:space="preserve">em até 75% em vacas com </w:t>
      </w:r>
      <w:proofErr w:type="spellStart"/>
      <w:r>
        <w:rPr>
          <w:bCs/>
        </w:rPr>
        <w:t>endometrite</w:t>
      </w:r>
      <w:proofErr w:type="spellEnd"/>
      <w:r>
        <w:rPr>
          <w:bCs/>
        </w:rPr>
        <w:t xml:space="preserve">, enquanto a injeção </w:t>
      </w:r>
      <w:proofErr w:type="spellStart"/>
      <w:r>
        <w:rPr>
          <w:bCs/>
        </w:rPr>
        <w:t>intra-ovárica</w:t>
      </w:r>
      <w:proofErr w:type="spellEnd"/>
      <w:r>
        <w:rPr>
          <w:bCs/>
        </w:rPr>
        <w:t xml:space="preserve"> aumentou a ovulação em até 80% em casos de cistos </w:t>
      </w:r>
      <w:proofErr w:type="spellStart"/>
      <w:r>
        <w:rPr>
          <w:bCs/>
        </w:rPr>
        <w:t>ovarianos</w:t>
      </w:r>
      <w:proofErr w:type="spellEnd"/>
      <w:r>
        <w:rPr>
          <w:bCs/>
        </w:rPr>
        <w:t xml:space="preserve">. Da mesma forma, terapias baseadas no </w:t>
      </w:r>
      <w:proofErr w:type="spellStart"/>
      <w:r>
        <w:rPr>
          <w:bCs/>
        </w:rPr>
        <w:t>secretoma</w:t>
      </w:r>
      <w:proofErr w:type="spellEnd"/>
      <w:r>
        <w:rPr>
          <w:bCs/>
        </w:rPr>
        <w:t xml:space="preserve"> alcançaram taxas de gravidez de 65% na degeneração </w:t>
      </w:r>
      <w:proofErr w:type="spellStart"/>
      <w:r>
        <w:rPr>
          <w:bCs/>
        </w:rPr>
        <w:t>ovariana</w:t>
      </w:r>
      <w:proofErr w:type="spellEnd"/>
      <w:r>
        <w:rPr>
          <w:bCs/>
        </w:rPr>
        <w:t xml:space="preserve"> e de 60% na distrofia </w:t>
      </w:r>
      <w:proofErr w:type="spellStart"/>
      <w:r>
        <w:rPr>
          <w:bCs/>
        </w:rPr>
        <w:t>ovariana</w:t>
      </w:r>
      <w:proofErr w:type="spellEnd"/>
      <w:r>
        <w:rPr>
          <w:bCs/>
        </w:rPr>
        <w:t xml:space="preserve">. Esses achados ressaltam a capacidade das </w:t>
      </w:r>
      <w:r>
        <w:rPr>
          <w:bCs/>
        </w:rPr>
        <w:t>CMT</w:t>
      </w:r>
      <w:r>
        <w:rPr>
          <w:bCs/>
        </w:rPr>
        <w:t xml:space="preserve">s de restaurar a capacidade reprodutiva por meio de mecanismos tanto celulares quanto </w:t>
      </w:r>
      <w:proofErr w:type="spellStart"/>
      <w:r>
        <w:rPr>
          <w:bCs/>
        </w:rPr>
        <w:t>parácrinos</w:t>
      </w:r>
      <w:proofErr w:type="spellEnd"/>
      <w:r>
        <w:rPr>
          <w:bCs/>
        </w:rPr>
        <w:t>.</w:t>
      </w:r>
    </w:p>
    <w:p w14:paraId="04E5C615" w14:textId="77777777" w:rsidR="00272688" w:rsidRDefault="00BF7E1B">
      <w:pPr>
        <w:rPr>
          <w:bCs/>
        </w:rPr>
      </w:pPr>
      <w:r>
        <w:rPr>
          <w:bCs/>
        </w:rPr>
        <w:t>Oliveira et al. (2024)</w:t>
      </w:r>
      <w:r>
        <w:rPr>
          <w:bCs/>
        </w:rPr>
        <w:t xml:space="preserve"> relata que o </w:t>
      </w:r>
      <w:r>
        <w:t xml:space="preserve">uso de células-tronco </w:t>
      </w:r>
      <w:proofErr w:type="spellStart"/>
      <w:r>
        <w:t>mesenquimais</w:t>
      </w:r>
      <w:proofErr w:type="spellEnd"/>
      <w:r>
        <w:t xml:space="preserve"> no tratamento da insuficiência </w:t>
      </w:r>
      <w:proofErr w:type="spellStart"/>
      <w:r>
        <w:t>ovariana</w:t>
      </w:r>
      <w:proofErr w:type="spellEnd"/>
      <w:r>
        <w:t xml:space="preserve"> resultante da quimioterapia em ratos, conseguiu aumentar as concentrações de estrogênio (E2) e do hormônio </w:t>
      </w:r>
      <w:proofErr w:type="spellStart"/>
      <w:r>
        <w:t>antimülleriano</w:t>
      </w:r>
      <w:proofErr w:type="spellEnd"/>
      <w:r>
        <w:t xml:space="preserve"> (AMH). Tanto o E2 quanto o AMH são hormônios ligados à atividade </w:t>
      </w:r>
      <w:proofErr w:type="spellStart"/>
      <w:r>
        <w:t>ovariana</w:t>
      </w:r>
      <w:proofErr w:type="spellEnd"/>
      <w:r>
        <w:t xml:space="preserve">, sendo que o E2 é secretado pelos folículos em estágios avançados de desenvolvimento (folículos </w:t>
      </w:r>
      <w:proofErr w:type="spellStart"/>
      <w:r>
        <w:t>pré-ovulatórios</w:t>
      </w:r>
      <w:proofErr w:type="spellEnd"/>
      <w:r>
        <w:t>), enquanto o AMH está associado principalmente ao recrutamento da reserva folicular. Assim, a aplicação intravenosa e local</w:t>
      </w:r>
      <w:r>
        <w:t xml:space="preserve"> de CTMs mostrou-se eficaz em influenciar ambas as extremidades da cadeia de desenvolvimento folicular, melhorando a função dos ovários afetados por insuficiência após a quimioterapia. Além disso, a análise patológica do tecido ovariano em animais submetidos aos tratamentos revelou um aumento no número de folículos em desenvolvimento nos ovários das fêmeas. </w:t>
      </w:r>
    </w:p>
    <w:p w14:paraId="7DECD530" w14:textId="77777777" w:rsidR="00272688" w:rsidRDefault="00BF7E1B">
      <w:pPr>
        <w:rPr>
          <w:bCs/>
        </w:rPr>
      </w:pPr>
      <w:r>
        <w:rPr>
          <w:bCs/>
        </w:rPr>
        <w:t xml:space="preserve">Outro ponto relevante é a grande diversidade de fontes utilizadas para obtenção das CTMs. Podendo ser obtidas de tecidos como medula óssea, tecido adiposo, cordão umbilical e outros tecidos adultos. </w:t>
      </w:r>
      <w:proofErr w:type="spellStart"/>
      <w:r>
        <w:rPr>
          <w:bCs/>
        </w:rPr>
        <w:t>Amanatidis</w:t>
      </w:r>
      <w:proofErr w:type="spellEnd"/>
      <w:r>
        <w:rPr>
          <w:bCs/>
        </w:rPr>
        <w:t xml:space="preserve"> e Mendes (2025) ressaltam que as CTMs provenientes de tecidos adultos apresentam capacidade de diferenciação em diferentes tecidos </w:t>
      </w:r>
      <w:proofErr w:type="spellStart"/>
      <w:r>
        <w:rPr>
          <w:bCs/>
        </w:rPr>
        <w:t>mesenquimais</w:t>
      </w:r>
      <w:proofErr w:type="spellEnd"/>
      <w:r>
        <w:rPr>
          <w:bCs/>
        </w:rPr>
        <w:t xml:space="preserve">, possuindo importante atividade relacionada à cicatrização e controle da inflamação. </w:t>
      </w:r>
    </w:p>
    <w:p w14:paraId="01BB902C" w14:textId="77777777" w:rsidR="00272688" w:rsidRDefault="00BF7E1B">
      <w:pPr>
        <w:rPr>
          <w:bCs/>
        </w:rPr>
      </w:pPr>
      <w:r>
        <w:rPr>
          <w:bCs/>
        </w:rPr>
        <w:t xml:space="preserve">Em lesões dos órgãos reprodutivos e em patologias </w:t>
      </w:r>
      <w:proofErr w:type="spellStart"/>
      <w:r>
        <w:rPr>
          <w:bCs/>
        </w:rPr>
        <w:t>perineais</w:t>
      </w:r>
      <w:proofErr w:type="spellEnd"/>
      <w:r>
        <w:rPr>
          <w:bCs/>
        </w:rPr>
        <w:t>, os resultados são mais limitados. Entretanto, os mecanismos descritos nos estudos, especialmente a capacidade de modular a inflamação, estimular a cicatrização e favorecer a regeneração, indicam possibilidade de aplicação futura nessas condições. Podendo assim as CTMs serem utilizadas como alternativa complementar aos tratamentos convencionais, embora sejam necessários estudos específicos para estabelecer sua eficácia nessas afecções.</w:t>
      </w:r>
    </w:p>
    <w:p w14:paraId="13969385" w14:textId="77777777" w:rsidR="00272688" w:rsidRDefault="00BF7E1B">
      <w:pPr>
        <w:rPr>
          <w:szCs w:val="24"/>
        </w:rPr>
      </w:pPr>
      <w:r>
        <w:rPr>
          <w:bCs/>
        </w:rPr>
        <w:t xml:space="preserve">De modo geral, os trabalhos analisados apontam que as CTMs têm grande potencial terapêutico na obstetrícia veterinária e na medicina regenerativa. Mas </w:t>
      </w:r>
      <w:proofErr w:type="spellStart"/>
      <w:r>
        <w:rPr>
          <w:bCs/>
        </w:rPr>
        <w:t>Amanatidis</w:t>
      </w:r>
      <w:proofErr w:type="spellEnd"/>
      <w:r>
        <w:rPr>
          <w:bCs/>
        </w:rPr>
        <w:t xml:space="preserve"> e Mendes (2025) destacam que ainda existem desafios relacionados à compreensão dos mecanismos celulares, exigindo mais estudos relacionado ao assunto para melhor aplicação na medicina reconstrutiva veterinária, principalmente levando em conta sua aplicação em terapêuticas em lesões e patologias de órgãos reprodutivos.</w:t>
      </w:r>
    </w:p>
    <w:p w14:paraId="12A61D41" w14:textId="77777777" w:rsidR="00272688" w:rsidRDefault="00272688">
      <w:pPr>
        <w:rPr>
          <w:b/>
          <w:bCs/>
          <w:szCs w:val="24"/>
        </w:rPr>
      </w:pPr>
    </w:p>
    <w:p w14:paraId="09BCF91E" w14:textId="77777777" w:rsidR="00272688" w:rsidRDefault="00BF7E1B">
      <w:pPr>
        <w:ind w:firstLine="0"/>
        <w:rPr>
          <w:b/>
          <w:bCs/>
          <w:szCs w:val="24"/>
        </w:rPr>
      </w:pPr>
      <w:r>
        <w:rPr>
          <w:b/>
          <w:bCs/>
          <w:szCs w:val="24"/>
        </w:rPr>
        <w:t>6 CONSIDERAÇÕES FINAIS</w:t>
      </w:r>
    </w:p>
    <w:p w14:paraId="31ADB7B6" w14:textId="77777777" w:rsidR="00272688" w:rsidRDefault="00272688">
      <w:pPr>
        <w:ind w:firstLine="0"/>
        <w:rPr>
          <w:szCs w:val="24"/>
        </w:rPr>
      </w:pPr>
    </w:p>
    <w:p w14:paraId="706D835A" w14:textId="77777777" w:rsidR="00272688" w:rsidRDefault="00BF7E1B">
      <w:r>
        <w:t xml:space="preserve">As células-tronco </w:t>
      </w:r>
      <w:proofErr w:type="spellStart"/>
      <w:r>
        <w:t>mesenquimais</w:t>
      </w:r>
      <w:proofErr w:type="spellEnd"/>
      <w:r>
        <w:t xml:space="preserve"> tende a ter um grande potencial terapêutico na obstetrícia e na medicina regenerativa veterinária, sendo principalmente por conta de suas propriedades anti-inflamatórias, </w:t>
      </w:r>
      <w:proofErr w:type="spellStart"/>
      <w:r>
        <w:t>imunomoduladoras</w:t>
      </w:r>
      <w:proofErr w:type="spellEnd"/>
      <w:r>
        <w:t xml:space="preserve">, </w:t>
      </w:r>
      <w:proofErr w:type="spellStart"/>
      <w:r>
        <w:t>angiogênicas</w:t>
      </w:r>
      <w:proofErr w:type="spellEnd"/>
      <w:r>
        <w:t xml:space="preserve"> e regenerativas. Assim favorecendo a recuperação de tecidos lesionados e que podem contribuir para a restauração da função dos órgãos reprodutivos.</w:t>
      </w:r>
    </w:p>
    <w:p w14:paraId="3455036A" w14:textId="77777777" w:rsidR="00272688" w:rsidRDefault="00BF7E1B">
      <w:r>
        <w:t xml:space="preserve">Os estudos avaliados demonstram resultados promissores na utilização das CTMs em alterações </w:t>
      </w:r>
      <w:proofErr w:type="spellStart"/>
      <w:r>
        <w:t>ovarianas</w:t>
      </w:r>
      <w:proofErr w:type="spellEnd"/>
      <w:r>
        <w:t xml:space="preserve"> e uterinas, com evidências de melhora da atividade folicular, regeneração do tecido </w:t>
      </w:r>
      <w:proofErr w:type="spellStart"/>
      <w:r>
        <w:t>endometrial</w:t>
      </w:r>
      <w:proofErr w:type="spellEnd"/>
      <w:r>
        <w:t xml:space="preserve"> assim gerando aumento das taxas de gestação em determinadas condições, como </w:t>
      </w:r>
      <w:proofErr w:type="spellStart"/>
      <w:r>
        <w:t>endometrite</w:t>
      </w:r>
      <w:proofErr w:type="spellEnd"/>
      <w:r>
        <w:t xml:space="preserve"> e disfunções </w:t>
      </w:r>
      <w:proofErr w:type="spellStart"/>
      <w:r>
        <w:t>ovarianas</w:t>
      </w:r>
      <w:proofErr w:type="spellEnd"/>
      <w:r>
        <w:t>.  A terapia celular apresenta-se como uma alternativa com potencial complementar os tratamentos convencionais, levando em conta principalmente nos casos em que o dano tecidual pode compromete as funções reprodutivas.</w:t>
      </w:r>
    </w:p>
    <w:p w14:paraId="3C70CCC1" w14:textId="77777777" w:rsidR="00272688" w:rsidRDefault="00BF7E1B">
      <w:r>
        <w:t xml:space="preserve">Já em lesões nos órgãos do sistema reprodutor e às patologias </w:t>
      </w:r>
      <w:proofErr w:type="spellStart"/>
      <w:r>
        <w:t>perineais</w:t>
      </w:r>
      <w:proofErr w:type="spellEnd"/>
      <w:r>
        <w:t xml:space="preserve">, os resultados ainda são bastantes limitados, Ação das CTMs indicam favoráveis perspectivas para sua utilização futuramente, principalmente pela capacidade de modular processos inflamatórios e estimular a cicatrização e a regeneração tecidual. Mas ainda são necessários estudos específicos que avaliem a eficácia e a segurança </w:t>
      </w:r>
      <w:proofErr w:type="spellStart"/>
      <w:r>
        <w:t>dessase</w:t>
      </w:r>
      <w:proofErr w:type="spellEnd"/>
      <w:r>
        <w:t xml:space="preserve"> sua utilização.</w:t>
      </w:r>
    </w:p>
    <w:p w14:paraId="4E6BDA62" w14:textId="77777777" w:rsidR="00272688" w:rsidRDefault="00272688">
      <w:pPr>
        <w:sectPr w:rsidR="00272688">
          <w:headerReference w:type="default" r:id="rId7"/>
          <w:footerReference w:type="default" r:id="rId8"/>
          <w:pgSz w:w="11906" w:h="16840"/>
          <w:pgMar w:top="2269" w:right="1134" w:bottom="993" w:left="1701" w:header="708" w:footer="708" w:gutter="0"/>
          <w:pgNumType w:start="1"/>
          <w:cols w:space="720"/>
        </w:sectPr>
      </w:pPr>
    </w:p>
    <w:p w14:paraId="1AA5CC61" w14:textId="77777777" w:rsidR="00272688" w:rsidRDefault="00272688"/>
    <w:p w14:paraId="659E527E" w14:textId="77777777" w:rsidR="00272688" w:rsidRDefault="00BF7E1B">
      <w:pPr>
        <w:ind w:firstLine="0"/>
        <w:jc w:val="center"/>
      </w:pPr>
      <w:r>
        <w:rPr>
          <w:b/>
          <w:bCs/>
          <w:szCs w:val="24"/>
        </w:rPr>
        <w:t>REFERÊNCIAS</w:t>
      </w:r>
    </w:p>
    <w:p w14:paraId="05CFA0E4" w14:textId="77777777" w:rsidR="00272688" w:rsidRDefault="00272688">
      <w:pPr>
        <w:pStyle w:val="REFERENCIAS"/>
      </w:pPr>
    </w:p>
    <w:p w14:paraId="095BFAA3" w14:textId="77777777" w:rsidR="00272688" w:rsidRDefault="00BF7E1B">
      <w:pPr>
        <w:pStyle w:val="REFERENCIAS"/>
        <w:spacing w:line="240" w:lineRule="auto"/>
      </w:pPr>
      <w:proofErr w:type="spellStart"/>
      <w:r>
        <w:t>LAGONEGRO</w:t>
      </w:r>
      <w:proofErr w:type="spellEnd"/>
      <w:r>
        <w:t xml:space="preserve"> </w:t>
      </w:r>
      <w:proofErr w:type="spellStart"/>
      <w:r>
        <w:t>AMANATIDIS</w:t>
      </w:r>
      <w:proofErr w:type="spellEnd"/>
      <w:r>
        <w:t xml:space="preserve">, Giovanna; MENDES, Patricia </w:t>
      </w:r>
      <w:proofErr w:type="spellStart"/>
      <w:r>
        <w:t>Franciscone</w:t>
      </w:r>
      <w:proofErr w:type="spellEnd"/>
      <w:r>
        <w:t xml:space="preserve">. </w:t>
      </w:r>
      <w:r>
        <w:rPr>
          <w:b/>
        </w:rPr>
        <w:t>Caracterização de células-tronco em diferentes tecidos de animais e seu potencial terapêutico em medicina veterinária regenerativa.</w:t>
      </w:r>
      <w:r>
        <w:t xml:space="preserve"> </w:t>
      </w:r>
      <w:proofErr w:type="spellStart"/>
      <w:r>
        <w:t>Pubvet</w:t>
      </w:r>
      <w:proofErr w:type="spellEnd"/>
      <w:r>
        <w:t>, v. 19, n. 3, e1742, 2025. DOI: 10.31533/</w:t>
      </w:r>
      <w:proofErr w:type="spellStart"/>
      <w:r>
        <w:t>pubvet.v19n03e1742</w:t>
      </w:r>
      <w:proofErr w:type="spellEnd"/>
      <w:r>
        <w:t xml:space="preserve">. </w:t>
      </w:r>
    </w:p>
    <w:p w14:paraId="28AAEE59" w14:textId="77777777" w:rsidR="00272688" w:rsidRDefault="00272688">
      <w:pPr>
        <w:pStyle w:val="REFERENCIAS"/>
        <w:spacing w:line="240" w:lineRule="auto"/>
      </w:pPr>
    </w:p>
    <w:p w14:paraId="40868979" w14:textId="77777777" w:rsidR="00272688" w:rsidRDefault="00BF7E1B">
      <w:pPr>
        <w:pStyle w:val="REFERENCIAS"/>
        <w:spacing w:line="240" w:lineRule="auto"/>
      </w:pPr>
      <w:r>
        <w:t xml:space="preserve">LEITE, Gustavo Luciano; PEREIRA, Lucas Cardoso. </w:t>
      </w:r>
      <w:r>
        <w:rPr>
          <w:b/>
        </w:rPr>
        <w:t>Células-tronco, conceitos e sua aplicação na Medicina Veterinária.</w:t>
      </w:r>
      <w:r>
        <w:t xml:space="preserve"> Real – Revista de Estudos Acadêmicos, v. 3, n. 1, 2024.</w:t>
      </w:r>
    </w:p>
    <w:p w14:paraId="0454C931" w14:textId="77777777" w:rsidR="00272688" w:rsidRDefault="00272688">
      <w:pPr>
        <w:pStyle w:val="REFERENCIAS"/>
        <w:spacing w:line="240" w:lineRule="auto"/>
      </w:pPr>
    </w:p>
    <w:p w14:paraId="43B7154C" w14:textId="77777777" w:rsidR="00272688" w:rsidRDefault="00BF7E1B">
      <w:pPr>
        <w:pStyle w:val="REFERENCIAS"/>
        <w:spacing w:line="240" w:lineRule="auto"/>
        <w:rPr>
          <w:color w:val="auto"/>
        </w:rPr>
      </w:pPr>
      <w:r>
        <w:t xml:space="preserve">Lima, B. C. L., Guimarães, D. B. L., &amp; Cruz Junior, A. C. (2021). </w:t>
      </w:r>
      <w:r>
        <w:rPr>
          <w:b/>
        </w:rPr>
        <w:t xml:space="preserve">Terapia de célula tronco </w:t>
      </w:r>
      <w:proofErr w:type="spellStart"/>
      <w:r>
        <w:rPr>
          <w:b/>
        </w:rPr>
        <w:t>mesenquimais</w:t>
      </w:r>
      <w:proofErr w:type="spellEnd"/>
      <w:r>
        <w:rPr>
          <w:b/>
        </w:rPr>
        <w:t xml:space="preserve"> na </w:t>
      </w:r>
      <w:proofErr w:type="spellStart"/>
      <w:r>
        <w:rPr>
          <w:b/>
        </w:rPr>
        <w:t>osteoartrose</w:t>
      </w:r>
      <w:proofErr w:type="spellEnd"/>
      <w:r>
        <w:rPr>
          <w:b/>
        </w:rPr>
        <w:t>.</w:t>
      </w:r>
      <w:r>
        <w:t xml:space="preserve"> Programa de Iniciação Científica -PIC/UniCEUB - Relatórios de Pesquisa. </w:t>
      </w:r>
      <w:hyperlink r:id="rId9" w:history="1">
        <w:r>
          <w:rPr>
            <w:rStyle w:val="Hyperlink"/>
            <w:color w:val="auto"/>
            <w:u w:val="none"/>
          </w:rPr>
          <w:t>https://doi.org/10.5102/pic.n0.2019.7653.</w:t>
        </w:r>
      </w:hyperlink>
    </w:p>
    <w:p w14:paraId="61B8DCCC" w14:textId="77777777" w:rsidR="00272688" w:rsidRDefault="00272688">
      <w:pPr>
        <w:pStyle w:val="REFERENCIAS"/>
        <w:spacing w:line="240" w:lineRule="auto"/>
        <w:rPr>
          <w:color w:val="auto"/>
        </w:rPr>
      </w:pPr>
    </w:p>
    <w:p w14:paraId="0BFB764C" w14:textId="77777777" w:rsidR="00272688" w:rsidRDefault="00BF7E1B">
      <w:pPr>
        <w:pStyle w:val="REFERENCIAS"/>
        <w:spacing w:line="240" w:lineRule="auto"/>
      </w:pPr>
      <w:r>
        <w:t xml:space="preserve">OLIVEIRA, Andrei Takeshita de; BRAGA, Antonio Rodrigues Ferreira; MIRANDA, José Ricardo Fonseca; </w:t>
      </w:r>
      <w:proofErr w:type="spellStart"/>
      <w:r>
        <w:t>FANTINATO-NETO</w:t>
      </w:r>
      <w:proofErr w:type="spellEnd"/>
      <w:r>
        <w:t xml:space="preserve">, Paulo; AMBRÓSIO, Carlos Eduardo. </w:t>
      </w:r>
      <w:proofErr w:type="spellStart"/>
      <w:r>
        <w:rPr>
          <w:b/>
        </w:rPr>
        <w:t>Mesenchymal</w:t>
      </w:r>
      <w:proofErr w:type="spellEnd"/>
      <w:r>
        <w:rPr>
          <w:b/>
        </w:rPr>
        <w:t xml:space="preserve"> </w:t>
      </w:r>
      <w:proofErr w:type="spellStart"/>
      <w:r>
        <w:rPr>
          <w:b/>
        </w:rPr>
        <w:t>stem</w:t>
      </w:r>
      <w:proofErr w:type="spellEnd"/>
      <w:r>
        <w:rPr>
          <w:b/>
        </w:rPr>
        <w:t xml:space="preserve"> </w:t>
      </w:r>
      <w:proofErr w:type="spellStart"/>
      <w:r>
        <w:rPr>
          <w:b/>
        </w:rPr>
        <w:t>cells</w:t>
      </w:r>
      <w:proofErr w:type="spellEnd"/>
      <w:r>
        <w:rPr>
          <w:b/>
        </w:rPr>
        <w:t xml:space="preserve"> in animal </w:t>
      </w:r>
      <w:proofErr w:type="spellStart"/>
      <w:r>
        <w:rPr>
          <w:b/>
        </w:rPr>
        <w:t>reproduction</w:t>
      </w:r>
      <w:proofErr w:type="spellEnd"/>
      <w:r>
        <w:rPr>
          <w:b/>
        </w:rPr>
        <w:t xml:space="preserve">: </w:t>
      </w:r>
      <w:proofErr w:type="spellStart"/>
      <w:r>
        <w:rPr>
          <w:b/>
        </w:rPr>
        <w:t>sources</w:t>
      </w:r>
      <w:proofErr w:type="spellEnd"/>
      <w:r>
        <w:rPr>
          <w:b/>
        </w:rPr>
        <w:t xml:space="preserve">, uses and </w:t>
      </w:r>
      <w:proofErr w:type="spellStart"/>
      <w:r>
        <w:rPr>
          <w:b/>
        </w:rPr>
        <w:t>scenario</w:t>
      </w:r>
      <w:proofErr w:type="spellEnd"/>
      <w:r>
        <w:rPr>
          <w:b/>
        </w:rPr>
        <w:t>.</w:t>
      </w:r>
      <w:r>
        <w:t xml:space="preserve"> Brazilian Journal of </w:t>
      </w:r>
      <w:proofErr w:type="spellStart"/>
      <w:r>
        <w:t>Veterinary</w:t>
      </w:r>
      <w:proofErr w:type="spellEnd"/>
      <w:r>
        <w:t xml:space="preserve"> Medicine, v. 46, e002524, 2024. DOI: 10.29374/</w:t>
      </w:r>
      <w:proofErr w:type="spellStart"/>
      <w:r>
        <w:t>2527-2179.bjvm002524</w:t>
      </w:r>
      <w:proofErr w:type="spellEnd"/>
      <w:r>
        <w:t xml:space="preserve">. </w:t>
      </w:r>
    </w:p>
    <w:p w14:paraId="48F60292" w14:textId="77777777" w:rsidR="00272688" w:rsidRDefault="00272688">
      <w:pPr>
        <w:pStyle w:val="REFERENCIAS"/>
        <w:spacing w:line="240" w:lineRule="auto"/>
      </w:pPr>
    </w:p>
    <w:p w14:paraId="20CD8763" w14:textId="77777777" w:rsidR="00272688" w:rsidRDefault="00BF7E1B">
      <w:pPr>
        <w:pStyle w:val="REFERENCIAS"/>
        <w:spacing w:line="240" w:lineRule="auto"/>
      </w:pPr>
      <w:proofErr w:type="spellStart"/>
      <w:r>
        <w:t>PRABOWO</w:t>
      </w:r>
      <w:proofErr w:type="spellEnd"/>
      <w:r>
        <w:t xml:space="preserve">, </w:t>
      </w:r>
      <w:proofErr w:type="spellStart"/>
      <w:r>
        <w:t>Teguh</w:t>
      </w:r>
      <w:proofErr w:type="spellEnd"/>
      <w:r>
        <w:t xml:space="preserve"> Ari; </w:t>
      </w:r>
      <w:proofErr w:type="spellStart"/>
      <w:r>
        <w:t>MUTTAQIN</w:t>
      </w:r>
      <w:proofErr w:type="spellEnd"/>
      <w:r>
        <w:t xml:space="preserve">, </w:t>
      </w:r>
      <w:proofErr w:type="spellStart"/>
      <w:r>
        <w:t>Zultinur</w:t>
      </w:r>
      <w:proofErr w:type="spellEnd"/>
      <w:r>
        <w:t xml:space="preserve">; HERDIS, </w:t>
      </w:r>
      <w:proofErr w:type="spellStart"/>
      <w:r>
        <w:t>Herdis</w:t>
      </w:r>
      <w:proofErr w:type="spellEnd"/>
      <w:r>
        <w:t xml:space="preserve">; </w:t>
      </w:r>
      <w:proofErr w:type="spellStart"/>
      <w:r>
        <w:t>SANTOSO</w:t>
      </w:r>
      <w:proofErr w:type="spellEnd"/>
      <w:r>
        <w:t xml:space="preserve">, </w:t>
      </w:r>
      <w:proofErr w:type="spellStart"/>
      <w:r>
        <w:t>Santoso</w:t>
      </w:r>
      <w:proofErr w:type="spellEnd"/>
      <w:r>
        <w:t xml:space="preserve">; </w:t>
      </w:r>
      <w:proofErr w:type="spellStart"/>
      <w:r>
        <w:t>PRIYATNO</w:t>
      </w:r>
      <w:proofErr w:type="spellEnd"/>
      <w:r>
        <w:t xml:space="preserve">, Tri </w:t>
      </w:r>
      <w:proofErr w:type="spellStart"/>
      <w:r>
        <w:t>Puji</w:t>
      </w:r>
      <w:proofErr w:type="spellEnd"/>
      <w:r>
        <w:t xml:space="preserve">; </w:t>
      </w:r>
      <w:proofErr w:type="spellStart"/>
      <w:r>
        <w:t>SITARESMI</w:t>
      </w:r>
      <w:proofErr w:type="spellEnd"/>
      <w:r>
        <w:t xml:space="preserve">, </w:t>
      </w:r>
      <w:proofErr w:type="spellStart"/>
      <w:r>
        <w:t>Pradita</w:t>
      </w:r>
      <w:proofErr w:type="spellEnd"/>
      <w:r>
        <w:t xml:space="preserve"> </w:t>
      </w:r>
      <w:proofErr w:type="spellStart"/>
      <w:r>
        <w:t>Iustitia</w:t>
      </w:r>
      <w:proofErr w:type="spellEnd"/>
      <w:r>
        <w:t xml:space="preserve">; </w:t>
      </w:r>
      <w:proofErr w:type="spellStart"/>
      <w:r>
        <w:t>KOSTAMAN</w:t>
      </w:r>
      <w:proofErr w:type="spellEnd"/>
      <w:r>
        <w:t xml:space="preserve">, </w:t>
      </w:r>
      <w:proofErr w:type="spellStart"/>
      <w:r>
        <w:t>Tatan</w:t>
      </w:r>
      <w:proofErr w:type="spellEnd"/>
      <w:r>
        <w:t xml:space="preserve">; HUDAYA, Mohammad </w:t>
      </w:r>
      <w:proofErr w:type="spellStart"/>
      <w:r>
        <w:t>Firdaus</w:t>
      </w:r>
      <w:proofErr w:type="spellEnd"/>
      <w:r>
        <w:t xml:space="preserve">; </w:t>
      </w:r>
      <w:proofErr w:type="spellStart"/>
      <w:r>
        <w:t>ASMARASARI</w:t>
      </w:r>
      <w:proofErr w:type="spellEnd"/>
      <w:r>
        <w:t xml:space="preserve">, </w:t>
      </w:r>
      <w:proofErr w:type="spellStart"/>
      <w:r>
        <w:t>Santiananda</w:t>
      </w:r>
      <w:proofErr w:type="spellEnd"/>
      <w:r>
        <w:t xml:space="preserve"> </w:t>
      </w:r>
      <w:proofErr w:type="spellStart"/>
      <w:r>
        <w:t>Arta</w:t>
      </w:r>
      <w:proofErr w:type="spellEnd"/>
      <w:r>
        <w:t xml:space="preserve">; </w:t>
      </w:r>
      <w:proofErr w:type="spellStart"/>
      <w:r>
        <w:t>KUSUMANINGRUM</w:t>
      </w:r>
      <w:proofErr w:type="spellEnd"/>
      <w:r>
        <w:t xml:space="preserve">, Diana </w:t>
      </w:r>
      <w:proofErr w:type="spellStart"/>
      <w:r>
        <w:t>Andrianita</w:t>
      </w:r>
      <w:proofErr w:type="spellEnd"/>
      <w:r>
        <w:t xml:space="preserve">; AZIZAH, </w:t>
      </w:r>
      <w:proofErr w:type="spellStart"/>
      <w:r>
        <w:t>Nurul</w:t>
      </w:r>
      <w:proofErr w:type="spellEnd"/>
      <w:r>
        <w:t xml:space="preserve">; </w:t>
      </w:r>
      <w:proofErr w:type="spellStart"/>
      <w:r>
        <w:t>SUYATNO</w:t>
      </w:r>
      <w:proofErr w:type="spellEnd"/>
      <w:r>
        <w:t xml:space="preserve">, </w:t>
      </w:r>
      <w:proofErr w:type="spellStart"/>
      <w:r>
        <w:t>Suyatno</w:t>
      </w:r>
      <w:proofErr w:type="spellEnd"/>
      <w:r>
        <w:t xml:space="preserve">. </w:t>
      </w:r>
      <w:proofErr w:type="spellStart"/>
      <w:r>
        <w:rPr>
          <w:b/>
        </w:rPr>
        <w:t>Mesenchymal</w:t>
      </w:r>
      <w:proofErr w:type="spellEnd"/>
      <w:r>
        <w:rPr>
          <w:b/>
        </w:rPr>
        <w:t xml:space="preserve"> </w:t>
      </w:r>
      <w:proofErr w:type="spellStart"/>
      <w:r>
        <w:rPr>
          <w:b/>
        </w:rPr>
        <w:t>stem</w:t>
      </w:r>
      <w:proofErr w:type="spellEnd"/>
      <w:r>
        <w:rPr>
          <w:b/>
        </w:rPr>
        <w:t xml:space="preserve"> cell </w:t>
      </w:r>
      <w:proofErr w:type="spellStart"/>
      <w:r>
        <w:rPr>
          <w:b/>
        </w:rPr>
        <w:t>therapy</w:t>
      </w:r>
      <w:proofErr w:type="spellEnd"/>
      <w:r>
        <w:rPr>
          <w:b/>
        </w:rPr>
        <w:t xml:space="preserve"> in </w:t>
      </w:r>
      <w:proofErr w:type="spellStart"/>
      <w:r>
        <w:rPr>
          <w:b/>
        </w:rPr>
        <w:t>bovine</w:t>
      </w:r>
      <w:proofErr w:type="spellEnd"/>
      <w:r>
        <w:rPr>
          <w:b/>
        </w:rPr>
        <w:t xml:space="preserve"> </w:t>
      </w:r>
      <w:proofErr w:type="spellStart"/>
      <w:r>
        <w:rPr>
          <w:b/>
        </w:rPr>
        <w:t>reproduction</w:t>
      </w:r>
      <w:proofErr w:type="spellEnd"/>
      <w:r>
        <w:rPr>
          <w:b/>
        </w:rPr>
        <w:t xml:space="preserve">: </w:t>
      </w:r>
      <w:proofErr w:type="spellStart"/>
      <w:r>
        <w:rPr>
          <w:b/>
        </w:rPr>
        <w:t>mechanistic</w:t>
      </w:r>
      <w:proofErr w:type="spellEnd"/>
      <w:r>
        <w:rPr>
          <w:b/>
        </w:rPr>
        <w:t xml:space="preserve"> insights, </w:t>
      </w:r>
      <w:proofErr w:type="spellStart"/>
      <w:r>
        <w:rPr>
          <w:b/>
        </w:rPr>
        <w:t>clinical</w:t>
      </w:r>
      <w:proofErr w:type="spellEnd"/>
      <w:r>
        <w:rPr>
          <w:b/>
        </w:rPr>
        <w:t xml:space="preserve"> </w:t>
      </w:r>
      <w:proofErr w:type="spellStart"/>
      <w:r>
        <w:rPr>
          <w:b/>
        </w:rPr>
        <w:t>applications</w:t>
      </w:r>
      <w:proofErr w:type="spellEnd"/>
      <w:r>
        <w:rPr>
          <w:b/>
        </w:rPr>
        <w:t xml:space="preserve">, and </w:t>
      </w:r>
      <w:proofErr w:type="spellStart"/>
      <w:r>
        <w:rPr>
          <w:b/>
        </w:rPr>
        <w:t>translational</w:t>
      </w:r>
      <w:proofErr w:type="spellEnd"/>
      <w:r>
        <w:rPr>
          <w:b/>
        </w:rPr>
        <w:t xml:space="preserve"> </w:t>
      </w:r>
      <w:proofErr w:type="spellStart"/>
      <w:r>
        <w:rPr>
          <w:b/>
        </w:rPr>
        <w:t>challenges</w:t>
      </w:r>
      <w:proofErr w:type="spellEnd"/>
      <w:r>
        <w:rPr>
          <w:b/>
        </w:rPr>
        <w:t>.</w:t>
      </w:r>
      <w:r>
        <w:t xml:space="preserve"> </w:t>
      </w:r>
      <w:proofErr w:type="spellStart"/>
      <w:r>
        <w:t>Veterinary</w:t>
      </w:r>
      <w:proofErr w:type="spellEnd"/>
      <w:r>
        <w:t xml:space="preserve"> World, v. 18, n. 9, p. 2888–2899, 2025. DOI: 10.14202/</w:t>
      </w:r>
      <w:proofErr w:type="spellStart"/>
      <w:r>
        <w:t>vetworld.2025.2888-2899</w:t>
      </w:r>
      <w:proofErr w:type="spellEnd"/>
      <w:r>
        <w:t>.</w:t>
      </w:r>
    </w:p>
    <w:sectPr w:rsidR="00272688">
      <w:pgSz w:w="11906" w:h="16840"/>
      <w:pgMar w:top="2269" w:right="1134" w:bottom="993"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7C0ADE" w14:textId="77777777" w:rsidR="00272688" w:rsidRDefault="00BF7E1B">
      <w:pPr>
        <w:spacing w:line="240" w:lineRule="auto"/>
      </w:pPr>
      <w:r>
        <w:separator/>
      </w:r>
    </w:p>
  </w:endnote>
  <w:endnote w:type="continuationSeparator" w:id="0">
    <w:p w14:paraId="105347F8" w14:textId="77777777" w:rsidR="00272688" w:rsidRDefault="00BF7E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SimSun">
    <w:panose1 w:val="02010600030101010101"/>
    <w:charset w:val="86"/>
    <w:family w:val="auto"/>
    <w:pitch w:val="variable"/>
    <w:sig w:usb0="00000203" w:usb1="288F0000" w:usb2="00000016" w:usb3="00000000" w:csb0="00040001" w:csb1="00000000"/>
    <w:embedRegular r:id="rId1" w:fontKey="{1D43988E-01B2-9A40-89CD-4086483FF1D7}"/>
  </w:font>
  <w:font w:name="Arial">
    <w:panose1 w:val="020B0604020202020204"/>
    <w:charset w:val="00"/>
    <w:family w:val="swiss"/>
    <w:pitch w:val="variable"/>
    <w:sig w:usb0="E0002AFF" w:usb1="C0007843" w:usb2="00000009" w:usb3="00000000" w:csb0="000001FF" w:csb1="00000000"/>
    <w:embedRegular r:id="rId2" w:fontKey="{EED0BAF4-1FDA-4870-BCF1-2AF353C6B880}"/>
  </w:font>
  <w:font w:name="Georgia">
    <w:panose1 w:val="02040502050405020303"/>
    <w:charset w:val="00"/>
    <w:family w:val="roman"/>
    <w:pitch w:val="variable"/>
    <w:sig w:usb0="00000287" w:usb1="00000000" w:usb2="00000000" w:usb3="00000000" w:csb0="0000009F" w:csb1="00000000"/>
    <w:embedRegular r:id="rId6" w:fontKey="{94CCC537-4539-4950-AB75-DEF70A3590A6}"/>
  </w:font>
  <w:font w:name="Calibri">
    <w:panose1 w:val="020F0502020204030204"/>
    <w:charset w:val="00"/>
    <w:family w:val="swiss"/>
    <w:pitch w:val="variable"/>
    <w:sig w:usb0="E00002FF" w:usb1="4000ACFF" w:usb2="00000001" w:usb3="00000000" w:csb0="0000019F" w:csb1="00000000"/>
    <w:embedRegular r:id="rId5" w:fontKey="{BCCF73EA-8931-4E5F-95BE-2B86E0B7A3CF}"/>
  </w:font>
  <w:font w:name="CIDFont">
    <w:altName w:val="Segoe Print"/>
    <w:panose1 w:val="020B0604020202020204"/>
    <w:charset w:val="00"/>
    <w:family w:val="auto"/>
    <w:pitch w:val="default"/>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9F6E1" w14:textId="77777777" w:rsidR="00272688" w:rsidRDefault="00BF7E1B">
    <w:pPr>
      <w:tabs>
        <w:tab w:val="center" w:pos="4252"/>
        <w:tab w:val="right" w:pos="8504"/>
      </w:tabs>
      <w:ind w:hanging="1418"/>
      <w:rPr>
        <w:color w:val="000000"/>
      </w:rPr>
    </w:pPr>
    <w:r>
      <w:rPr>
        <w:noProof/>
      </w:rPr>
      <w:drawing>
        <wp:anchor distT="0" distB="0" distL="0" distR="0" simplePos="0" relativeHeight="251660288" behindDoc="1" locked="0" layoutInCell="1" allowOverlap="1" wp14:anchorId="5C4AEE5F" wp14:editId="41A78E13">
          <wp:simplePos x="0" y="0"/>
          <wp:positionH relativeFrom="column">
            <wp:posOffset>-161290</wp:posOffset>
          </wp:positionH>
          <wp:positionV relativeFrom="paragraph">
            <wp:posOffset>0</wp:posOffset>
          </wp:positionV>
          <wp:extent cx="5643245" cy="103759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srcRect t="4411" b="4411"/>
                  <a:stretch>
                    <a:fillRect/>
                  </a:stretch>
                </pic:blipFill>
                <pic:spPr>
                  <a:xfrm>
                    <a:off x="0" y="0"/>
                    <a:ext cx="5643037" cy="1037590"/>
                  </a:xfrm>
                  <a:prstGeom prst="rect">
                    <a:avLst/>
                  </a:prstGeom>
                </pic:spPr>
              </pic:pic>
            </a:graphicData>
          </a:graphic>
        </wp:anchor>
      </w:drawing>
    </w:r>
  </w:p>
  <w:p w14:paraId="2F90D0DC" w14:textId="77777777" w:rsidR="00272688" w:rsidRDefault="00272688">
    <w:pPr>
      <w:tabs>
        <w:tab w:val="center" w:pos="4252"/>
        <w:tab w:val="right" w:pos="8504"/>
      </w:tabs>
      <w:ind w:hanging="1418"/>
      <w:rPr>
        <w:color w:val="000000"/>
      </w:rPr>
    </w:pPr>
  </w:p>
  <w:p w14:paraId="61A94776" w14:textId="77777777" w:rsidR="00272688" w:rsidRDefault="00272688">
    <w:pP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94AE15" w14:textId="77777777" w:rsidR="00272688" w:rsidRDefault="00BF7E1B">
      <w:r>
        <w:separator/>
      </w:r>
    </w:p>
  </w:footnote>
  <w:footnote w:type="continuationSeparator" w:id="0">
    <w:p w14:paraId="09FEF333" w14:textId="77777777" w:rsidR="00272688" w:rsidRDefault="00BF7E1B">
      <w:r>
        <w:continuationSeparator/>
      </w:r>
    </w:p>
  </w:footnote>
  <w:footnote w:id="1">
    <w:p w14:paraId="54024764" w14:textId="77777777" w:rsidR="00272688" w:rsidRDefault="00BF7E1B">
      <w:pPr>
        <w:tabs>
          <w:tab w:val="left" w:pos="1540"/>
        </w:tabs>
        <w:ind w:leftChars="-150" w:left="-360" w:firstLine="600"/>
        <w:jc w:val="left"/>
        <w:rPr>
          <w:color w:val="000000"/>
          <w:sz w:val="20"/>
          <w:szCs w:val="20"/>
        </w:rPr>
      </w:pPr>
      <w:r>
        <w:rPr>
          <w:vertAlign w:val="superscript"/>
        </w:rPr>
        <w:footnoteRef/>
      </w:r>
      <w:r>
        <w:rPr>
          <w:color w:val="000000"/>
          <w:sz w:val="20"/>
          <w:szCs w:val="20"/>
        </w:rPr>
        <w:t xml:space="preserve"> Graduando em </w:t>
      </w:r>
      <w:r>
        <w:rPr>
          <w:sz w:val="20"/>
          <w:szCs w:val="20"/>
        </w:rPr>
        <w:t>curso de Medicina Veterinária - Centro Universitário UNICHRISFAPI. E-mail: kayllamelobrt@gmail.com.</w:t>
      </w:r>
    </w:p>
  </w:footnote>
  <w:footnote w:id="2">
    <w:p w14:paraId="7679B505" w14:textId="77777777" w:rsidR="00272688" w:rsidRDefault="00BF7E1B">
      <w:pPr>
        <w:tabs>
          <w:tab w:val="left" w:pos="1540"/>
        </w:tabs>
        <w:ind w:leftChars="-150" w:left="-360" w:firstLine="600"/>
        <w:jc w:val="left"/>
        <w:rPr>
          <w:color w:val="000000"/>
          <w:sz w:val="20"/>
          <w:szCs w:val="20"/>
        </w:rPr>
      </w:pPr>
      <w:r>
        <w:rPr>
          <w:vertAlign w:val="superscript"/>
        </w:rPr>
        <w:footnoteRef/>
      </w:r>
      <w:r>
        <w:rPr>
          <w:color w:val="000000"/>
          <w:sz w:val="20"/>
          <w:szCs w:val="20"/>
        </w:rPr>
        <w:t xml:space="preserve"> Graduando em </w:t>
      </w:r>
      <w:r>
        <w:rPr>
          <w:sz w:val="20"/>
          <w:szCs w:val="20"/>
        </w:rPr>
        <w:t>curso de Medicina Veterinária - Centro Universitário UNICHRISFAPI. E-mail: juniorcerqueira510@gmail.com.</w:t>
      </w:r>
    </w:p>
  </w:footnote>
  <w:footnote w:id="3">
    <w:p w14:paraId="36227E06" w14:textId="77777777" w:rsidR="00272688" w:rsidRDefault="00BF7E1B">
      <w:pPr>
        <w:tabs>
          <w:tab w:val="left" w:pos="2060"/>
          <w:tab w:val="left" w:pos="7240"/>
        </w:tabs>
        <w:ind w:leftChars="-150" w:left="-360" w:firstLine="600"/>
        <w:jc w:val="left"/>
        <w:rPr>
          <w:color w:val="000000"/>
          <w:sz w:val="20"/>
          <w:szCs w:val="20"/>
        </w:rPr>
      </w:pPr>
      <w:r>
        <w:rPr>
          <w:sz w:val="20"/>
          <w:szCs w:val="20"/>
          <w:vertAlign w:val="superscript"/>
        </w:rPr>
        <w:footnoteRef/>
      </w:r>
      <w:r>
        <w:rPr>
          <w:color w:val="000000"/>
          <w:sz w:val="20"/>
          <w:szCs w:val="20"/>
        </w:rPr>
        <w:t xml:space="preserve"> </w:t>
      </w:r>
      <w:r>
        <w:rPr>
          <w:sz w:val="20"/>
          <w:szCs w:val="20"/>
        </w:rPr>
        <w:t>Médico Veterinário - UFPI. Mestre em Ciência Animal -  UFPI. Docente do curso de Medicina Veterinária do Centro Universitário UNICHRISFAPI.E-mail:vtefernandes@hotmail.com</w:t>
      </w:r>
    </w:p>
  </w:footnote>
  <w:footnote w:id="4">
    <w:p w14:paraId="644973BC" w14:textId="77777777" w:rsidR="00272688" w:rsidRDefault="00BF7E1B">
      <w:pPr>
        <w:tabs>
          <w:tab w:val="left" w:pos="2060"/>
          <w:tab w:val="left" w:pos="7240"/>
        </w:tabs>
        <w:ind w:leftChars="-150" w:left="-360" w:firstLine="600"/>
        <w:jc w:val="left"/>
        <w:rPr>
          <w:color w:val="000000"/>
          <w:sz w:val="20"/>
          <w:szCs w:val="20"/>
        </w:rPr>
      </w:pPr>
      <w:r>
        <w:rPr>
          <w:sz w:val="20"/>
          <w:szCs w:val="20"/>
          <w:vertAlign w:val="superscript"/>
        </w:rPr>
        <w:footnoteRef/>
      </w:r>
      <w:r>
        <w:rPr>
          <w:color w:val="000000"/>
          <w:sz w:val="20"/>
          <w:szCs w:val="20"/>
        </w:rPr>
        <w:t xml:space="preserve"> </w:t>
      </w:r>
      <w:r>
        <w:rPr>
          <w:sz w:val="20"/>
          <w:szCs w:val="20"/>
        </w:rPr>
        <w:t>Médica veterinária pela Universidade Federal do Piauí-UFPI. Especialista em clínica médica e cirúrgica de pequenos animais, pela FACULDADE QUALITTAS. Docente do curso de Bacharelado em Medicina Veterinária Christus Faculdade do Piauí. E-mail: palomamedeirosvet@gmail.com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4903D" w14:textId="77777777" w:rsidR="00272688" w:rsidRDefault="00BF7E1B">
    <w:pPr>
      <w:tabs>
        <w:tab w:val="left" w:pos="2595"/>
        <w:tab w:val="center" w:pos="4252"/>
        <w:tab w:val="left" w:pos="7670"/>
        <w:tab w:val="right" w:pos="8504"/>
      </w:tabs>
      <w:rPr>
        <w:color w:val="000000"/>
      </w:rPr>
    </w:pPr>
    <w:r>
      <w:rPr>
        <w:color w:val="000000"/>
      </w:rPr>
      <w:tab/>
    </w:r>
    <w:r>
      <w:rPr>
        <w:color w:val="000000"/>
      </w:rPr>
      <w:tab/>
    </w:r>
    <w:r>
      <w:rPr>
        <w:noProof/>
      </w:rPr>
      <w:drawing>
        <wp:anchor distT="0" distB="0" distL="0" distR="0" simplePos="0" relativeHeight="251659264" behindDoc="1" locked="0" layoutInCell="1" allowOverlap="1" wp14:anchorId="44F3853D" wp14:editId="4D4B4961">
          <wp:simplePos x="0" y="0"/>
          <wp:positionH relativeFrom="column">
            <wp:posOffset>-1075690</wp:posOffset>
          </wp:positionH>
          <wp:positionV relativeFrom="paragraph">
            <wp:posOffset>-448945</wp:posOffset>
          </wp:positionV>
          <wp:extent cx="7573645" cy="1400175"/>
          <wp:effectExtent l="0" t="0" r="8255" b="9525"/>
          <wp:wrapNone/>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referRelativeResize="0"/>
                </pic:nvPicPr>
                <pic:blipFill>
                  <a:blip r:embed="rId1"/>
                  <a:srcRect t="4160" b="4160"/>
                  <a:stretch>
                    <a:fillRect/>
                  </a:stretch>
                </pic:blipFill>
                <pic:spPr>
                  <a:xfrm>
                    <a:off x="0" y="0"/>
                    <a:ext cx="7573328" cy="1400175"/>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embedTrueTypeFonts/>
  <w:proofState w:spelling="clean"/>
  <w:revisionView w:inkAnnotations="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AFC"/>
    <w:rsid w:val="00006BDF"/>
    <w:rsid w:val="001510F5"/>
    <w:rsid w:val="00272688"/>
    <w:rsid w:val="002B1B4F"/>
    <w:rsid w:val="003930A7"/>
    <w:rsid w:val="003E5557"/>
    <w:rsid w:val="00417BBC"/>
    <w:rsid w:val="0042314A"/>
    <w:rsid w:val="00472A25"/>
    <w:rsid w:val="004964EA"/>
    <w:rsid w:val="005F50CB"/>
    <w:rsid w:val="0068623C"/>
    <w:rsid w:val="006B4B0B"/>
    <w:rsid w:val="006B5DED"/>
    <w:rsid w:val="006F1D66"/>
    <w:rsid w:val="00710CCC"/>
    <w:rsid w:val="00761637"/>
    <w:rsid w:val="007620AC"/>
    <w:rsid w:val="00814CAA"/>
    <w:rsid w:val="008A1B05"/>
    <w:rsid w:val="008B24BA"/>
    <w:rsid w:val="00913B13"/>
    <w:rsid w:val="00955BB1"/>
    <w:rsid w:val="00975504"/>
    <w:rsid w:val="00985AFC"/>
    <w:rsid w:val="009935BE"/>
    <w:rsid w:val="009E5CA5"/>
    <w:rsid w:val="009F0100"/>
    <w:rsid w:val="009F32F7"/>
    <w:rsid w:val="009F78DC"/>
    <w:rsid w:val="00A1543F"/>
    <w:rsid w:val="00B34596"/>
    <w:rsid w:val="00BB5399"/>
    <w:rsid w:val="00BF7E1B"/>
    <w:rsid w:val="00C7395A"/>
    <w:rsid w:val="00C802BF"/>
    <w:rsid w:val="00D325CD"/>
    <w:rsid w:val="00E021DB"/>
    <w:rsid w:val="00E14570"/>
    <w:rsid w:val="00E81A70"/>
    <w:rsid w:val="00F23BD6"/>
    <w:rsid w:val="00F968D1"/>
    <w:rsid w:val="02BF1295"/>
    <w:rsid w:val="27EF6515"/>
    <w:rsid w:val="2C6106B8"/>
    <w:rsid w:val="48B45C27"/>
    <w:rsid w:val="73707BF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A3DCB91"/>
  <w15:docId w15:val="{C3670741-E277-F447-9494-AEE3D15D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firstLine="720"/>
      <w:jc w:val="both"/>
    </w:pPr>
    <w:rPr>
      <w:rFonts w:ascii="Arial" w:eastAsia="Times New Roman" w:hAnsi="Arial"/>
      <w:sz w:val="24"/>
      <w:szCs w:val="22"/>
    </w:rPr>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qFormat/>
    <w:rPr>
      <w:color w:val="0000FF"/>
      <w:u w:val="single"/>
    </w:rPr>
  </w:style>
  <w:style w:type="paragraph" w:styleId="Ttulo">
    <w:name w:val="Title"/>
    <w:basedOn w:val="Normal"/>
    <w:next w:val="Normal"/>
    <w:uiPriority w:val="10"/>
    <w:qFormat/>
    <w:pPr>
      <w:keepNext/>
      <w:keepLines/>
      <w:spacing w:before="480" w:after="120"/>
    </w:pPr>
    <w:rPr>
      <w:b/>
      <w:bCs/>
      <w:sz w:val="72"/>
      <w:szCs w:val="72"/>
    </w:rPr>
  </w:style>
  <w:style w:type="paragraph" w:styleId="Cabealho">
    <w:name w:val="header"/>
    <w:basedOn w:val="Normal"/>
    <w:link w:val="CabealhoChar"/>
    <w:uiPriority w:val="99"/>
    <w:unhideWhenUsed/>
    <w:qFormat/>
    <w:pPr>
      <w:tabs>
        <w:tab w:val="center" w:pos="4252"/>
        <w:tab w:val="right" w:pos="8504"/>
      </w:tabs>
    </w:pPr>
  </w:style>
  <w:style w:type="paragraph" w:styleId="Rodap">
    <w:name w:val="footer"/>
    <w:basedOn w:val="Normal"/>
    <w:link w:val="RodapChar"/>
    <w:uiPriority w:val="99"/>
    <w:unhideWhenUsed/>
    <w:qFormat/>
    <w:pPr>
      <w:tabs>
        <w:tab w:val="center" w:pos="4252"/>
        <w:tab w:val="right" w:pos="8504"/>
      </w:tabs>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qFormat/>
    <w:tblPr>
      <w:tblCellMar>
        <w:top w:w="100" w:type="dxa"/>
        <w:left w:w="100" w:type="dxa"/>
        <w:bottom w:w="100" w:type="dxa"/>
        <w:right w:w="100" w:type="dxa"/>
      </w:tblCellMar>
    </w:tblPr>
  </w:style>
  <w:style w:type="paragraph" w:customStyle="1" w:styleId="isselectedend">
    <w:name w:val="isselectedend"/>
    <w:basedOn w:val="Normal"/>
    <w:qFormat/>
    <w:pPr>
      <w:spacing w:before="100" w:beforeAutospacing="1" w:after="100" w:afterAutospacing="1"/>
    </w:pPr>
    <w:rPr>
      <w:szCs w:val="24"/>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paragraph" w:customStyle="1" w:styleId="REFERENCIAS">
    <w:name w:val="REFERENCIAS"/>
    <w:basedOn w:val="Normal"/>
    <w:link w:val="REFERENCIASChar"/>
    <w:qFormat/>
    <w:pPr>
      <w:tabs>
        <w:tab w:val="center" w:pos="4252"/>
        <w:tab w:val="right" w:pos="8504"/>
      </w:tabs>
      <w:ind w:firstLine="0"/>
      <w:jc w:val="left"/>
    </w:pPr>
    <w:rPr>
      <w:rFonts w:cs="Arial"/>
      <w:color w:val="000000"/>
      <w:szCs w:val="24"/>
    </w:rPr>
  </w:style>
  <w:style w:type="character" w:customStyle="1" w:styleId="REFERENCIASChar">
    <w:name w:val="REFERENCIAS Char"/>
    <w:basedOn w:val="Fontepargpadro"/>
    <w:link w:val="REFERENCIAS"/>
    <w:qFormat/>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102/pic.n0.2019.7653."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AD000-034A-4C1D-899C-0188D559F82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2066</Words>
  <Characters>13475</Characters>
  <Application>Microsoft Office Word</Application>
  <DocSecurity>0</DocSecurity>
  <Lines>112</Lines>
  <Paragraphs>31</Paragraphs>
  <ScaleCrop>false</ScaleCrop>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Pichau</dc:creator>
  <cp:lastModifiedBy>Kaylla Brito</cp:lastModifiedBy>
  <cp:revision>2</cp:revision>
  <dcterms:created xsi:type="dcterms:W3CDTF">2026-09-09T22:13:00Z</dcterms:created>
  <dcterms:modified xsi:type="dcterms:W3CDTF">2026-09-09T22:13:00Z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eyJoZGlkIjoiMGZmZmRmZmE3M2IzYmEzZTM1ZTdiM2FjN2JlYTM4MzQiLCJ1c2VySWQiOiIxMjU0NTY1NzQ4MTQyIn0=</vt:lpwstr>
  </property>
  <property fmtid="{D5CDD505-2E9C-101B-9397-08002B2CF9AE}" pid="3" name="KSOProductBuildVer">
    <vt:lpwstr>1046-12.1.0.28485</vt:lpwstr>
  </property>
  <property fmtid="{D5CDD505-2E9C-101B-9397-08002B2CF9AE}" pid="4" name="ICV">
    <vt:lpwstr>D16E2B9DEC824EA78F4B94D82A4B15EB_13</vt:lpwstr>
  </property>
</Properties>
</file>