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9FC38" w14:textId="77777777" w:rsidR="000318C9" w:rsidRDefault="000318C9">
      <w:pPr>
        <w:spacing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000318C9">
        <w:rPr>
          <w:rFonts w:ascii="Arial" w:eastAsia="Arial" w:hAnsi="Arial" w:cs="Arial"/>
          <w:b/>
          <w:bCs/>
          <w:sz w:val="26"/>
          <w:szCs w:val="26"/>
        </w:rPr>
        <w:t>Luta pela Terra e Contradições do Estado: a experiência do Quilombo Campo Grande em Campo do Meio (MG)</w:t>
      </w:r>
    </w:p>
    <w:p w14:paraId="22471466" w14:textId="02F1FEF8" w:rsidR="001438FD" w:rsidRDefault="000318C9">
      <w:pPr>
        <w:spacing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Jadir Eduardo Corrêa Junior</w:t>
      </w:r>
      <w:r>
        <w:rPr>
          <w:rStyle w:val="Refdenotaderodap"/>
          <w:rFonts w:ascii="Arial" w:eastAsia="Arial" w:hAnsi="Arial" w:cs="Arial"/>
          <w:b/>
          <w:bCs/>
          <w:sz w:val="26"/>
          <w:szCs w:val="26"/>
        </w:rPr>
        <w:footnoteReference w:id="1"/>
      </w:r>
    </w:p>
    <w:p w14:paraId="1B6792E8" w14:textId="079BF194" w:rsidR="000318C9" w:rsidRDefault="000318C9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Joelson Gonçalves de Carvalho</w:t>
      </w:r>
      <w:r w:rsidR="0011469C">
        <w:rPr>
          <w:rStyle w:val="Refdenotaderodap"/>
          <w:rFonts w:ascii="Arial" w:eastAsia="Arial" w:hAnsi="Arial" w:cs="Arial"/>
          <w:b/>
          <w:bCs/>
          <w:sz w:val="26"/>
          <w:szCs w:val="26"/>
        </w:rPr>
        <w:footnoteReference w:id="2"/>
      </w:r>
      <w:bookmarkStart w:id="0" w:name="_GoBack"/>
      <w:bookmarkEnd w:id="0"/>
    </w:p>
    <w:p w14:paraId="41D30200" w14:textId="7A6C212D" w:rsidR="00BD6FAE" w:rsidRPr="00B2476C" w:rsidRDefault="008F43D2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 w:rsidRPr="00B2476C">
        <w:rPr>
          <w:rFonts w:ascii="Arial" w:eastAsia="Arial" w:hAnsi="Arial" w:cs="Arial"/>
          <w:sz w:val="26"/>
          <w:szCs w:val="26"/>
        </w:rPr>
        <w:t xml:space="preserve">Programa de Pós-graduação em </w:t>
      </w:r>
      <w:r w:rsidR="00BD6FAE" w:rsidRPr="00B2476C">
        <w:rPr>
          <w:rFonts w:ascii="Arial" w:eastAsia="Arial" w:hAnsi="Arial" w:cs="Arial"/>
          <w:sz w:val="26"/>
          <w:szCs w:val="26"/>
        </w:rPr>
        <w:t>Desenvolvimento Territorial e Meio Ambiente pela Universidade de Araraquara (</w:t>
      </w:r>
      <w:r w:rsidR="00342728" w:rsidRPr="00B2476C">
        <w:rPr>
          <w:rFonts w:ascii="Arial" w:eastAsia="Arial" w:hAnsi="Arial" w:cs="Arial"/>
          <w:sz w:val="26"/>
          <w:szCs w:val="26"/>
        </w:rPr>
        <w:t>PPGDTMA/</w:t>
      </w:r>
      <w:r w:rsidR="00BD6FAE" w:rsidRPr="00B2476C">
        <w:rPr>
          <w:rFonts w:ascii="Arial" w:eastAsia="Arial" w:hAnsi="Arial" w:cs="Arial"/>
          <w:sz w:val="26"/>
          <w:szCs w:val="26"/>
        </w:rPr>
        <w:t>Uniara)</w:t>
      </w:r>
    </w:p>
    <w:p w14:paraId="0B79821F" w14:textId="2DEA9924" w:rsidR="00BD6FAE" w:rsidRDefault="00D37A5E" w:rsidP="00BD6FAE">
      <w:pPr>
        <w:spacing w:before="0"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D37A5E">
        <w:rPr>
          <w:rFonts w:ascii="Arial" w:eastAsia="Arial" w:hAnsi="Arial" w:cs="Arial"/>
          <w:sz w:val="20"/>
          <w:szCs w:val="20"/>
        </w:rPr>
        <w:t>jadir-junior@hotmail.com</w:t>
      </w:r>
    </w:p>
    <w:p w14:paraId="57AD2D21" w14:textId="77777777" w:rsidR="00D37A5E" w:rsidRDefault="00D37A5E" w:rsidP="00BD6FAE">
      <w:pPr>
        <w:spacing w:before="0"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38ADB0EB" w14:textId="77777777" w:rsidR="00BD6FAE" w:rsidRDefault="00BD6FAE" w:rsidP="00BD6FAE">
      <w:pPr>
        <w:spacing w:before="0"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1E5C86A2" w14:textId="63D8ABA7" w:rsidR="00BD6FAE" w:rsidRPr="00BD6FAE" w:rsidRDefault="00BD6FAE" w:rsidP="00BD6FAE">
      <w:pPr>
        <w:spacing w:before="0" w:after="0" w:line="240" w:lineRule="auto"/>
        <w:jc w:val="center"/>
        <w:rPr>
          <w:rFonts w:ascii="Arial" w:eastAsia="Arial" w:hAnsi="Arial" w:cs="Arial"/>
          <w:sz w:val="20"/>
          <w:szCs w:val="20"/>
        </w:rPr>
        <w:sectPr w:rsidR="00BD6FAE" w:rsidRPr="00BD6FAE">
          <w:headerReference w:type="default" r:id="rId8"/>
          <w:pgSz w:w="11906" w:h="16838"/>
          <w:pgMar w:top="1871" w:right="1474" w:bottom="2381" w:left="1474" w:header="709" w:footer="709" w:gutter="0"/>
          <w:pgNumType w:start="1"/>
          <w:cols w:space="720"/>
        </w:sectPr>
      </w:pPr>
    </w:p>
    <w:p w14:paraId="5EA5B61D" w14:textId="77777777" w:rsidR="001438FD" w:rsidRDefault="00B2476C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Objetivos</w:t>
      </w:r>
    </w:p>
    <w:p w14:paraId="16485865" w14:textId="77777777" w:rsidR="001438FD" w:rsidRDefault="001438FD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</w:p>
    <w:p w14:paraId="102F64F2" w14:textId="77777777" w:rsidR="00A477D8" w:rsidRPr="00A477D8" w:rsidRDefault="00A477D8" w:rsidP="00A477D8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A477D8">
        <w:rPr>
          <w:rFonts w:ascii="Arial" w:eastAsia="Arial" w:hAnsi="Arial" w:cs="Arial"/>
          <w:sz w:val="20"/>
          <w:szCs w:val="20"/>
        </w:rPr>
        <w:t xml:space="preserve">O trabalho tem como objetivo analisar a luta pela terra no acampamento Quilombo Campo Grande, em Campo do Meio (MG), articulando-a ao processo histórico de formação territorial, concentração fundiária e resistência camponesa no Brasil. Procura-se compreender como a falência da Usina </w:t>
      </w:r>
      <w:proofErr w:type="spellStart"/>
      <w:r w:rsidRPr="00A477D8">
        <w:rPr>
          <w:rFonts w:ascii="Arial" w:eastAsia="Arial" w:hAnsi="Arial" w:cs="Arial"/>
          <w:sz w:val="20"/>
          <w:szCs w:val="20"/>
        </w:rPr>
        <w:t>Ariadnópolis</w:t>
      </w:r>
      <w:proofErr w:type="spellEnd"/>
      <w:r w:rsidRPr="00A477D8">
        <w:rPr>
          <w:rFonts w:ascii="Arial" w:eastAsia="Arial" w:hAnsi="Arial" w:cs="Arial"/>
          <w:sz w:val="20"/>
          <w:szCs w:val="20"/>
        </w:rPr>
        <w:t xml:space="preserve">, a organização de </w:t>
      </w:r>
      <w:proofErr w:type="spellStart"/>
      <w:r w:rsidRPr="00A477D8">
        <w:rPr>
          <w:rFonts w:ascii="Arial" w:eastAsia="Arial" w:hAnsi="Arial" w:cs="Arial"/>
          <w:sz w:val="20"/>
          <w:szCs w:val="20"/>
        </w:rPr>
        <w:t>ex-trabalhadores</w:t>
      </w:r>
      <w:proofErr w:type="spellEnd"/>
      <w:r w:rsidRPr="00A477D8">
        <w:rPr>
          <w:rFonts w:ascii="Arial" w:eastAsia="Arial" w:hAnsi="Arial" w:cs="Arial"/>
          <w:sz w:val="20"/>
          <w:szCs w:val="20"/>
        </w:rPr>
        <w:t xml:space="preserve"> rurais e a atuação do MST resultaram na constituição de uma rede de acampamentos e assentamentos, além de discutir o papel contraditório do Estado na mediação e na reprodução dos conflitos agrários na região.</w:t>
      </w:r>
    </w:p>
    <w:p w14:paraId="6A4434AD" w14:textId="77777777" w:rsidR="000318C9" w:rsidRPr="000318C9" w:rsidRDefault="000318C9">
      <w:pPr>
        <w:spacing w:before="120" w:after="120" w:line="240" w:lineRule="auto"/>
        <w:rPr>
          <w:rFonts w:ascii="Arial" w:eastAsia="Arial" w:hAnsi="Arial" w:cs="Arial"/>
          <w:sz w:val="26"/>
          <w:szCs w:val="26"/>
        </w:rPr>
      </w:pPr>
    </w:p>
    <w:p w14:paraId="6467532B" w14:textId="77777777" w:rsidR="001438FD" w:rsidRDefault="00B2476C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Métodos e Procedimentos</w:t>
      </w:r>
    </w:p>
    <w:p w14:paraId="7D45AED7" w14:textId="77777777" w:rsidR="009502BA" w:rsidRPr="009502BA" w:rsidRDefault="009502BA" w:rsidP="009502BA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  <w:r w:rsidRPr="009502BA">
        <w:rPr>
          <w:rFonts w:ascii="Arial" w:eastAsia="Arial" w:hAnsi="Arial" w:cs="Arial"/>
          <w:sz w:val="20"/>
          <w:szCs w:val="20"/>
        </w:rPr>
        <w:t xml:space="preserve">A pesquisa adota abordagem qualitativa, de caráter histórico-documental. Para sua realização, foram desenvolvidos levantamento </w:t>
      </w:r>
      <w:r w:rsidRPr="009502BA">
        <w:rPr>
          <w:rFonts w:ascii="Arial" w:eastAsia="Arial" w:hAnsi="Arial" w:cs="Arial"/>
          <w:sz w:val="20"/>
          <w:szCs w:val="20"/>
        </w:rPr>
        <w:t xml:space="preserve">bibliográfico sobre a formação do território sul-mineiro, o Quilombo do Campo Grande colonial, o setor sucroalcooleiro e a luta pela terra em Minas Gerais; análise de documentos oficiais, como decretos estaduais de desapropriação, portarias do INCRA sobre criação de assentamentos, decisões judiciais relativas à reintegração de posse e informações sobre a massa falida da usina; e exame de dossiês, relatórios e materiais produzidos por movimentos sociais, em especial o MST. A partir desse conjunto de fontes, reconstruiu-se a trajetória de greves, ocupações, reintegrações e reocupações, identificando-se os principais marcos da disputa fundiária na antiga fazenda </w:t>
      </w:r>
      <w:proofErr w:type="spellStart"/>
      <w:r w:rsidRPr="009502BA">
        <w:rPr>
          <w:rFonts w:ascii="Arial" w:eastAsia="Arial" w:hAnsi="Arial" w:cs="Arial"/>
          <w:sz w:val="20"/>
          <w:szCs w:val="20"/>
        </w:rPr>
        <w:t>Ariadnópolis</w:t>
      </w:r>
      <w:proofErr w:type="spellEnd"/>
      <w:r w:rsidRPr="009502BA">
        <w:rPr>
          <w:rFonts w:ascii="Arial" w:eastAsia="Arial" w:hAnsi="Arial" w:cs="Arial"/>
          <w:sz w:val="20"/>
          <w:szCs w:val="20"/>
        </w:rPr>
        <w:t xml:space="preserve"> e suas articulações com a dinâmica do agronegócio e com a atuação do Estado.</w:t>
      </w:r>
    </w:p>
    <w:p w14:paraId="54437D8D" w14:textId="77777777" w:rsidR="000318C9" w:rsidRDefault="000318C9" w:rsidP="000318C9">
      <w:pPr>
        <w:spacing w:before="120" w:after="120" w:line="240" w:lineRule="auto"/>
        <w:rPr>
          <w:rFonts w:ascii="Arial" w:eastAsia="Arial" w:hAnsi="Arial" w:cs="Arial"/>
          <w:sz w:val="20"/>
          <w:szCs w:val="20"/>
        </w:rPr>
      </w:pPr>
    </w:p>
    <w:p w14:paraId="6E3C8BEC" w14:textId="48BE8C89" w:rsidR="001438FD" w:rsidRDefault="00B2476C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Resultados</w:t>
      </w:r>
    </w:p>
    <w:p w14:paraId="719A68BF" w14:textId="77777777" w:rsidR="00EC6E75" w:rsidRPr="00EC6E75" w:rsidRDefault="00EC6E75" w:rsidP="00EC6E75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EC6E75">
        <w:rPr>
          <w:rFonts w:ascii="Arial" w:eastAsia="Arial" w:hAnsi="Arial" w:cs="Arial"/>
          <w:sz w:val="20"/>
          <w:szCs w:val="20"/>
        </w:rPr>
        <w:t xml:space="preserve">Os resultados evidenciam que o território onde se localiza o Quilombo Campo Grande foi historicamente estruturado pela grande </w:t>
      </w:r>
      <w:r w:rsidRPr="00EC6E75">
        <w:rPr>
          <w:rFonts w:ascii="Arial" w:eastAsia="Arial" w:hAnsi="Arial" w:cs="Arial"/>
          <w:sz w:val="20"/>
          <w:szCs w:val="20"/>
        </w:rPr>
        <w:lastRenderedPageBreak/>
        <w:t>propriedade e pela monocultura. A crise e a falência da usina, nos anos 1990, geraram demissões em massa sem garantia de direitos, desencadeando greves prolongadas e a opção coletiva pela ocupação de terras como forma de enfrentamento à expropriação. Desse processo surgiram diversos acampamentos e, posteriormente, assentamentos, como Primeiro do Sul e Nova Conquista II, ainda marcados por forte insegurança jurídica e pela permanência de áreas não regularizadas. As decisões judiciais que anularam decretos de interesse social e retomaram reintegrações de posse favoreceram grandes devedores e latifundiários, ao passo que a reintegração de 2020, em plena pandemia, resultou na destruição de moradias, lavouras e da Escola Popular Eduardo Galeano. Ao mesmo tempo, a reconstrução da escola e a continuidade da produção agroecológica revelam a resiliência organizativa das famílias e sua capacidade de articular redes de solidariedade.</w:t>
      </w:r>
    </w:p>
    <w:p w14:paraId="141CED8B" w14:textId="77777777" w:rsidR="000318C9" w:rsidRDefault="000318C9">
      <w:pPr>
        <w:spacing w:before="0" w:after="0" w:line="240" w:lineRule="auto"/>
        <w:rPr>
          <w:rFonts w:ascii="Arial" w:eastAsia="Arial" w:hAnsi="Arial" w:cs="Arial"/>
        </w:rPr>
      </w:pPr>
    </w:p>
    <w:p w14:paraId="0376BFA7" w14:textId="77777777" w:rsidR="001438FD" w:rsidRDefault="00B2476C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Conclusões</w:t>
      </w:r>
    </w:p>
    <w:p w14:paraId="7B85D1DB" w14:textId="77777777" w:rsidR="00EC6E75" w:rsidRPr="00EC6E75" w:rsidRDefault="00EC6E75" w:rsidP="00EC6E75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EC6E75">
        <w:rPr>
          <w:rFonts w:ascii="Arial" w:eastAsia="Arial" w:hAnsi="Arial" w:cs="Arial"/>
          <w:sz w:val="20"/>
          <w:szCs w:val="20"/>
        </w:rPr>
        <w:t xml:space="preserve">Conclui-se que o caso do Quilombo Campo Grande explicita a permanência estrutural da questão agrária no Brasil, marcada pela reprodução do latifúndio, pela concentração de poder econômico e político e pela atualização de mecanismos de expropriação da classe trabalhadora. A atuação do Estado aparece de forma ambígua: de um lado, por meio de seu aparato jurídico e policial, assegura a defesa da propriedade privada e a execução de despejos violentos; de outro, sob pressão dos movimentos sociais, implementa de forma limitada políticas de reforma agrária e a criação de assentamentos. As conquistas obtidas pelo MST e pelos </w:t>
      </w:r>
      <w:proofErr w:type="spellStart"/>
      <w:r w:rsidRPr="00EC6E75">
        <w:rPr>
          <w:rFonts w:ascii="Arial" w:eastAsia="Arial" w:hAnsi="Arial" w:cs="Arial"/>
          <w:sz w:val="20"/>
          <w:szCs w:val="20"/>
        </w:rPr>
        <w:t>ex-trabalhadores</w:t>
      </w:r>
      <w:proofErr w:type="spellEnd"/>
      <w:r w:rsidRPr="00EC6E75">
        <w:rPr>
          <w:rFonts w:ascii="Arial" w:eastAsia="Arial" w:hAnsi="Arial" w:cs="Arial"/>
          <w:sz w:val="20"/>
          <w:szCs w:val="20"/>
        </w:rPr>
        <w:t xml:space="preserve"> da Usina </w:t>
      </w:r>
      <w:proofErr w:type="spellStart"/>
      <w:r w:rsidRPr="00EC6E75">
        <w:rPr>
          <w:rFonts w:ascii="Arial" w:eastAsia="Arial" w:hAnsi="Arial" w:cs="Arial"/>
          <w:sz w:val="20"/>
          <w:szCs w:val="20"/>
        </w:rPr>
        <w:t>Ariadnópolis</w:t>
      </w:r>
      <w:proofErr w:type="spellEnd"/>
      <w:r w:rsidRPr="00EC6E75">
        <w:rPr>
          <w:rFonts w:ascii="Arial" w:eastAsia="Arial" w:hAnsi="Arial" w:cs="Arial"/>
          <w:sz w:val="20"/>
          <w:szCs w:val="20"/>
        </w:rPr>
        <w:t xml:space="preserve"> são relevantes, mas permanecem cercadas por incertezas, judicialização e ameaças recorrentes. Assim, o Quilombo Campo Grande ultrapassa a dimensão local e se torna expressão contemporânea da disputa pela democratização da terra e pela efetivação da função social da propriedade, apontando para a </w:t>
      </w:r>
      <w:r w:rsidRPr="00EC6E75">
        <w:rPr>
          <w:rFonts w:ascii="Arial" w:eastAsia="Arial" w:hAnsi="Arial" w:cs="Arial"/>
          <w:sz w:val="20"/>
          <w:szCs w:val="20"/>
        </w:rPr>
        <w:t>necessidade de uma reforma agrária ampla, articulada à justiça social e à soberania alimentar.</w:t>
      </w:r>
    </w:p>
    <w:p w14:paraId="67A5249F" w14:textId="77777777" w:rsidR="001438FD" w:rsidRPr="000318C9" w:rsidRDefault="001438FD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</w:p>
    <w:p w14:paraId="3A883F90" w14:textId="77777777" w:rsidR="001438FD" w:rsidRDefault="001438FD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</w:p>
    <w:p w14:paraId="17FB5619" w14:textId="77777777" w:rsidR="001438FD" w:rsidRDefault="00B2476C">
      <w:pPr>
        <w:spacing w:before="120" w:after="12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Referências</w:t>
      </w:r>
    </w:p>
    <w:p w14:paraId="09127B9A" w14:textId="77777777" w:rsidR="00A07A2D" w:rsidRPr="00A07A2D" w:rsidRDefault="00A07A2D" w:rsidP="00A07A2D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A07A2D">
        <w:rPr>
          <w:rFonts w:ascii="Arial" w:eastAsia="Arial" w:hAnsi="Arial" w:cs="Arial"/>
          <w:sz w:val="20"/>
          <w:szCs w:val="20"/>
        </w:rPr>
        <w:t xml:space="preserve">CARVALHO, Joelson Gonçalves de. </w:t>
      </w:r>
      <w:r w:rsidRPr="00A07A2D">
        <w:rPr>
          <w:rFonts w:ascii="Arial" w:eastAsia="Arial" w:hAnsi="Arial" w:cs="Arial"/>
          <w:b/>
          <w:bCs/>
          <w:sz w:val="20"/>
          <w:szCs w:val="20"/>
        </w:rPr>
        <w:t>Economia agrária</w:t>
      </w:r>
      <w:r w:rsidRPr="00A07A2D">
        <w:rPr>
          <w:rFonts w:ascii="Arial" w:eastAsia="Arial" w:hAnsi="Arial" w:cs="Arial"/>
          <w:sz w:val="20"/>
          <w:szCs w:val="20"/>
        </w:rPr>
        <w:t xml:space="preserve">. Rio de Janeiro: Fundação </w:t>
      </w:r>
      <w:proofErr w:type="spellStart"/>
      <w:r w:rsidRPr="00A07A2D">
        <w:rPr>
          <w:rFonts w:ascii="Arial" w:eastAsia="Arial" w:hAnsi="Arial" w:cs="Arial"/>
          <w:sz w:val="20"/>
          <w:szCs w:val="20"/>
        </w:rPr>
        <w:t>Cecierj</w:t>
      </w:r>
      <w:proofErr w:type="spellEnd"/>
      <w:r w:rsidRPr="00A07A2D">
        <w:rPr>
          <w:rFonts w:ascii="Arial" w:eastAsia="Arial" w:hAnsi="Arial" w:cs="Arial"/>
          <w:sz w:val="20"/>
          <w:szCs w:val="20"/>
        </w:rPr>
        <w:t>, 2015. 246 p.</w:t>
      </w:r>
    </w:p>
    <w:p w14:paraId="1AA562B1" w14:textId="77777777" w:rsidR="00A07A2D" w:rsidRDefault="00A07A2D" w:rsidP="00EC6E75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</w:p>
    <w:p w14:paraId="4A9386DE" w14:textId="3CA82BCE" w:rsidR="00EC6E75" w:rsidRPr="00EC6E75" w:rsidRDefault="00EC6E75" w:rsidP="00EC6E75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EC6E75">
        <w:rPr>
          <w:rFonts w:ascii="Arial" w:eastAsia="Arial" w:hAnsi="Arial" w:cs="Arial"/>
          <w:sz w:val="20"/>
          <w:szCs w:val="20"/>
        </w:rPr>
        <w:t xml:space="preserve">COCA, Estevan Leopoldo de Freitas; BEZERRA, Cristina; CAPUCHINHO, Michelle Neves. </w:t>
      </w:r>
      <w:r w:rsidRPr="00EC6E75">
        <w:rPr>
          <w:rFonts w:ascii="Arial" w:eastAsia="Arial" w:hAnsi="Arial" w:cs="Arial"/>
          <w:b/>
          <w:bCs/>
          <w:sz w:val="20"/>
          <w:szCs w:val="20"/>
        </w:rPr>
        <w:t>Dossiê Quilombo Campo Grande</w:t>
      </w:r>
      <w:r w:rsidRPr="00EC6E75">
        <w:rPr>
          <w:rFonts w:ascii="Arial" w:eastAsia="Arial" w:hAnsi="Arial" w:cs="Arial"/>
          <w:sz w:val="20"/>
          <w:szCs w:val="20"/>
        </w:rPr>
        <w:t xml:space="preserve">: aspectos históricos, sociais, econômicos e políticos para implantação definitiva do Assentamento Quilombo Campo Grande, antiga fazenda </w:t>
      </w:r>
      <w:proofErr w:type="spellStart"/>
      <w:r w:rsidRPr="00EC6E75">
        <w:rPr>
          <w:rFonts w:ascii="Arial" w:eastAsia="Arial" w:hAnsi="Arial" w:cs="Arial"/>
          <w:sz w:val="20"/>
          <w:szCs w:val="20"/>
        </w:rPr>
        <w:t>Ariadnópolis</w:t>
      </w:r>
      <w:proofErr w:type="spellEnd"/>
      <w:r w:rsidRPr="00EC6E75">
        <w:rPr>
          <w:rFonts w:ascii="Arial" w:eastAsia="Arial" w:hAnsi="Arial" w:cs="Arial"/>
          <w:sz w:val="20"/>
          <w:szCs w:val="20"/>
        </w:rPr>
        <w:t>, Campo do Meio, MG. [S. l.: s. n.], 2020.</w:t>
      </w:r>
    </w:p>
    <w:p w14:paraId="18A9E2AB" w14:textId="77777777" w:rsidR="00EC6E75" w:rsidRPr="00EC6E75" w:rsidRDefault="00EC6E75" w:rsidP="00EC6E75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</w:p>
    <w:p w14:paraId="486982CD" w14:textId="77777777" w:rsidR="00EC6E75" w:rsidRPr="00EC6E75" w:rsidRDefault="00EC6E75" w:rsidP="00EC6E75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EC6E75">
        <w:rPr>
          <w:rFonts w:ascii="Arial" w:eastAsia="Arial" w:hAnsi="Arial" w:cs="Arial"/>
          <w:sz w:val="20"/>
          <w:szCs w:val="20"/>
        </w:rPr>
        <w:t xml:space="preserve">CORRÊA JUNIOR, Jadir Eduardo; JUNIOR, Osvaldo </w:t>
      </w:r>
      <w:proofErr w:type="spellStart"/>
      <w:r w:rsidRPr="00EC6E75">
        <w:rPr>
          <w:rFonts w:ascii="Arial" w:eastAsia="Arial" w:hAnsi="Arial" w:cs="Arial"/>
          <w:sz w:val="20"/>
          <w:szCs w:val="20"/>
        </w:rPr>
        <w:t>Aly</w:t>
      </w:r>
      <w:proofErr w:type="spellEnd"/>
      <w:r w:rsidRPr="00EC6E75">
        <w:rPr>
          <w:rFonts w:ascii="Arial" w:eastAsia="Arial" w:hAnsi="Arial" w:cs="Arial"/>
          <w:sz w:val="20"/>
          <w:szCs w:val="20"/>
        </w:rPr>
        <w:t xml:space="preserve">; CARVALHO, Joelson Gonçalves de. O latifúndio como forma e a exclusão como regra: obstáculos à reforma agrária no Brasil a partir do caso do acampamento Quilombo Campo Grande. </w:t>
      </w:r>
      <w:r w:rsidRPr="00EC6E75">
        <w:rPr>
          <w:rFonts w:ascii="Arial" w:eastAsia="Arial" w:hAnsi="Arial" w:cs="Arial"/>
          <w:b/>
          <w:bCs/>
          <w:sz w:val="20"/>
          <w:szCs w:val="20"/>
        </w:rPr>
        <w:t>Retratos de Assentamentos</w:t>
      </w:r>
      <w:r w:rsidRPr="00EC6E75">
        <w:rPr>
          <w:rFonts w:ascii="Arial" w:eastAsia="Arial" w:hAnsi="Arial" w:cs="Arial"/>
          <w:sz w:val="20"/>
          <w:szCs w:val="20"/>
        </w:rPr>
        <w:t>, [s. l.], v. 27, n. 1, p. 222-243, 2024.</w:t>
      </w:r>
    </w:p>
    <w:p w14:paraId="12CBD3A8" w14:textId="77777777" w:rsidR="00EC6E75" w:rsidRPr="00EC6E75" w:rsidRDefault="00EC6E75" w:rsidP="00EC6E75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</w:p>
    <w:p w14:paraId="72515C47" w14:textId="30839E10" w:rsidR="001438FD" w:rsidRDefault="00EC6E75" w:rsidP="00EC6E75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 w:rsidRPr="00EC6E75">
        <w:rPr>
          <w:rFonts w:ascii="Arial" w:eastAsia="Arial" w:hAnsi="Arial" w:cs="Arial"/>
          <w:sz w:val="20"/>
          <w:szCs w:val="20"/>
        </w:rPr>
        <w:t xml:space="preserve">XAVIER, Gabriela </w:t>
      </w:r>
      <w:proofErr w:type="spellStart"/>
      <w:r w:rsidRPr="00EC6E75">
        <w:rPr>
          <w:rFonts w:ascii="Arial" w:eastAsia="Arial" w:hAnsi="Arial" w:cs="Arial"/>
          <w:sz w:val="20"/>
          <w:szCs w:val="20"/>
        </w:rPr>
        <w:t>Taíse</w:t>
      </w:r>
      <w:proofErr w:type="spellEnd"/>
      <w:r w:rsidRPr="00EC6E75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EC6E75">
        <w:rPr>
          <w:rFonts w:ascii="Arial" w:eastAsia="Arial" w:hAnsi="Arial" w:cs="Arial"/>
          <w:sz w:val="20"/>
          <w:szCs w:val="20"/>
        </w:rPr>
        <w:t>Poiati</w:t>
      </w:r>
      <w:proofErr w:type="spellEnd"/>
      <w:r w:rsidRPr="00EC6E75">
        <w:rPr>
          <w:rFonts w:ascii="Arial" w:eastAsia="Arial" w:hAnsi="Arial" w:cs="Arial"/>
          <w:sz w:val="20"/>
          <w:szCs w:val="20"/>
        </w:rPr>
        <w:t xml:space="preserve">. </w:t>
      </w:r>
      <w:r w:rsidRPr="00EC6E75">
        <w:rPr>
          <w:rFonts w:ascii="Arial" w:eastAsia="Arial" w:hAnsi="Arial" w:cs="Arial"/>
          <w:b/>
          <w:bCs/>
          <w:sz w:val="20"/>
          <w:szCs w:val="20"/>
        </w:rPr>
        <w:t>Mulheres na questão agrária</w:t>
      </w:r>
      <w:r w:rsidRPr="00EC6E75">
        <w:rPr>
          <w:rFonts w:ascii="Arial" w:eastAsia="Arial" w:hAnsi="Arial" w:cs="Arial"/>
          <w:sz w:val="20"/>
          <w:szCs w:val="20"/>
        </w:rPr>
        <w:t>: um estudo sobre o coletivo “Raízes da Terra” do Acampamento Quilombo Campo Grande, Campo do Meio-MG. 2022. Dissertação (Mestrado) – Universidade Federal de Alfenas, Alfenas, MG, 2022.</w:t>
      </w:r>
    </w:p>
    <w:sectPr w:rsidR="001438FD">
      <w:type w:val="continuous"/>
      <w:pgSz w:w="11906" w:h="16838"/>
      <w:pgMar w:top="1871" w:right="1474" w:bottom="2381" w:left="1474" w:header="709" w:footer="709" w:gutter="0"/>
      <w:cols w:num="2" w:space="720" w:equalWidth="0">
        <w:col w:w="4251" w:space="454"/>
        <w:col w:w="425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246E3" w14:textId="77777777" w:rsidR="006C5F76" w:rsidRDefault="006C5F76">
      <w:pPr>
        <w:spacing w:before="0" w:after="0" w:line="240" w:lineRule="auto"/>
      </w:pPr>
      <w:r>
        <w:separator/>
      </w:r>
    </w:p>
  </w:endnote>
  <w:endnote w:type="continuationSeparator" w:id="0">
    <w:p w14:paraId="4D1A1E02" w14:textId="77777777" w:rsidR="006C5F76" w:rsidRDefault="006C5F7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CB11F11-62F1-8448-A832-168A4205ED08}"/>
    <w:embedBold r:id="rId2" w:fontKey="{7F8D8423-8AA9-AC4A-A6E3-60C8A610B1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BCABECA-418E-7E46-9645-068B257AD62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BF48741-4450-E44F-8702-9AC615CC03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7A068CA1-E4C9-874F-9B6A-2EFC1CEE9112}"/>
    <w:embedBold r:id="rId6" w:fontKey="{621EE98E-89C2-8B48-AF8A-435FFF8E6C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03EC45E-697B-324F-9203-FFC43981110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DD691" w14:textId="77777777" w:rsidR="006C5F76" w:rsidRDefault="006C5F76">
      <w:pPr>
        <w:spacing w:before="0" w:after="0" w:line="240" w:lineRule="auto"/>
      </w:pPr>
      <w:r>
        <w:separator/>
      </w:r>
    </w:p>
  </w:footnote>
  <w:footnote w:type="continuationSeparator" w:id="0">
    <w:p w14:paraId="433C5601" w14:textId="77777777" w:rsidR="006C5F76" w:rsidRDefault="006C5F76">
      <w:pPr>
        <w:spacing w:before="0" w:after="0" w:line="240" w:lineRule="auto"/>
      </w:pPr>
      <w:r>
        <w:continuationSeparator/>
      </w:r>
    </w:p>
  </w:footnote>
  <w:footnote w:id="1">
    <w:p w14:paraId="18CF2E23" w14:textId="1ED5B560" w:rsidR="000318C9" w:rsidRDefault="000318C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11469C" w:rsidRPr="0011469C">
        <w:t>Bacharel em Economia (UFRRJ) e mestre em Desenvolvimento Territorial e Meio Ambiente pela Universidade de Araraquara (Uniara). É pesquisador do Núcleo de Pesquisa e Extensão Rural da Universidade Federal de São Carlos (</w:t>
      </w:r>
      <w:proofErr w:type="spellStart"/>
      <w:r w:rsidR="0011469C" w:rsidRPr="0011469C">
        <w:t>NuPER</w:t>
      </w:r>
      <w:proofErr w:type="spellEnd"/>
      <w:r w:rsidR="0011469C" w:rsidRPr="0011469C">
        <w:t>/UFSCar).</w:t>
      </w:r>
    </w:p>
  </w:footnote>
  <w:footnote w:id="2">
    <w:p w14:paraId="048F7C1B" w14:textId="27ED0DAC" w:rsidR="0011469C" w:rsidRDefault="0011469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11469C">
        <w:t xml:space="preserve">Professor do Departamento de Ciências Sociais da UFSCar, do Programa de Pós-Graduação em Agroecologia e Desenvolvimento Rural (PPGADR/UFSCar e do Programa de Pós-Graduação em Desenvolvimento Territorial e Meio Ambiente da Uniara. Coordenador do </w:t>
      </w:r>
      <w:proofErr w:type="spellStart"/>
      <w:r w:rsidRPr="0011469C">
        <w:t>NuPER</w:t>
      </w:r>
      <w:proofErr w:type="spellEnd"/>
      <w:r w:rsidRPr="0011469C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7D694" w14:textId="77777777" w:rsidR="001438FD" w:rsidRDefault="00B2476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inline distT="114300" distB="114300" distL="114300" distR="114300" wp14:anchorId="1332F551" wp14:editId="24F9D92D">
          <wp:extent cx="1316673" cy="1316673"/>
          <wp:effectExtent l="0" t="0" r="0" b="0"/>
          <wp:docPr id="10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6673" cy="13166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DisplayPageBoundaries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8FD"/>
    <w:rsid w:val="0001648F"/>
    <w:rsid w:val="000318C9"/>
    <w:rsid w:val="0011469C"/>
    <w:rsid w:val="001438FD"/>
    <w:rsid w:val="00342728"/>
    <w:rsid w:val="006C5F76"/>
    <w:rsid w:val="008F43D2"/>
    <w:rsid w:val="009502BA"/>
    <w:rsid w:val="00A07A2D"/>
    <w:rsid w:val="00A477D8"/>
    <w:rsid w:val="00AB06E1"/>
    <w:rsid w:val="00B2476C"/>
    <w:rsid w:val="00B27A6D"/>
    <w:rsid w:val="00BD6FAE"/>
    <w:rsid w:val="00D37A5E"/>
    <w:rsid w:val="00D522D4"/>
    <w:rsid w:val="00E1754E"/>
    <w:rsid w:val="00E17586"/>
    <w:rsid w:val="00EB06C4"/>
    <w:rsid w:val="00EC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A463"/>
  <w15:docId w15:val="{B03FB86B-1F16-49FF-B90C-BD65F3E5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before="240" w:after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318C9"/>
    <w:pPr>
      <w:spacing w:before="0"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318C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318C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D37A5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37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qxLvr5MWdIPXdJFgQGmco1CrXA==">CgMxLjA4AHIhMVNjVDlsQUdWZ1NmQ1Z1NGJUa1pFYXNteVZBRndRSEEx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A3294D-DF02-8B40-A98F-86F336064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760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Jadir Corrêa</cp:lastModifiedBy>
  <cp:revision>13</cp:revision>
  <dcterms:created xsi:type="dcterms:W3CDTF">2026-03-18T21:08:00Z</dcterms:created>
  <dcterms:modified xsi:type="dcterms:W3CDTF">2026-03-22T14:39:00Z</dcterms:modified>
</cp:coreProperties>
</file>