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9CB2387" w14:textId="77777777" w:rsidR="00802BB5" w:rsidRDefault="00802BB5" w:rsidP="00802BB5">
      <w:pPr>
        <w:jc w:val="center"/>
      </w:pPr>
      <w:r>
        <w:rPr>
          <w:b/>
          <w:sz w:val="28"/>
        </w:rPr>
        <w:t>A IMPORTÂNCIA DOS RETENTORES INTRA-RADICULARES NA REABILITAÇÃO DE DENTES ANTERIORES TRATADOS ENDODONTICAMENTE</w:t>
      </w:r>
    </w:p>
    <w:p w14:paraId="3127D403" w14:textId="56D89528" w:rsidR="006E2811" w:rsidRPr="00FB252A" w:rsidRDefault="006E2811" w:rsidP="006E2811">
      <w:pPr>
        <w:spacing w:after="120"/>
        <w:ind w:left="709" w:right="665"/>
        <w:jc w:val="center"/>
        <w:rPr>
          <w:rFonts w:asciiTheme="minorHAnsi" w:hAnsiTheme="minorHAnsi" w:cstheme="minorHAnsi"/>
          <w:sz w:val="28"/>
        </w:rPr>
      </w:pP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1436D7B0" w14:textId="54B29A08" w:rsidR="00FB252A" w:rsidRPr="00A41D52" w:rsidRDefault="001C1921" w:rsidP="00A41D52">
      <w:pPr>
        <w:jc w:val="center"/>
        <w:rPr>
          <w:b/>
        </w:rPr>
      </w:pPr>
      <w:proofErr w:type="spellStart"/>
      <w:r w:rsidRPr="00A41D52">
        <w:rPr>
          <w:rFonts w:asciiTheme="minorHAnsi" w:hAnsiTheme="minorHAnsi" w:cstheme="minorHAnsi"/>
          <w:b/>
          <w:sz w:val="22"/>
          <w:szCs w:val="22"/>
        </w:rPr>
        <w:t>Layanna</w:t>
      </w:r>
      <w:proofErr w:type="spellEnd"/>
      <w:r w:rsidRPr="00A41D52">
        <w:rPr>
          <w:rFonts w:asciiTheme="minorHAnsi" w:hAnsiTheme="minorHAnsi" w:cstheme="minorHAnsi"/>
          <w:b/>
          <w:sz w:val="22"/>
          <w:szCs w:val="22"/>
        </w:rPr>
        <w:t xml:space="preserve"> Nascimento DE PAULA</w:t>
      </w:r>
      <w:r w:rsidR="00FB252A" w:rsidRPr="00A41D52">
        <w:rPr>
          <w:rStyle w:val="Refdenotaderodap"/>
          <w:rFonts w:asciiTheme="minorHAnsi" w:hAnsiTheme="minorHAnsi" w:cstheme="minorHAnsi"/>
          <w:b/>
          <w:sz w:val="22"/>
          <w:szCs w:val="22"/>
        </w:rPr>
        <w:footnoteReference w:id="1"/>
      </w:r>
      <w:r w:rsidRPr="00A41D52">
        <w:rPr>
          <w:rFonts w:asciiTheme="minorHAnsi" w:hAnsiTheme="minorHAnsi" w:cstheme="minorHAnsi"/>
          <w:b/>
          <w:sz w:val="22"/>
          <w:szCs w:val="22"/>
        </w:rPr>
        <w:t xml:space="preserve">*, </w:t>
      </w:r>
      <w:proofErr w:type="spellStart"/>
      <w:r w:rsidRPr="00A41D52">
        <w:rPr>
          <w:rFonts w:asciiTheme="minorHAnsi" w:hAnsiTheme="minorHAnsi" w:cstheme="minorHAnsi"/>
          <w:b/>
          <w:sz w:val="22"/>
          <w:szCs w:val="22"/>
        </w:rPr>
        <w:t>Jaiza</w:t>
      </w:r>
      <w:proofErr w:type="spellEnd"/>
      <w:r w:rsidRPr="00A41D52">
        <w:rPr>
          <w:rFonts w:asciiTheme="minorHAnsi" w:hAnsiTheme="minorHAnsi" w:cstheme="minorHAnsi"/>
          <w:b/>
          <w:sz w:val="22"/>
          <w:szCs w:val="22"/>
        </w:rPr>
        <w:t xml:space="preserve"> Iris LIMA</w:t>
      </w:r>
      <w:r w:rsidRPr="00A41D52">
        <w:rPr>
          <w:rStyle w:val="Refdenotaderodap"/>
          <w:rFonts w:asciiTheme="minorHAnsi" w:hAnsiTheme="minorHAnsi" w:cstheme="minorHAnsi"/>
          <w:b/>
          <w:sz w:val="22"/>
          <w:szCs w:val="22"/>
        </w:rPr>
        <w:footnoteReference w:id="2"/>
      </w:r>
      <w:r w:rsidRPr="00A41D52">
        <w:rPr>
          <w:rFonts w:asciiTheme="minorHAnsi" w:hAnsiTheme="minorHAnsi" w:cstheme="minorHAnsi"/>
          <w:b/>
          <w:sz w:val="22"/>
          <w:szCs w:val="22"/>
        </w:rPr>
        <w:t xml:space="preserve">*, </w:t>
      </w:r>
      <w:r w:rsidRPr="00A41D52">
        <w:rPr>
          <w:rFonts w:asciiTheme="minorHAnsi" w:hAnsiTheme="minorHAnsi" w:cstheme="minorHAnsi"/>
          <w:b/>
          <w:sz w:val="22"/>
          <w:szCs w:val="22"/>
        </w:rPr>
        <w:t>Mar</w:t>
      </w:r>
      <w:r w:rsidRPr="00A41D52">
        <w:rPr>
          <w:rFonts w:asciiTheme="minorHAnsi" w:hAnsiTheme="minorHAnsi" w:cstheme="minorHAnsi"/>
          <w:b/>
          <w:sz w:val="22"/>
          <w:szCs w:val="22"/>
        </w:rPr>
        <w:t>celo Lopes da SILVA</w:t>
      </w:r>
      <w:r w:rsidRPr="00A41D52">
        <w:rPr>
          <w:rStyle w:val="Refdenotaderodap"/>
          <w:rFonts w:asciiTheme="minorHAnsi" w:hAnsiTheme="minorHAnsi" w:cstheme="minorHAnsi"/>
          <w:b/>
          <w:sz w:val="22"/>
          <w:szCs w:val="22"/>
        </w:rPr>
        <w:footnoteReference w:id="3"/>
      </w:r>
    </w:p>
    <w:p w14:paraId="6CDBE737" w14:textId="77777777" w:rsidR="001C1921" w:rsidRPr="00A41D52" w:rsidRDefault="001C1921" w:rsidP="00A41D52">
      <w:pPr>
        <w:spacing w:after="120"/>
        <w:ind w:left="709" w:right="6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1D52">
        <w:rPr>
          <w:rFonts w:asciiTheme="minorHAnsi" w:hAnsiTheme="minorHAnsi" w:cstheme="minorHAnsi"/>
          <w:b/>
          <w:sz w:val="22"/>
          <w:szCs w:val="22"/>
        </w:rPr>
        <w:t>1Aluno de graduação, Centro Universitário Santo Agostinho (UNIFSA)</w:t>
      </w:r>
    </w:p>
    <w:p w14:paraId="62CC00EB" w14:textId="4B422849" w:rsidR="001C1921" w:rsidRPr="00A41D52" w:rsidRDefault="001C1921" w:rsidP="00A41D52">
      <w:pPr>
        <w:spacing w:after="120"/>
        <w:ind w:left="709" w:right="6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1D52">
        <w:rPr>
          <w:rFonts w:asciiTheme="minorHAnsi" w:hAnsiTheme="minorHAnsi" w:cstheme="minorHAnsi"/>
          <w:b/>
          <w:sz w:val="22"/>
          <w:szCs w:val="22"/>
        </w:rPr>
        <w:t>Teresina-PI. E-mail: Nascimenlayane272@gmail.com</w:t>
      </w:r>
    </w:p>
    <w:p w14:paraId="66A23576" w14:textId="4A10F376" w:rsidR="00A41D52" w:rsidRPr="00A41D52" w:rsidRDefault="00A41D52" w:rsidP="00A41D52">
      <w:pPr>
        <w:spacing w:after="120"/>
        <w:ind w:left="709" w:right="6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1D52"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Pr="00A41D52">
        <w:rPr>
          <w:rFonts w:asciiTheme="minorHAnsi" w:hAnsiTheme="minorHAnsi" w:cstheme="minorHAnsi"/>
          <w:b/>
          <w:sz w:val="22"/>
          <w:szCs w:val="22"/>
        </w:rPr>
        <w:t>Aluno de graduação, Centro Universitário Santo Agostinho (UNIFSA)</w:t>
      </w:r>
    </w:p>
    <w:p w14:paraId="77E9E0C8" w14:textId="05276613" w:rsidR="00A41D52" w:rsidRPr="00A41D52" w:rsidRDefault="00A41D52" w:rsidP="00A41D52">
      <w:pPr>
        <w:spacing w:after="120"/>
        <w:ind w:left="709" w:right="6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1D52">
        <w:rPr>
          <w:rFonts w:asciiTheme="minorHAnsi" w:hAnsiTheme="minorHAnsi" w:cstheme="minorHAnsi"/>
          <w:b/>
          <w:sz w:val="22"/>
          <w:szCs w:val="22"/>
        </w:rPr>
        <w:t>Teresina-PI. E-</w:t>
      </w:r>
      <w:r w:rsidRPr="00A41D52">
        <w:rPr>
          <w:rFonts w:asciiTheme="minorHAnsi" w:hAnsiTheme="minorHAnsi" w:cstheme="minorHAnsi"/>
          <w:b/>
          <w:sz w:val="22"/>
          <w:szCs w:val="22"/>
        </w:rPr>
        <w:t>mail: Jaizairis@gmail.com</w:t>
      </w:r>
    </w:p>
    <w:p w14:paraId="17B2DD99" w14:textId="5151CC68" w:rsidR="00A41D52" w:rsidRDefault="00A41D52" w:rsidP="00A41D52">
      <w:pPr>
        <w:spacing w:after="120"/>
        <w:ind w:left="709" w:right="6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1D52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Professor,</w:t>
      </w:r>
      <w:r w:rsidRPr="00A41D52">
        <w:rPr>
          <w:rFonts w:asciiTheme="minorHAnsi" w:hAnsiTheme="minorHAnsi" w:cstheme="minorHAnsi"/>
          <w:b/>
          <w:sz w:val="22"/>
          <w:szCs w:val="22"/>
        </w:rPr>
        <w:t xml:space="preserve"> Centro Universitário Santo Agostinho (UNIFSA)</w:t>
      </w:r>
    </w:p>
    <w:p w14:paraId="0441A933" w14:textId="6351B9CD" w:rsidR="00A41D52" w:rsidRPr="00A41D52" w:rsidRDefault="00A41D52" w:rsidP="00A41D52">
      <w:pPr>
        <w:spacing w:after="120"/>
        <w:ind w:left="709" w:right="6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1D52">
        <w:rPr>
          <w:rFonts w:asciiTheme="minorHAnsi" w:hAnsiTheme="minorHAnsi" w:cstheme="minorHAnsi"/>
          <w:b/>
          <w:sz w:val="22"/>
          <w:szCs w:val="22"/>
        </w:rPr>
        <w:t xml:space="preserve">Teresina-PI. E-mail: </w:t>
      </w:r>
      <w:r w:rsidRPr="00A41D52">
        <w:rPr>
          <w:rFonts w:asciiTheme="minorHAnsi" w:hAnsiTheme="minorHAnsi" w:cstheme="minorHAnsi"/>
          <w:b/>
          <w:sz w:val="22"/>
          <w:szCs w:val="22"/>
        </w:rPr>
        <w:t>marcelolopes@unifsa.com.br</w:t>
      </w:r>
    </w:p>
    <w:p w14:paraId="579E1B2D" w14:textId="77777777" w:rsidR="00A41D52" w:rsidRPr="00A41D52" w:rsidRDefault="00A41D52" w:rsidP="00A41D52">
      <w:pPr>
        <w:spacing w:after="120"/>
        <w:ind w:left="709" w:right="66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88D3F3" w14:textId="5952E488" w:rsidR="001C1921" w:rsidRPr="00A41D52" w:rsidRDefault="001C1921" w:rsidP="006E2811">
      <w:pPr>
        <w:spacing w:after="120"/>
        <w:ind w:left="709" w:right="665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5AC2C84F" w14:textId="0F64B783" w:rsidR="00FB252A" w:rsidRDefault="00FB252A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14:paraId="0FD3B461" w14:textId="168073F1" w:rsidR="00802BB5" w:rsidRDefault="00802BB5" w:rsidP="00802BB5">
      <w:r>
        <w:t>I</w:t>
      </w:r>
      <w:r w:rsidRPr="00802BB5">
        <w:rPr>
          <w:b/>
        </w:rPr>
        <w:t>NTRODUÇÃO</w:t>
      </w:r>
      <w:r>
        <w:t xml:space="preserve">: A reabilitação de dentes anteriores tratados endodonticamente representa um desafio clínico, sobretudo quando há perda significativa da estrutura coronária. </w:t>
      </w:r>
      <w:r w:rsidRPr="00802BB5">
        <w:rPr>
          <w:b/>
        </w:rPr>
        <w:t>OBJETIVO</w:t>
      </w:r>
      <w:r>
        <w:t xml:space="preserve">: Este trabalho teve como objetivo apresentar uma revisão sobre os principais tipos de retentores intra-radiculares utilizados em dentes anteriores, abordando suas indicações, propriedades estéticas e biomecânicas, além dos critérios clínicos de escolha. </w:t>
      </w:r>
      <w:r w:rsidRPr="00802BB5">
        <w:rPr>
          <w:b/>
        </w:rPr>
        <w:t>METODOLOGIA</w:t>
      </w:r>
      <w:r>
        <w:t>: Trata-se de uma revisão de literatura realizada por meio de análise de artigos científicos recentes sobre o tema, com ê</w:t>
      </w:r>
      <w:r w:rsidR="0061347A">
        <w:t>nfase nas publicações entre 2020 e 2025</w:t>
      </w:r>
      <w:r>
        <w:t xml:space="preserve">, selecionadas nas bases SciELO, Google Acadêmico e PubMed. </w:t>
      </w:r>
      <w:r w:rsidRPr="00802BB5">
        <w:rPr>
          <w:b/>
        </w:rPr>
        <w:t>RESULTADOS</w:t>
      </w:r>
      <w:r w:rsidR="003F0337">
        <w:t>:</w:t>
      </w:r>
      <w:r w:rsidR="003F0337" w:rsidRPr="003F0337">
        <w:t xml:space="preserve"> </w:t>
      </w:r>
      <w:r w:rsidR="003F0337">
        <w:t>Os retentores metálicos, apesar da elevada resistência, apresentam desvantagens biomecânicas por sua rigidez excessiva, que pode levar a falhas radiculares. Em contrapartida, os pinos de fibra de vidro mimetizam a flexibilidade da dentina, dissipando melhor as tensões e reduzindo o risco de fraturas. Do ponto de vista estético, são superiores, principalmente em pacientes com sorriso gengival ou coroas translúcidas, onde a aparência do retentor influencia</w:t>
      </w:r>
      <w:r w:rsidR="001C1921">
        <w:t xml:space="preserve"> diretamente o resultado final. </w:t>
      </w:r>
      <w:r w:rsidRPr="00802BB5">
        <w:rPr>
          <w:b/>
        </w:rPr>
        <w:t>CONCLUSÃO</w:t>
      </w:r>
      <w:r>
        <w:t>: A correta seleção do retentor intra-radicular é essencial para o sucesso funcional e estético do tratamento restaurador em dentes anteriores. Os pinos de fibra de vidro foram considerados a melhor alternativa na maioria dos casos analisados.</w:t>
      </w:r>
    </w:p>
    <w:p w14:paraId="25E0DC0E" w14:textId="77777777" w:rsidR="00802BB5" w:rsidRPr="00802BB5" w:rsidRDefault="00802BB5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</w:p>
    <w:p w14:paraId="3D9AA4B4" w14:textId="05C72E6F" w:rsidR="00A93FE6" w:rsidRPr="00FB252A" w:rsidRDefault="00A93FE6" w:rsidP="00FB252A">
      <w:pPr>
        <w:spacing w:after="120"/>
        <w:ind w:right="665"/>
        <w:jc w:val="both"/>
        <w:rPr>
          <w:rFonts w:asciiTheme="minorHAnsi" w:hAnsiTheme="minorHAnsi" w:cstheme="minorHAnsi"/>
        </w:rPr>
      </w:pPr>
      <w:r w:rsidRPr="00FB252A">
        <w:rPr>
          <w:rFonts w:asciiTheme="minorHAnsi" w:hAnsiTheme="minorHAnsi" w:cstheme="minorHAnsi"/>
          <w:b/>
        </w:rPr>
        <w:t>Descritores</w:t>
      </w:r>
      <w:r w:rsidRPr="00FB252A">
        <w:rPr>
          <w:rFonts w:asciiTheme="minorHAnsi" w:hAnsiTheme="minorHAnsi" w:cstheme="minorHAnsi"/>
        </w:rPr>
        <w:t xml:space="preserve">: </w:t>
      </w:r>
      <w:r w:rsidR="0061347A">
        <w:rPr>
          <w:rFonts w:asciiTheme="minorHAnsi" w:hAnsiTheme="minorHAnsi" w:cstheme="minorHAnsi"/>
        </w:rPr>
        <w:t>Técnica para retentor</w:t>
      </w:r>
      <w:r w:rsidR="0061347A">
        <w:t xml:space="preserve"> </w:t>
      </w:r>
      <w:proofErr w:type="spellStart"/>
      <w:r w:rsidR="0061347A">
        <w:t>intrar</w:t>
      </w:r>
      <w:r w:rsidR="00802BB5">
        <w:t>radicula</w:t>
      </w:r>
      <w:r w:rsidR="0061347A">
        <w:t>r</w:t>
      </w:r>
      <w:proofErr w:type="spellEnd"/>
      <w:r w:rsidR="0061347A">
        <w:t>.</w:t>
      </w:r>
      <w:r w:rsidR="00802BB5">
        <w:t xml:space="preserve"> </w:t>
      </w:r>
      <w:r w:rsidR="0061347A">
        <w:t xml:space="preserve"> </w:t>
      </w:r>
      <w:r w:rsidR="00802BB5">
        <w:t>En</w:t>
      </w:r>
      <w:r w:rsidR="0061347A">
        <w:t>dodontia.</w:t>
      </w:r>
      <w:r w:rsidR="006C70FF">
        <w:t xml:space="preserve">  Pinos Dentários. Odontologia</w:t>
      </w:r>
    </w:p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D2B7D" w14:textId="77777777" w:rsidR="00F90CD3" w:rsidRDefault="00F90CD3" w:rsidP="00D479CD">
      <w:r>
        <w:separator/>
      </w:r>
    </w:p>
  </w:endnote>
  <w:endnote w:type="continuationSeparator" w:id="0">
    <w:p w14:paraId="5F115B68" w14:textId="77777777" w:rsidR="00F90CD3" w:rsidRDefault="00F90CD3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A41D52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125BE" w14:textId="77777777" w:rsidR="00F90CD3" w:rsidRDefault="00F90CD3" w:rsidP="00D479CD">
      <w:r>
        <w:separator/>
      </w:r>
    </w:p>
  </w:footnote>
  <w:footnote w:type="continuationSeparator" w:id="0">
    <w:p w14:paraId="54367711" w14:textId="77777777" w:rsidR="00F90CD3" w:rsidRDefault="00F90CD3" w:rsidP="00D479CD">
      <w:r>
        <w:continuationSeparator/>
      </w:r>
    </w:p>
  </w:footnote>
  <w:footnote w:id="1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2">
    <w:p w14:paraId="18EB875C" w14:textId="77777777" w:rsidR="001C1921" w:rsidRPr="00C707F3" w:rsidRDefault="001C1921" w:rsidP="001C1921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 </w:t>
      </w:r>
    </w:p>
  </w:footnote>
  <w:footnote w:id="3">
    <w:p w14:paraId="3F023FE1" w14:textId="52DDA89B" w:rsidR="001C1921" w:rsidRPr="00C707F3" w:rsidRDefault="001C1921" w:rsidP="001C1921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</w:t>
      </w:r>
      <w:r w:rsidR="00A41D52">
        <w:t>Orientador. Professor do curso de graduação em</w:t>
      </w:r>
      <w:r w:rsidR="00A41D52" w:rsidRPr="00A41D52">
        <w:t xml:space="preserve"> </w:t>
      </w:r>
      <w:r w:rsidR="00A41D52">
        <w:t xml:space="preserve">Odontologia no </w:t>
      </w:r>
      <w:r w:rsidR="00A41D52" w:rsidRPr="00C707F3">
        <w:t>Centro Universitário Santo Agostinho (UNIFSA</w:t>
      </w:r>
      <w:r w:rsidR="00A41D52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1921"/>
    <w:rsid w:val="001C27C7"/>
    <w:rsid w:val="001D0C54"/>
    <w:rsid w:val="001D4D80"/>
    <w:rsid w:val="001E128F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64A73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0337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3754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5F6D73"/>
    <w:rsid w:val="00601C54"/>
    <w:rsid w:val="006049A7"/>
    <w:rsid w:val="00612365"/>
    <w:rsid w:val="0061347A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0FF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2BB5"/>
    <w:rsid w:val="008078FA"/>
    <w:rsid w:val="00815F60"/>
    <w:rsid w:val="00826F48"/>
    <w:rsid w:val="0083021C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2B85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4918"/>
    <w:rsid w:val="009F543F"/>
    <w:rsid w:val="00A01207"/>
    <w:rsid w:val="00A031A5"/>
    <w:rsid w:val="00A04495"/>
    <w:rsid w:val="00A055EE"/>
    <w:rsid w:val="00A23CF7"/>
    <w:rsid w:val="00A2495B"/>
    <w:rsid w:val="00A41D52"/>
    <w:rsid w:val="00A439D0"/>
    <w:rsid w:val="00A4421F"/>
    <w:rsid w:val="00A46727"/>
    <w:rsid w:val="00A66547"/>
    <w:rsid w:val="00A76B95"/>
    <w:rsid w:val="00A7756D"/>
    <w:rsid w:val="00A82974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0CD3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A6356-7814-44B7-867C-1F03056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42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Ycaro Nery</cp:lastModifiedBy>
  <cp:revision>5</cp:revision>
  <cp:lastPrinted>2019-06-27T19:23:00Z</cp:lastPrinted>
  <dcterms:created xsi:type="dcterms:W3CDTF">2025-05-16T23:43:00Z</dcterms:created>
  <dcterms:modified xsi:type="dcterms:W3CDTF">2025-05-24T00:11:00Z</dcterms:modified>
</cp:coreProperties>
</file>