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EBB1D" w14:textId="5CEEEE5C" w:rsidR="008173FB" w:rsidRDefault="008173FB" w:rsidP="00A97164">
      <w:pPr>
        <w:ind w:left="1" w:hanging="3"/>
        <w:jc w:val="center"/>
        <w:rPr>
          <w:b/>
          <w:color w:val="000000"/>
          <w:sz w:val="32"/>
          <w:szCs w:val="32"/>
        </w:rPr>
      </w:pPr>
      <w:r w:rsidRPr="008173FB">
        <w:rPr>
          <w:b/>
          <w:color w:val="000000"/>
          <w:sz w:val="32"/>
          <w:szCs w:val="32"/>
        </w:rPr>
        <w:t>PERFIL DE INGRESO Y VIVENCIAS ACADÉMICAS TEMPRANAS IMPLICADAS EN LA INTENCIÓN DE ABANDONO EN EDUCACIÓN SUPERIOR</w:t>
      </w:r>
      <w:r w:rsidR="00C14860">
        <w:rPr>
          <w:b/>
          <w:color w:val="000000"/>
          <w:sz w:val="32"/>
          <w:szCs w:val="32"/>
        </w:rPr>
        <w:t xml:space="preserve">. </w:t>
      </w:r>
      <w:r w:rsidR="00FD34F5">
        <w:rPr>
          <w:b/>
          <w:color w:val="000000"/>
          <w:sz w:val="32"/>
          <w:szCs w:val="32"/>
        </w:rPr>
        <w:t>ANÁLISIS</w:t>
      </w:r>
      <w:r w:rsidR="00C14860">
        <w:rPr>
          <w:b/>
          <w:color w:val="000000"/>
          <w:sz w:val="32"/>
          <w:szCs w:val="32"/>
        </w:rPr>
        <w:t xml:space="preserve"> EN</w:t>
      </w:r>
      <w:r w:rsidR="005C54E3">
        <w:rPr>
          <w:b/>
          <w:color w:val="000000"/>
          <w:sz w:val="32"/>
          <w:szCs w:val="32"/>
        </w:rPr>
        <w:t xml:space="preserve"> </w:t>
      </w:r>
      <w:r w:rsidR="00C14860">
        <w:rPr>
          <w:b/>
          <w:color w:val="000000"/>
          <w:sz w:val="32"/>
          <w:szCs w:val="32"/>
        </w:rPr>
        <w:t>CONTEXTO</w:t>
      </w:r>
      <w:r w:rsidR="005C54E3">
        <w:rPr>
          <w:b/>
          <w:color w:val="000000"/>
          <w:sz w:val="32"/>
          <w:szCs w:val="32"/>
        </w:rPr>
        <w:t xml:space="preserve"> </w:t>
      </w:r>
      <w:r w:rsidR="00C14860">
        <w:rPr>
          <w:b/>
          <w:color w:val="000000"/>
          <w:sz w:val="32"/>
          <w:szCs w:val="32"/>
        </w:rPr>
        <w:t>HONDUREÑO</w:t>
      </w:r>
    </w:p>
    <w:p w14:paraId="4D9EF1A4" w14:textId="65A8ED74" w:rsidR="00C14860" w:rsidRDefault="00C14860" w:rsidP="00A97164">
      <w:pPr>
        <w:ind w:left="1" w:hanging="3"/>
        <w:jc w:val="center"/>
        <w:rPr>
          <w:color w:val="000000"/>
          <w:sz w:val="32"/>
          <w:szCs w:val="32"/>
        </w:rPr>
      </w:pPr>
    </w:p>
    <w:p w14:paraId="1CAA62EB" w14:textId="3FE03485" w:rsidR="00C14860" w:rsidRDefault="00C14860" w:rsidP="001A1E95">
      <w:pPr>
        <w:ind w:left="0" w:hanging="2"/>
        <w:jc w:val="right"/>
        <w:rPr>
          <w:sz w:val="24"/>
          <w:szCs w:val="24"/>
        </w:rPr>
      </w:pPr>
      <w:r>
        <w:rPr>
          <w:sz w:val="24"/>
          <w:szCs w:val="24"/>
        </w:rPr>
        <w:t>Autor</w:t>
      </w:r>
      <w:r w:rsidR="001A1E95">
        <w:rPr>
          <w:sz w:val="24"/>
          <w:szCs w:val="24"/>
        </w:rPr>
        <w:t xml:space="preserve">: </w:t>
      </w:r>
      <w:r w:rsidR="00416BAC">
        <w:rPr>
          <w:sz w:val="24"/>
          <w:szCs w:val="24"/>
        </w:rPr>
        <w:t>Marcio Alexander Castillo Díaz</w:t>
      </w:r>
    </w:p>
    <w:p w14:paraId="631C70EA" w14:textId="43A6AAB0" w:rsidR="001A1E95" w:rsidRDefault="001A1E95" w:rsidP="001A1E95">
      <w:pPr>
        <w:ind w:left="0" w:hanging="2"/>
        <w:jc w:val="right"/>
        <w:rPr>
          <w:sz w:val="24"/>
          <w:szCs w:val="24"/>
        </w:rPr>
      </w:pPr>
      <w:r>
        <w:rPr>
          <w:sz w:val="24"/>
          <w:szCs w:val="24"/>
        </w:rPr>
        <w:t xml:space="preserve">Afiliación institucional: </w:t>
      </w:r>
      <w:r w:rsidR="00416BAC">
        <w:rPr>
          <w:sz w:val="24"/>
          <w:szCs w:val="24"/>
        </w:rPr>
        <w:t>Universidad Nacional Autónoma de Honduras</w:t>
      </w:r>
    </w:p>
    <w:p w14:paraId="158875BD" w14:textId="7351CCF9" w:rsidR="001A1E95" w:rsidRPr="00416BAC" w:rsidRDefault="001A1E95" w:rsidP="001A1E95">
      <w:pPr>
        <w:ind w:left="0" w:hanging="2"/>
        <w:jc w:val="right"/>
        <w:rPr>
          <w:sz w:val="24"/>
          <w:szCs w:val="24"/>
          <w:lang w:val="pt-BR"/>
        </w:rPr>
      </w:pPr>
      <w:proofErr w:type="spellStart"/>
      <w:r w:rsidRPr="00416BAC">
        <w:rPr>
          <w:sz w:val="24"/>
          <w:szCs w:val="24"/>
          <w:lang w:val="pt-BR"/>
        </w:rPr>
        <w:t>Email</w:t>
      </w:r>
      <w:proofErr w:type="spellEnd"/>
      <w:r w:rsidRPr="00416BAC">
        <w:rPr>
          <w:sz w:val="24"/>
          <w:szCs w:val="24"/>
          <w:lang w:val="pt-BR"/>
        </w:rPr>
        <w:t xml:space="preserve"> de </w:t>
      </w:r>
      <w:proofErr w:type="spellStart"/>
      <w:r w:rsidRPr="00416BAC">
        <w:rPr>
          <w:sz w:val="24"/>
          <w:szCs w:val="24"/>
          <w:lang w:val="pt-BR"/>
        </w:rPr>
        <w:t>contacto</w:t>
      </w:r>
      <w:proofErr w:type="spellEnd"/>
      <w:r w:rsidRPr="00416BAC">
        <w:rPr>
          <w:sz w:val="24"/>
          <w:szCs w:val="24"/>
          <w:lang w:val="pt-BR"/>
        </w:rPr>
        <w:t xml:space="preserve">: </w:t>
      </w:r>
      <w:r w:rsidR="006B147F">
        <w:fldChar w:fldCharType="begin"/>
      </w:r>
      <w:r w:rsidR="006B147F" w:rsidRPr="0042122A">
        <w:rPr>
          <w:lang w:val="pt-BR"/>
        </w:rPr>
        <w:instrText xml:space="preserve"> HYPERLINK "mailto:marcio.castillo@unah.edu.hn" </w:instrText>
      </w:r>
      <w:r w:rsidR="006B147F">
        <w:fldChar w:fldCharType="separate"/>
      </w:r>
      <w:r w:rsidR="00416BAC" w:rsidRPr="00345A63">
        <w:rPr>
          <w:rStyle w:val="Hipervnculo"/>
          <w:sz w:val="24"/>
          <w:szCs w:val="24"/>
          <w:lang w:val="pt-BR"/>
        </w:rPr>
        <w:t>marcio.castillo@unah.edu.hn</w:t>
      </w:r>
      <w:r w:rsidR="006B147F">
        <w:rPr>
          <w:rStyle w:val="Hipervnculo"/>
          <w:sz w:val="24"/>
          <w:szCs w:val="24"/>
          <w:lang w:val="pt-BR"/>
        </w:rPr>
        <w:fldChar w:fldCharType="end"/>
      </w:r>
      <w:r w:rsidR="00416BAC">
        <w:rPr>
          <w:sz w:val="24"/>
          <w:szCs w:val="24"/>
          <w:lang w:val="pt-BR"/>
        </w:rPr>
        <w:t xml:space="preserve"> </w:t>
      </w:r>
    </w:p>
    <w:p w14:paraId="2D239CB4" w14:textId="2198BA4A" w:rsidR="00C14860" w:rsidRPr="00416BAC" w:rsidRDefault="00C14860" w:rsidP="00A97164">
      <w:pPr>
        <w:ind w:left="1" w:hanging="3"/>
        <w:jc w:val="center"/>
        <w:rPr>
          <w:color w:val="000000"/>
          <w:sz w:val="32"/>
          <w:szCs w:val="32"/>
          <w:lang w:val="pt-BR"/>
        </w:rPr>
      </w:pPr>
    </w:p>
    <w:p w14:paraId="5908981C" w14:textId="77777777" w:rsidR="00C637C2" w:rsidRPr="00416BAC" w:rsidRDefault="00C637C2">
      <w:pPr>
        <w:spacing w:after="0"/>
        <w:ind w:left="0" w:hanging="2"/>
        <w:rPr>
          <w:sz w:val="24"/>
          <w:szCs w:val="24"/>
          <w:lang w:val="pt-BR"/>
        </w:rPr>
      </w:pPr>
    </w:p>
    <w:p w14:paraId="31A73CCB" w14:textId="77777777" w:rsidR="002A436A" w:rsidRDefault="006E311B" w:rsidP="002A436A">
      <w:pPr>
        <w:tabs>
          <w:tab w:val="left" w:pos="7078"/>
          <w:tab w:val="left" w:pos="9638"/>
        </w:tabs>
        <w:ind w:left="0" w:hanging="2"/>
        <w:rPr>
          <w:sz w:val="24"/>
          <w:szCs w:val="24"/>
        </w:rPr>
      </w:pPr>
      <w:r>
        <w:rPr>
          <w:b/>
          <w:sz w:val="24"/>
          <w:szCs w:val="24"/>
        </w:rPr>
        <w:t>Línea Temática</w:t>
      </w:r>
      <w:r>
        <w:rPr>
          <w:sz w:val="24"/>
          <w:szCs w:val="24"/>
        </w:rPr>
        <w:t xml:space="preserve">: </w:t>
      </w:r>
      <w:r w:rsidR="002A436A">
        <w:rPr>
          <w:sz w:val="24"/>
          <w:szCs w:val="24"/>
        </w:rPr>
        <w:t>Factores asociados al abandono. Tipos y perfiles de abandono.</w:t>
      </w:r>
    </w:p>
    <w:p w14:paraId="39C05ADD" w14:textId="6BD423F8" w:rsidR="00C637C2" w:rsidRDefault="00C637C2">
      <w:pPr>
        <w:tabs>
          <w:tab w:val="left" w:pos="7078"/>
          <w:tab w:val="left" w:pos="9638"/>
        </w:tabs>
        <w:ind w:left="0" w:hanging="2"/>
        <w:rPr>
          <w:sz w:val="24"/>
          <w:szCs w:val="24"/>
        </w:rPr>
      </w:pPr>
    </w:p>
    <w:p w14:paraId="52449A52" w14:textId="77777777" w:rsidR="00CF19CE" w:rsidRDefault="00CF19CE" w:rsidP="00CF19CE">
      <w:pPr>
        <w:ind w:left="0" w:hanging="2"/>
        <w:rPr>
          <w:color w:val="000000"/>
          <w:sz w:val="24"/>
          <w:szCs w:val="24"/>
        </w:rPr>
      </w:pPr>
      <w:r>
        <w:rPr>
          <w:b/>
          <w:sz w:val="24"/>
          <w:szCs w:val="24"/>
        </w:rPr>
        <w:t>Resumen</w:t>
      </w:r>
    </w:p>
    <w:p w14:paraId="4D9015CF" w14:textId="79A68C97" w:rsidR="00CF19CE" w:rsidRPr="00667085" w:rsidRDefault="00CF19CE" w:rsidP="00CF19CE">
      <w:pPr>
        <w:ind w:left="0" w:hanging="2"/>
        <w:rPr>
          <w:sz w:val="24"/>
          <w:szCs w:val="24"/>
        </w:rPr>
      </w:pPr>
      <w:r w:rsidRPr="00667085">
        <w:rPr>
          <w:sz w:val="24"/>
          <w:szCs w:val="24"/>
        </w:rPr>
        <w:t>Considerando el proceso de transición vital y académica que experimentan los estudiantes de primer ingreso, este segmento estudiantil se ha identificado como uno de los principales grupos de riesgo de abandono</w:t>
      </w:r>
      <w:r w:rsidR="00D06231" w:rsidRPr="00667085">
        <w:rPr>
          <w:sz w:val="24"/>
          <w:szCs w:val="24"/>
        </w:rPr>
        <w:t xml:space="preserve"> en educación superior</w:t>
      </w:r>
      <w:r w:rsidRPr="00667085">
        <w:rPr>
          <w:sz w:val="24"/>
          <w:szCs w:val="24"/>
        </w:rPr>
        <w:t>.</w:t>
      </w:r>
      <w:r w:rsidR="001B53CB">
        <w:rPr>
          <w:sz w:val="24"/>
          <w:szCs w:val="24"/>
        </w:rPr>
        <w:t xml:space="preserve"> </w:t>
      </w:r>
      <w:r w:rsidR="001B53CB">
        <w:rPr>
          <w:color w:val="000000"/>
          <w:sz w:val="24"/>
          <w:szCs w:val="24"/>
        </w:rPr>
        <w:t xml:space="preserve">Modelos teóricos indican </w:t>
      </w:r>
      <w:r w:rsidR="001B53CB" w:rsidRPr="00D52F8D">
        <w:rPr>
          <w:color w:val="000000"/>
          <w:sz w:val="24"/>
          <w:szCs w:val="24"/>
        </w:rPr>
        <w:t>que la intención de abandono</w:t>
      </w:r>
      <w:r w:rsidR="001B53CB">
        <w:rPr>
          <w:color w:val="000000"/>
          <w:sz w:val="24"/>
          <w:szCs w:val="24"/>
        </w:rPr>
        <w:t xml:space="preserve"> antecede la concretización del abandono y se denota como uno de los principales predictores de deserción universitaria.</w:t>
      </w:r>
      <w:r w:rsidRPr="00667085">
        <w:rPr>
          <w:sz w:val="24"/>
          <w:szCs w:val="24"/>
        </w:rPr>
        <w:t xml:space="preserve"> Hasta donde se tiene conocimiento, existe una escasez de estudios que aborden modelos explicativos respecto a la intención de abandono universitario en contexto hondureño</w:t>
      </w:r>
      <w:r w:rsidR="00963CFC" w:rsidRPr="00667085">
        <w:rPr>
          <w:sz w:val="24"/>
          <w:szCs w:val="24"/>
        </w:rPr>
        <w:t>.</w:t>
      </w:r>
      <w:r w:rsidR="00364CF5" w:rsidRPr="00667085">
        <w:rPr>
          <w:sz w:val="24"/>
          <w:szCs w:val="24"/>
        </w:rPr>
        <w:t xml:space="preserve"> </w:t>
      </w:r>
      <w:r w:rsidR="005C1583" w:rsidRPr="00667085">
        <w:rPr>
          <w:sz w:val="24"/>
          <w:szCs w:val="24"/>
        </w:rPr>
        <w:t>E</w:t>
      </w:r>
      <w:r w:rsidRPr="00667085">
        <w:rPr>
          <w:sz w:val="24"/>
          <w:szCs w:val="24"/>
        </w:rPr>
        <w:t xml:space="preserve">l objetivo de este trabajo es analizar la influencia del perfil estudiantil socioeconómico/académico de ingreso y las vivencias académicas tempranas como variables predictoras de la intención de abandono en un contexto de educación superior hondureño. </w:t>
      </w:r>
      <w:r w:rsidR="00EB6B82" w:rsidRPr="00667085">
        <w:rPr>
          <w:sz w:val="24"/>
          <w:szCs w:val="24"/>
        </w:rPr>
        <w:t>S</w:t>
      </w:r>
      <w:r w:rsidRPr="00667085">
        <w:rPr>
          <w:sz w:val="24"/>
          <w:szCs w:val="24"/>
        </w:rPr>
        <w:t xml:space="preserve">e </w:t>
      </w:r>
      <w:r w:rsidR="008865E4" w:rsidRPr="00667085">
        <w:rPr>
          <w:sz w:val="24"/>
          <w:szCs w:val="24"/>
        </w:rPr>
        <w:t>analizó</w:t>
      </w:r>
      <w:r w:rsidRPr="00667085">
        <w:rPr>
          <w:sz w:val="24"/>
          <w:szCs w:val="24"/>
        </w:rPr>
        <w:t xml:space="preserve"> una muestra </w:t>
      </w:r>
      <w:r w:rsidR="00686264" w:rsidRPr="00667085">
        <w:rPr>
          <w:sz w:val="24"/>
          <w:szCs w:val="24"/>
        </w:rPr>
        <w:t xml:space="preserve">de </w:t>
      </w:r>
      <w:r w:rsidRPr="00667085">
        <w:rPr>
          <w:sz w:val="24"/>
          <w:szCs w:val="24"/>
        </w:rPr>
        <w:t xml:space="preserve">653 estudiantes de primer ingreso en el año 2022, matriculados en diferentes carreras y áreas del conocimiento de la Universidad </w:t>
      </w:r>
      <w:r w:rsidR="004A5594" w:rsidRPr="00667085">
        <w:rPr>
          <w:sz w:val="24"/>
          <w:szCs w:val="24"/>
        </w:rPr>
        <w:t>Nacional Autónoma de Honduras</w:t>
      </w:r>
      <w:r w:rsidR="00D3050A" w:rsidRPr="00667085">
        <w:rPr>
          <w:sz w:val="24"/>
          <w:szCs w:val="24"/>
        </w:rPr>
        <w:t>, Honduras</w:t>
      </w:r>
      <w:r w:rsidRPr="00667085">
        <w:rPr>
          <w:sz w:val="24"/>
          <w:szCs w:val="24"/>
        </w:rPr>
        <w:t>.</w:t>
      </w:r>
      <w:r w:rsidR="008865E4" w:rsidRPr="00667085">
        <w:rPr>
          <w:sz w:val="24"/>
          <w:szCs w:val="24"/>
        </w:rPr>
        <w:t xml:space="preserve"> Los estudiantes completaron un cuestionario sociodemográfico y académico, </w:t>
      </w:r>
      <w:r w:rsidRPr="00667085">
        <w:rPr>
          <w:sz w:val="24"/>
          <w:szCs w:val="24"/>
        </w:rPr>
        <w:t>el Cuestionario de Vivencias Académicas, versión reducida (QVA-r) y la subescala de intención de abandono de un instrumento de tamizaje para evaluar el riesgo de abandono en educación superior.</w:t>
      </w:r>
      <w:r w:rsidR="008865E4" w:rsidRPr="00667085">
        <w:rPr>
          <w:sz w:val="24"/>
          <w:szCs w:val="24"/>
        </w:rPr>
        <w:t xml:space="preserve"> Se realizaron análisis bivariados y multivariados.</w:t>
      </w:r>
      <w:r w:rsidR="00667085" w:rsidRPr="00667085">
        <w:rPr>
          <w:sz w:val="24"/>
          <w:szCs w:val="24"/>
        </w:rPr>
        <w:t xml:space="preserve"> </w:t>
      </w:r>
      <w:r w:rsidR="008865E4" w:rsidRPr="00667085">
        <w:rPr>
          <w:sz w:val="24"/>
          <w:szCs w:val="24"/>
        </w:rPr>
        <w:t>En lo que respecta a los resultados,</w:t>
      </w:r>
      <w:r w:rsidR="00FF7624">
        <w:rPr>
          <w:sz w:val="24"/>
          <w:szCs w:val="24"/>
        </w:rPr>
        <w:t xml:space="preserve"> e</w:t>
      </w:r>
      <w:r w:rsidRPr="00667085">
        <w:rPr>
          <w:sz w:val="24"/>
          <w:szCs w:val="24"/>
        </w:rPr>
        <w:t>studiantes de las ciencias biológicas y de la salud, aquellos matriculados en primera opción de carrera y quienes no reportan desempleados en núcleo familiar evidenciaron puntajes menores de intención de abandono. Por su parte, todas las dimensiones de la variable vivencias académicas tempranas (factores personales, interpersonales, carrera,</w:t>
      </w:r>
      <w:r w:rsidR="00E00CD0">
        <w:rPr>
          <w:sz w:val="24"/>
          <w:szCs w:val="24"/>
        </w:rPr>
        <w:t xml:space="preserve"> </w:t>
      </w:r>
      <w:r w:rsidR="00F5278C">
        <w:rPr>
          <w:sz w:val="24"/>
          <w:szCs w:val="24"/>
        </w:rPr>
        <w:t xml:space="preserve">hábitos de </w:t>
      </w:r>
      <w:r w:rsidRPr="00667085">
        <w:rPr>
          <w:sz w:val="24"/>
          <w:szCs w:val="24"/>
        </w:rPr>
        <w:t xml:space="preserve">estudio e institucionales) evidenciaron correlaciones </w:t>
      </w:r>
      <w:r w:rsidR="00FF7624">
        <w:rPr>
          <w:sz w:val="24"/>
          <w:szCs w:val="24"/>
        </w:rPr>
        <w:t xml:space="preserve">negativas </w:t>
      </w:r>
      <w:r w:rsidRPr="00667085">
        <w:rPr>
          <w:sz w:val="24"/>
          <w:szCs w:val="24"/>
        </w:rPr>
        <w:t xml:space="preserve">estadísticamente significativas con intención de abandono. </w:t>
      </w:r>
      <w:r w:rsidR="00E00CD0">
        <w:rPr>
          <w:sz w:val="24"/>
          <w:szCs w:val="24"/>
        </w:rPr>
        <w:t>A</w:t>
      </w:r>
      <w:r w:rsidRPr="00667085">
        <w:rPr>
          <w:sz w:val="24"/>
          <w:szCs w:val="24"/>
        </w:rPr>
        <w:t>l analizar el modelo estructural predictivo integrado, los hallazgos indican un buen ajuste del modelo, evidenciando predicciones estadísticamente significativas sobre la intención de abandono por parte de las vivencias tempranas en la dimensión personal (β = - 0.21), interpersonal (β = - 0.13), carrera (β = - 0.51), institucional (β = - 0.28) y la opción de carrera en admisión (β = 0.17). No obstante, en esta segunda fase</w:t>
      </w:r>
      <w:r w:rsidR="006B1260" w:rsidRPr="00667085">
        <w:rPr>
          <w:sz w:val="24"/>
          <w:szCs w:val="24"/>
        </w:rPr>
        <w:t xml:space="preserve"> de análisis del modelo </w:t>
      </w:r>
      <w:r w:rsidRPr="00667085">
        <w:rPr>
          <w:sz w:val="24"/>
          <w:szCs w:val="24"/>
        </w:rPr>
        <w:t xml:space="preserve">estructural, la dimensión de </w:t>
      </w:r>
      <w:r w:rsidR="003B514E">
        <w:rPr>
          <w:sz w:val="24"/>
          <w:szCs w:val="24"/>
        </w:rPr>
        <w:t xml:space="preserve">hábitos de </w:t>
      </w:r>
      <w:r w:rsidRPr="00667085">
        <w:rPr>
          <w:sz w:val="24"/>
          <w:szCs w:val="24"/>
        </w:rPr>
        <w:t>estudio, el área de conocimiento y el desempleo en núcleo familiar pierden significancia predictiva (</w:t>
      </w:r>
      <w:r w:rsidRPr="00667085">
        <w:rPr>
          <w:i/>
          <w:sz w:val="24"/>
          <w:szCs w:val="24"/>
        </w:rPr>
        <w:t>p</w:t>
      </w:r>
      <w:r w:rsidRPr="00667085">
        <w:rPr>
          <w:sz w:val="24"/>
          <w:szCs w:val="24"/>
        </w:rPr>
        <w:t xml:space="preserve"> </w:t>
      </w:r>
      <w:r w:rsidRPr="00667085">
        <w:rPr>
          <w:sz w:val="24"/>
          <w:szCs w:val="24"/>
          <w:lang w:val="es-MX"/>
        </w:rPr>
        <w:t>&gt;</w:t>
      </w:r>
      <w:r w:rsidRPr="00667085">
        <w:rPr>
          <w:sz w:val="24"/>
          <w:szCs w:val="24"/>
        </w:rPr>
        <w:t xml:space="preserve"> 0.05). Se concluye que </w:t>
      </w:r>
      <w:r w:rsidR="00B86803" w:rsidRPr="00667085">
        <w:rPr>
          <w:sz w:val="24"/>
          <w:szCs w:val="24"/>
        </w:rPr>
        <w:t xml:space="preserve">las </w:t>
      </w:r>
      <w:r w:rsidRPr="00667085">
        <w:rPr>
          <w:sz w:val="24"/>
          <w:szCs w:val="24"/>
        </w:rPr>
        <w:t xml:space="preserve">vivencias académicas vinculadas con carrera y </w:t>
      </w:r>
      <w:r w:rsidR="00690F7A" w:rsidRPr="00667085">
        <w:rPr>
          <w:sz w:val="24"/>
          <w:szCs w:val="24"/>
        </w:rPr>
        <w:t>el orden de prioridad de</w:t>
      </w:r>
      <w:r w:rsidRPr="00667085">
        <w:rPr>
          <w:sz w:val="24"/>
          <w:szCs w:val="24"/>
        </w:rPr>
        <w:t xml:space="preserve"> elección </w:t>
      </w:r>
      <w:r w:rsidRPr="00667085">
        <w:rPr>
          <w:sz w:val="24"/>
          <w:szCs w:val="24"/>
        </w:rPr>
        <w:lastRenderedPageBreak/>
        <w:t xml:space="preserve">de la misma, </w:t>
      </w:r>
      <w:r w:rsidR="003A5104" w:rsidRPr="00667085">
        <w:rPr>
          <w:sz w:val="24"/>
          <w:szCs w:val="24"/>
        </w:rPr>
        <w:t xml:space="preserve">vivencias </w:t>
      </w:r>
      <w:r w:rsidRPr="00667085">
        <w:rPr>
          <w:sz w:val="24"/>
          <w:szCs w:val="24"/>
        </w:rPr>
        <w:t>institucionales</w:t>
      </w:r>
      <w:r w:rsidR="00B86803" w:rsidRPr="00667085">
        <w:rPr>
          <w:sz w:val="24"/>
          <w:szCs w:val="24"/>
        </w:rPr>
        <w:t xml:space="preserve"> (</w:t>
      </w:r>
      <w:r w:rsidR="00690F7A" w:rsidRPr="00667085">
        <w:rPr>
          <w:sz w:val="24"/>
          <w:szCs w:val="24"/>
        </w:rPr>
        <w:t xml:space="preserve">ej. </w:t>
      </w:r>
      <w:r w:rsidR="00B86803" w:rsidRPr="00667085">
        <w:rPr>
          <w:sz w:val="24"/>
          <w:szCs w:val="24"/>
        </w:rPr>
        <w:t>servicios estudiantiles)</w:t>
      </w:r>
      <w:r w:rsidRPr="00667085">
        <w:rPr>
          <w:sz w:val="24"/>
          <w:szCs w:val="24"/>
        </w:rPr>
        <w:t xml:space="preserve"> y </w:t>
      </w:r>
      <w:r w:rsidR="00D53CE3" w:rsidRPr="00667085">
        <w:rPr>
          <w:sz w:val="24"/>
          <w:szCs w:val="24"/>
        </w:rPr>
        <w:t>las</w:t>
      </w:r>
      <w:r w:rsidRPr="00667085">
        <w:rPr>
          <w:sz w:val="24"/>
          <w:szCs w:val="24"/>
        </w:rPr>
        <w:t xml:space="preserve"> </w:t>
      </w:r>
      <w:r w:rsidR="00D53CE3" w:rsidRPr="00667085">
        <w:rPr>
          <w:sz w:val="24"/>
          <w:szCs w:val="24"/>
        </w:rPr>
        <w:t>vivencias</w:t>
      </w:r>
      <w:r w:rsidRPr="00667085">
        <w:rPr>
          <w:sz w:val="24"/>
          <w:szCs w:val="24"/>
        </w:rPr>
        <w:t xml:space="preserve"> de desarrollo psicosocial (dimensiones personal e interpersonal)</w:t>
      </w:r>
      <w:r w:rsidR="00D53CE3" w:rsidRPr="00667085">
        <w:rPr>
          <w:sz w:val="24"/>
          <w:szCs w:val="24"/>
        </w:rPr>
        <w:t xml:space="preserve"> tienen papel importante en la predicción de la intención de abandono en educación superior</w:t>
      </w:r>
      <w:r w:rsidRPr="00667085">
        <w:rPr>
          <w:sz w:val="24"/>
          <w:szCs w:val="24"/>
        </w:rPr>
        <w:t>.</w:t>
      </w:r>
      <w:r w:rsidR="006E37C3" w:rsidRPr="00667085">
        <w:rPr>
          <w:sz w:val="24"/>
          <w:szCs w:val="24"/>
        </w:rPr>
        <w:t xml:space="preserve"> </w:t>
      </w:r>
      <w:bookmarkStart w:id="0" w:name="_Hlk114155355"/>
      <w:r w:rsidR="00690F7A" w:rsidRPr="00667085">
        <w:rPr>
          <w:sz w:val="24"/>
          <w:szCs w:val="24"/>
        </w:rPr>
        <w:t>Los hallazgos</w:t>
      </w:r>
      <w:r w:rsidR="00D11D65" w:rsidRPr="00667085">
        <w:rPr>
          <w:sz w:val="24"/>
          <w:szCs w:val="24"/>
        </w:rPr>
        <w:t xml:space="preserve"> de est</w:t>
      </w:r>
      <w:r w:rsidR="00690F7A" w:rsidRPr="00667085">
        <w:rPr>
          <w:sz w:val="24"/>
          <w:szCs w:val="24"/>
        </w:rPr>
        <w:t xml:space="preserve">a investigación </w:t>
      </w:r>
      <w:r w:rsidR="00D11D65" w:rsidRPr="00667085">
        <w:rPr>
          <w:sz w:val="24"/>
          <w:szCs w:val="24"/>
        </w:rPr>
        <w:t xml:space="preserve">ofrecen información relevante </w:t>
      </w:r>
      <w:r w:rsidR="009C6EC5" w:rsidRPr="00667085">
        <w:rPr>
          <w:sz w:val="24"/>
          <w:szCs w:val="24"/>
        </w:rPr>
        <w:t>para</w:t>
      </w:r>
      <w:r w:rsidR="00D11D65" w:rsidRPr="00667085">
        <w:rPr>
          <w:sz w:val="24"/>
          <w:szCs w:val="24"/>
        </w:rPr>
        <w:t xml:space="preserve"> identifica</w:t>
      </w:r>
      <w:r w:rsidR="00690F7A" w:rsidRPr="00667085">
        <w:rPr>
          <w:sz w:val="24"/>
          <w:szCs w:val="24"/>
        </w:rPr>
        <w:t xml:space="preserve">r preventivamente </w:t>
      </w:r>
      <w:r w:rsidR="00D11D65" w:rsidRPr="00667085">
        <w:rPr>
          <w:sz w:val="24"/>
          <w:szCs w:val="24"/>
        </w:rPr>
        <w:t xml:space="preserve">las variables </w:t>
      </w:r>
      <w:r w:rsidR="009C6EC5" w:rsidRPr="00667085">
        <w:rPr>
          <w:sz w:val="24"/>
          <w:szCs w:val="24"/>
        </w:rPr>
        <w:t>protectoras</w:t>
      </w:r>
      <w:r w:rsidR="005C1583" w:rsidRPr="00667085">
        <w:rPr>
          <w:sz w:val="24"/>
          <w:szCs w:val="24"/>
        </w:rPr>
        <w:t xml:space="preserve"> y de riesgo</w:t>
      </w:r>
      <w:r w:rsidR="009C6EC5" w:rsidRPr="00667085">
        <w:rPr>
          <w:sz w:val="24"/>
          <w:szCs w:val="24"/>
        </w:rPr>
        <w:t xml:space="preserve"> </w:t>
      </w:r>
      <w:r w:rsidR="00D11D65" w:rsidRPr="00667085">
        <w:rPr>
          <w:sz w:val="24"/>
          <w:szCs w:val="24"/>
        </w:rPr>
        <w:t>ante la intención de abandono</w:t>
      </w:r>
      <w:r w:rsidR="00A97D37" w:rsidRPr="00667085">
        <w:rPr>
          <w:sz w:val="24"/>
          <w:szCs w:val="24"/>
        </w:rPr>
        <w:t xml:space="preserve">, brindando evidencias inéditas sobre esta temática </w:t>
      </w:r>
      <w:r w:rsidR="009C6EC5" w:rsidRPr="00667085">
        <w:rPr>
          <w:sz w:val="24"/>
          <w:szCs w:val="24"/>
        </w:rPr>
        <w:t>en</w:t>
      </w:r>
      <w:r w:rsidR="00A97D37" w:rsidRPr="00667085">
        <w:rPr>
          <w:sz w:val="24"/>
          <w:szCs w:val="24"/>
        </w:rPr>
        <w:t xml:space="preserve"> </w:t>
      </w:r>
      <w:r w:rsidR="009C6EC5" w:rsidRPr="00667085">
        <w:rPr>
          <w:sz w:val="24"/>
          <w:szCs w:val="24"/>
        </w:rPr>
        <w:t>contexto</w:t>
      </w:r>
      <w:r w:rsidR="00A97D37" w:rsidRPr="00667085">
        <w:rPr>
          <w:sz w:val="24"/>
          <w:szCs w:val="24"/>
        </w:rPr>
        <w:t xml:space="preserve"> universitario</w:t>
      </w:r>
      <w:r w:rsidR="009C6EC5" w:rsidRPr="00667085">
        <w:rPr>
          <w:sz w:val="24"/>
          <w:szCs w:val="24"/>
        </w:rPr>
        <w:t xml:space="preserve"> hondureño.</w:t>
      </w:r>
      <w:bookmarkEnd w:id="0"/>
      <w:r w:rsidR="009C6EC5" w:rsidRPr="00667085">
        <w:rPr>
          <w:sz w:val="24"/>
          <w:szCs w:val="24"/>
        </w:rPr>
        <w:t xml:space="preserve"> </w:t>
      </w:r>
      <w:r w:rsidRPr="00667085">
        <w:rPr>
          <w:sz w:val="24"/>
          <w:szCs w:val="24"/>
        </w:rPr>
        <w:t xml:space="preserve">Finalmente, se </w:t>
      </w:r>
      <w:r w:rsidR="00590C0F">
        <w:rPr>
          <w:sz w:val="24"/>
          <w:szCs w:val="24"/>
        </w:rPr>
        <w:t xml:space="preserve">discuten </w:t>
      </w:r>
      <w:r w:rsidRPr="00667085">
        <w:rPr>
          <w:sz w:val="24"/>
          <w:szCs w:val="24"/>
        </w:rPr>
        <w:t xml:space="preserve">algunas implicaciones prácticas y académicas de los resultados en términos del desarrollo e implementación de políticas y estrategias educacionales que fomenten la permanencia y promoción estudiantil en educación superior. </w:t>
      </w:r>
    </w:p>
    <w:p w14:paraId="30184081" w14:textId="77777777" w:rsidR="00192DC8" w:rsidRPr="00D52F8D" w:rsidRDefault="00192DC8" w:rsidP="00192DC8">
      <w:pPr>
        <w:ind w:left="0" w:hanging="2"/>
        <w:rPr>
          <w:color w:val="000000"/>
          <w:sz w:val="24"/>
          <w:szCs w:val="24"/>
        </w:rPr>
      </w:pPr>
      <w:r w:rsidRPr="0088434F">
        <w:rPr>
          <w:b/>
          <w:color w:val="000000"/>
          <w:sz w:val="24"/>
          <w:szCs w:val="24"/>
        </w:rPr>
        <w:t>Palabras clave:</w:t>
      </w:r>
      <w:r>
        <w:rPr>
          <w:color w:val="000000"/>
          <w:sz w:val="24"/>
          <w:szCs w:val="24"/>
        </w:rPr>
        <w:t xml:space="preserve"> Intención de Abandono, Educación Superior, Estudiantes Universitarios, Vivencias Académicas Tempranas, Adaptación Universitaria.</w:t>
      </w:r>
    </w:p>
    <w:p w14:paraId="71D8C1AE" w14:textId="238B330A" w:rsidR="00245952" w:rsidRDefault="00245952" w:rsidP="00CF19CE">
      <w:pPr>
        <w:ind w:left="0" w:hanging="2"/>
        <w:rPr>
          <w:color w:val="000000"/>
          <w:sz w:val="24"/>
          <w:szCs w:val="24"/>
        </w:rPr>
      </w:pPr>
    </w:p>
    <w:p w14:paraId="4C126954" w14:textId="0E00DD1B" w:rsidR="004A5594" w:rsidRDefault="004A5594" w:rsidP="00CF19CE">
      <w:pPr>
        <w:ind w:left="0" w:hanging="2"/>
        <w:rPr>
          <w:b/>
          <w:color w:val="000000"/>
          <w:sz w:val="24"/>
          <w:szCs w:val="24"/>
        </w:rPr>
      </w:pPr>
      <w:r w:rsidRPr="00950FA0">
        <w:rPr>
          <w:b/>
          <w:color w:val="000000"/>
          <w:sz w:val="24"/>
          <w:szCs w:val="24"/>
        </w:rPr>
        <w:t>Introducción</w:t>
      </w:r>
    </w:p>
    <w:p w14:paraId="0F60282D" w14:textId="2E31B0AE" w:rsidR="00D06231" w:rsidRDefault="00D06231" w:rsidP="00D06231">
      <w:pPr>
        <w:ind w:left="0" w:hanging="2"/>
        <w:rPr>
          <w:color w:val="000000"/>
          <w:sz w:val="24"/>
          <w:szCs w:val="24"/>
        </w:rPr>
      </w:pPr>
      <w:r w:rsidRPr="00D52F8D">
        <w:rPr>
          <w:color w:val="000000"/>
          <w:sz w:val="24"/>
          <w:szCs w:val="24"/>
        </w:rPr>
        <w:t xml:space="preserve">El abandono estudiantil en la educación superior es un fenómeno complejo, multidimensional y multicausal que genera impactos </w:t>
      </w:r>
      <w:r>
        <w:rPr>
          <w:color w:val="000000"/>
          <w:sz w:val="24"/>
          <w:szCs w:val="24"/>
        </w:rPr>
        <w:t xml:space="preserve">a nivel </w:t>
      </w:r>
      <w:r w:rsidRPr="00D52F8D">
        <w:rPr>
          <w:color w:val="000000"/>
          <w:sz w:val="24"/>
          <w:szCs w:val="24"/>
        </w:rPr>
        <w:t>individ</w:t>
      </w:r>
      <w:r>
        <w:rPr>
          <w:color w:val="000000"/>
          <w:sz w:val="24"/>
          <w:szCs w:val="24"/>
        </w:rPr>
        <w:t xml:space="preserve">ual, familiar, institucional y en la sociedad en general. </w:t>
      </w:r>
      <w:r w:rsidR="00AA040F">
        <w:rPr>
          <w:color w:val="000000"/>
          <w:sz w:val="24"/>
          <w:szCs w:val="24"/>
        </w:rPr>
        <w:t>Este fenómeno afecta a instituciones universitarias no solo a nivel latinoamericano, sino también alrededor del mundo</w:t>
      </w:r>
      <w:r w:rsidR="0043361E">
        <w:rPr>
          <w:color w:val="000000"/>
          <w:sz w:val="24"/>
          <w:szCs w:val="24"/>
        </w:rPr>
        <w:t>, generand</w:t>
      </w:r>
      <w:r w:rsidR="00E17E19">
        <w:rPr>
          <w:color w:val="000000"/>
          <w:sz w:val="24"/>
          <w:szCs w:val="24"/>
        </w:rPr>
        <w:t xml:space="preserve">o la necesidad de análisis y estudios que permitan </w:t>
      </w:r>
      <w:r w:rsidR="00590C0F">
        <w:rPr>
          <w:color w:val="000000"/>
          <w:sz w:val="24"/>
          <w:szCs w:val="24"/>
        </w:rPr>
        <w:t>su</w:t>
      </w:r>
      <w:r w:rsidR="0043361E">
        <w:rPr>
          <w:color w:val="000000"/>
          <w:sz w:val="24"/>
          <w:szCs w:val="24"/>
        </w:rPr>
        <w:t xml:space="preserve"> comprensión</w:t>
      </w:r>
      <w:r w:rsidR="00590C0F">
        <w:rPr>
          <w:color w:val="000000"/>
          <w:sz w:val="24"/>
          <w:szCs w:val="24"/>
        </w:rPr>
        <w:t>, predicción</w:t>
      </w:r>
      <w:r w:rsidR="0043361E">
        <w:rPr>
          <w:color w:val="000000"/>
          <w:sz w:val="24"/>
          <w:szCs w:val="24"/>
        </w:rPr>
        <w:t xml:space="preserve"> e intervención</w:t>
      </w:r>
      <w:r w:rsidR="007D03B6">
        <w:rPr>
          <w:color w:val="000000"/>
          <w:sz w:val="24"/>
          <w:szCs w:val="24"/>
        </w:rPr>
        <w:t xml:space="preserve"> (Bernardo, 2022)</w:t>
      </w:r>
      <w:r w:rsidR="00AA040F">
        <w:rPr>
          <w:color w:val="000000"/>
          <w:sz w:val="24"/>
          <w:szCs w:val="24"/>
        </w:rPr>
        <w:t xml:space="preserve">. </w:t>
      </w:r>
    </w:p>
    <w:p w14:paraId="380D7EA6" w14:textId="287BA350" w:rsidR="009A3054" w:rsidRDefault="00D06231" w:rsidP="009A3054">
      <w:pPr>
        <w:ind w:left="0" w:hanging="2"/>
        <w:rPr>
          <w:color w:val="000000"/>
          <w:sz w:val="24"/>
          <w:szCs w:val="24"/>
        </w:rPr>
      </w:pPr>
      <w:r>
        <w:rPr>
          <w:color w:val="000000"/>
          <w:sz w:val="24"/>
          <w:szCs w:val="24"/>
        </w:rPr>
        <w:t xml:space="preserve">Modelos teóricos indican </w:t>
      </w:r>
      <w:r w:rsidRPr="00D52F8D">
        <w:rPr>
          <w:color w:val="000000"/>
          <w:sz w:val="24"/>
          <w:szCs w:val="24"/>
        </w:rPr>
        <w:t>que la intención de abandono</w:t>
      </w:r>
      <w:r>
        <w:rPr>
          <w:color w:val="000000"/>
          <w:sz w:val="24"/>
          <w:szCs w:val="24"/>
        </w:rPr>
        <w:t xml:space="preserve"> antecede la concretización del abandono y se denota como uno de los principales predictores de deserción universitaria, de igual forma, se evidencia como uno de los elementos claves implicados en el proceso psicológico de este fenómeno educacional (Mashburn, 2000).</w:t>
      </w:r>
      <w:r w:rsidR="002D22C5">
        <w:rPr>
          <w:color w:val="000000"/>
          <w:sz w:val="24"/>
          <w:szCs w:val="24"/>
        </w:rPr>
        <w:t xml:space="preserve"> </w:t>
      </w:r>
      <w:proofErr w:type="spellStart"/>
      <w:r w:rsidR="009A3054" w:rsidRPr="009A3054">
        <w:rPr>
          <w:color w:val="000000"/>
          <w:sz w:val="24"/>
          <w:szCs w:val="24"/>
        </w:rPr>
        <w:t>Bean</w:t>
      </w:r>
      <w:proofErr w:type="spellEnd"/>
      <w:r w:rsidR="009A3054" w:rsidRPr="009A3054">
        <w:rPr>
          <w:color w:val="000000"/>
          <w:sz w:val="24"/>
          <w:szCs w:val="24"/>
        </w:rPr>
        <w:t xml:space="preserve"> </w:t>
      </w:r>
      <w:r w:rsidR="009A3054">
        <w:rPr>
          <w:color w:val="000000"/>
          <w:sz w:val="24"/>
          <w:szCs w:val="24"/>
        </w:rPr>
        <w:t>y</w:t>
      </w:r>
      <w:r w:rsidR="009A3054" w:rsidRPr="009A3054">
        <w:rPr>
          <w:color w:val="000000"/>
          <w:sz w:val="24"/>
          <w:szCs w:val="24"/>
        </w:rPr>
        <w:t xml:space="preserve"> </w:t>
      </w:r>
      <w:proofErr w:type="spellStart"/>
      <w:r w:rsidR="009A3054" w:rsidRPr="009A3054">
        <w:rPr>
          <w:color w:val="000000"/>
          <w:sz w:val="24"/>
          <w:szCs w:val="24"/>
        </w:rPr>
        <w:t>Metzner</w:t>
      </w:r>
      <w:proofErr w:type="spellEnd"/>
      <w:r w:rsidR="002D22C5">
        <w:rPr>
          <w:color w:val="000000"/>
          <w:sz w:val="24"/>
          <w:szCs w:val="24"/>
        </w:rPr>
        <w:t xml:space="preserve"> (1985) proponen un modelo teórico en el que </w:t>
      </w:r>
      <w:r w:rsidR="009A3054">
        <w:rPr>
          <w:color w:val="000000"/>
          <w:sz w:val="24"/>
          <w:szCs w:val="24"/>
        </w:rPr>
        <w:t>definen l</w:t>
      </w:r>
      <w:r w:rsidR="005A6D97">
        <w:rPr>
          <w:color w:val="000000"/>
          <w:sz w:val="24"/>
          <w:szCs w:val="24"/>
        </w:rPr>
        <w:t xml:space="preserve">a intención de abandono como </w:t>
      </w:r>
      <w:r w:rsidR="009A3054" w:rsidRPr="009A3054">
        <w:rPr>
          <w:color w:val="000000"/>
          <w:sz w:val="24"/>
          <w:szCs w:val="24"/>
        </w:rPr>
        <w:t>la probabilidad estimada</w:t>
      </w:r>
      <w:r w:rsidR="009A3054">
        <w:rPr>
          <w:color w:val="000000"/>
          <w:sz w:val="24"/>
          <w:szCs w:val="24"/>
        </w:rPr>
        <w:t xml:space="preserve"> de un estudiante</w:t>
      </w:r>
      <w:r w:rsidR="009A3054" w:rsidRPr="009A3054">
        <w:rPr>
          <w:color w:val="000000"/>
          <w:sz w:val="24"/>
          <w:szCs w:val="24"/>
        </w:rPr>
        <w:t xml:space="preserve"> de suspender </w:t>
      </w:r>
      <w:r w:rsidR="009A3054">
        <w:rPr>
          <w:color w:val="000000"/>
          <w:sz w:val="24"/>
          <w:szCs w:val="24"/>
        </w:rPr>
        <w:t>sus</w:t>
      </w:r>
      <w:r w:rsidR="009A3054" w:rsidRPr="009A3054">
        <w:rPr>
          <w:color w:val="000000"/>
          <w:sz w:val="24"/>
          <w:szCs w:val="24"/>
        </w:rPr>
        <w:t xml:space="preserve"> estudios</w:t>
      </w:r>
      <w:r w:rsidR="002D22C5">
        <w:rPr>
          <w:color w:val="000000"/>
          <w:sz w:val="24"/>
          <w:szCs w:val="24"/>
        </w:rPr>
        <w:t>, la cual</w:t>
      </w:r>
      <w:r w:rsidR="009A3054">
        <w:rPr>
          <w:color w:val="000000"/>
          <w:sz w:val="24"/>
          <w:szCs w:val="24"/>
        </w:rPr>
        <w:t xml:space="preserve"> incluye la intención informada de los discentes de cambiar de carrera o abandonar la universidad</w:t>
      </w:r>
      <w:r w:rsidR="002D22C5">
        <w:rPr>
          <w:color w:val="000000"/>
          <w:sz w:val="24"/>
          <w:szCs w:val="24"/>
        </w:rPr>
        <w:t xml:space="preserve">. </w:t>
      </w:r>
      <w:r w:rsidR="003B0E98">
        <w:rPr>
          <w:color w:val="000000"/>
          <w:sz w:val="24"/>
          <w:szCs w:val="24"/>
        </w:rPr>
        <w:t>Este modelo plantea que l</w:t>
      </w:r>
      <w:r w:rsidR="002D22C5">
        <w:rPr>
          <w:color w:val="000000"/>
          <w:sz w:val="24"/>
          <w:szCs w:val="24"/>
        </w:rPr>
        <w:t>a intención es vista como una señal de alerta temprana de deserción real</w:t>
      </w:r>
      <w:r w:rsidR="003B0E98">
        <w:rPr>
          <w:color w:val="000000"/>
          <w:sz w:val="24"/>
          <w:szCs w:val="24"/>
        </w:rPr>
        <w:t xml:space="preserve"> y es explicada por </w:t>
      </w:r>
      <w:r w:rsidR="00EF5771">
        <w:rPr>
          <w:color w:val="000000"/>
          <w:sz w:val="24"/>
          <w:szCs w:val="24"/>
        </w:rPr>
        <w:t>factores</w:t>
      </w:r>
      <w:r w:rsidR="003B0E98">
        <w:rPr>
          <w:color w:val="000000"/>
          <w:sz w:val="24"/>
          <w:szCs w:val="24"/>
        </w:rPr>
        <w:t xml:space="preserve"> que incluyen </w:t>
      </w:r>
      <w:r w:rsidR="00CE3CD5">
        <w:rPr>
          <w:color w:val="000000"/>
          <w:sz w:val="24"/>
          <w:szCs w:val="24"/>
        </w:rPr>
        <w:t>resultados académicos</w:t>
      </w:r>
      <w:r w:rsidR="00B071C6">
        <w:rPr>
          <w:color w:val="000000"/>
          <w:sz w:val="24"/>
          <w:szCs w:val="24"/>
        </w:rPr>
        <w:t xml:space="preserve"> (rendimiento)</w:t>
      </w:r>
      <w:r w:rsidR="00CE3CD5">
        <w:rPr>
          <w:color w:val="000000"/>
          <w:sz w:val="24"/>
          <w:szCs w:val="24"/>
        </w:rPr>
        <w:t xml:space="preserve">, </w:t>
      </w:r>
      <w:r w:rsidR="003B0E98">
        <w:rPr>
          <w:color w:val="000000"/>
          <w:sz w:val="24"/>
          <w:szCs w:val="24"/>
        </w:rPr>
        <w:t xml:space="preserve">antecedentes previos a la universidad, variables académicas y ambientales.  </w:t>
      </w:r>
    </w:p>
    <w:p w14:paraId="4F5F1343" w14:textId="714308B2" w:rsidR="001D0D94" w:rsidRDefault="00CD0CE9" w:rsidP="009A3054">
      <w:pPr>
        <w:ind w:left="0" w:hanging="2"/>
        <w:rPr>
          <w:color w:val="000000"/>
          <w:sz w:val="24"/>
          <w:szCs w:val="24"/>
        </w:rPr>
      </w:pPr>
      <w:r w:rsidRPr="0033238E">
        <w:rPr>
          <w:color w:val="000000"/>
          <w:sz w:val="24"/>
          <w:szCs w:val="24"/>
        </w:rPr>
        <w:t>Determinar las causas de</w:t>
      </w:r>
      <w:r w:rsidR="00931F62" w:rsidRPr="0033238E">
        <w:rPr>
          <w:color w:val="000000"/>
          <w:sz w:val="24"/>
          <w:szCs w:val="24"/>
        </w:rPr>
        <w:t xml:space="preserve"> </w:t>
      </w:r>
      <w:r w:rsidRPr="0033238E">
        <w:rPr>
          <w:color w:val="000000"/>
          <w:sz w:val="24"/>
          <w:szCs w:val="24"/>
        </w:rPr>
        <w:t>l</w:t>
      </w:r>
      <w:r w:rsidR="00931F62" w:rsidRPr="0033238E">
        <w:rPr>
          <w:color w:val="000000"/>
          <w:sz w:val="24"/>
          <w:szCs w:val="24"/>
        </w:rPr>
        <w:t>a intención de</w:t>
      </w:r>
      <w:r w:rsidRPr="0033238E">
        <w:rPr>
          <w:color w:val="000000"/>
          <w:sz w:val="24"/>
          <w:szCs w:val="24"/>
        </w:rPr>
        <w:t xml:space="preserve"> abandono</w:t>
      </w:r>
      <w:r w:rsidR="000947DD" w:rsidRPr="0033238E">
        <w:rPr>
          <w:color w:val="000000"/>
          <w:sz w:val="24"/>
          <w:szCs w:val="24"/>
        </w:rPr>
        <w:t xml:space="preserve"> y de la </w:t>
      </w:r>
      <w:r w:rsidR="00AA6A9C" w:rsidRPr="0033238E">
        <w:rPr>
          <w:color w:val="000000"/>
          <w:sz w:val="24"/>
          <w:szCs w:val="24"/>
        </w:rPr>
        <w:t xml:space="preserve">concreción </w:t>
      </w:r>
      <w:r w:rsidR="000947DD" w:rsidRPr="0033238E">
        <w:rPr>
          <w:color w:val="000000"/>
          <w:sz w:val="24"/>
          <w:szCs w:val="24"/>
        </w:rPr>
        <w:t>real de</w:t>
      </w:r>
      <w:r w:rsidR="00AA6A9C" w:rsidRPr="0033238E">
        <w:rPr>
          <w:color w:val="000000"/>
          <w:sz w:val="24"/>
          <w:szCs w:val="24"/>
        </w:rPr>
        <w:t xml:space="preserve"> dicho fenómeno </w:t>
      </w:r>
      <w:r w:rsidR="00931F62" w:rsidRPr="0033238E">
        <w:rPr>
          <w:color w:val="000000"/>
          <w:sz w:val="24"/>
          <w:szCs w:val="24"/>
        </w:rPr>
        <w:t xml:space="preserve">es una tarea compleja, puesto que en </w:t>
      </w:r>
      <w:r w:rsidR="00AA6A9C" w:rsidRPr="0033238E">
        <w:rPr>
          <w:color w:val="000000"/>
          <w:sz w:val="24"/>
          <w:szCs w:val="24"/>
        </w:rPr>
        <w:t xml:space="preserve">su predicción inciden </w:t>
      </w:r>
      <w:r w:rsidR="00931F62" w:rsidRPr="0033238E">
        <w:rPr>
          <w:color w:val="000000"/>
          <w:sz w:val="24"/>
          <w:szCs w:val="24"/>
        </w:rPr>
        <w:t>diferentes variables</w:t>
      </w:r>
      <w:r w:rsidR="000947DD" w:rsidRPr="0033238E">
        <w:rPr>
          <w:color w:val="000000"/>
          <w:sz w:val="24"/>
          <w:szCs w:val="24"/>
        </w:rPr>
        <w:t xml:space="preserve"> que interactúan mutuamente</w:t>
      </w:r>
      <w:r w:rsidR="00AA6A9C" w:rsidRPr="0033238E">
        <w:rPr>
          <w:color w:val="000000"/>
          <w:sz w:val="24"/>
          <w:szCs w:val="24"/>
        </w:rPr>
        <w:t xml:space="preserve"> entre si </w:t>
      </w:r>
      <w:r w:rsidR="000947DD" w:rsidRPr="0033238E">
        <w:rPr>
          <w:color w:val="000000"/>
          <w:sz w:val="24"/>
          <w:szCs w:val="24"/>
        </w:rPr>
        <w:t>(</w:t>
      </w:r>
      <w:r w:rsidR="00AA6A9C" w:rsidRPr="0033238E">
        <w:rPr>
          <w:color w:val="000000"/>
          <w:sz w:val="24"/>
          <w:szCs w:val="24"/>
        </w:rPr>
        <w:t>Barroso et al., 2022</w:t>
      </w:r>
      <w:r w:rsidR="000947DD" w:rsidRPr="0033238E">
        <w:rPr>
          <w:color w:val="000000"/>
          <w:sz w:val="24"/>
          <w:szCs w:val="24"/>
        </w:rPr>
        <w:t>)</w:t>
      </w:r>
      <w:r w:rsidR="00931F62" w:rsidRPr="0033238E">
        <w:rPr>
          <w:color w:val="000000"/>
          <w:sz w:val="24"/>
          <w:szCs w:val="24"/>
        </w:rPr>
        <w:t xml:space="preserve">. </w:t>
      </w:r>
      <w:r w:rsidR="003B514E" w:rsidRPr="0033238E">
        <w:rPr>
          <w:color w:val="000000"/>
          <w:sz w:val="24"/>
          <w:szCs w:val="24"/>
        </w:rPr>
        <w:t>La</w:t>
      </w:r>
      <w:r w:rsidR="001D0D94" w:rsidRPr="0033238E">
        <w:rPr>
          <w:color w:val="000000"/>
          <w:sz w:val="24"/>
          <w:szCs w:val="24"/>
        </w:rPr>
        <w:t xml:space="preserve"> </w:t>
      </w:r>
      <w:r w:rsidR="003B514E" w:rsidRPr="0033238E">
        <w:rPr>
          <w:color w:val="000000"/>
          <w:sz w:val="24"/>
          <w:szCs w:val="24"/>
        </w:rPr>
        <w:t xml:space="preserve">literatura indica que </w:t>
      </w:r>
      <w:r w:rsidR="005F0709" w:rsidRPr="0033238E">
        <w:rPr>
          <w:color w:val="000000"/>
          <w:sz w:val="24"/>
          <w:szCs w:val="24"/>
        </w:rPr>
        <w:t xml:space="preserve">factores </w:t>
      </w:r>
      <w:r w:rsidR="00B071C6">
        <w:rPr>
          <w:color w:val="000000"/>
          <w:sz w:val="24"/>
          <w:szCs w:val="24"/>
        </w:rPr>
        <w:t xml:space="preserve">personales y </w:t>
      </w:r>
      <w:r w:rsidR="005F0709" w:rsidRPr="0033238E">
        <w:rPr>
          <w:color w:val="000000"/>
          <w:sz w:val="24"/>
          <w:szCs w:val="24"/>
        </w:rPr>
        <w:t>socioeconómicos</w:t>
      </w:r>
      <w:r w:rsidR="0010140F" w:rsidRPr="0033238E">
        <w:rPr>
          <w:color w:val="000000"/>
          <w:sz w:val="24"/>
          <w:szCs w:val="24"/>
        </w:rPr>
        <w:t>, especialmente aquellos estudiantes con dificultades de ajuste financiero</w:t>
      </w:r>
      <w:r w:rsidR="00B071C6">
        <w:rPr>
          <w:color w:val="000000"/>
          <w:sz w:val="24"/>
          <w:szCs w:val="24"/>
        </w:rPr>
        <w:t xml:space="preserve"> a nivel familiar</w:t>
      </w:r>
      <w:r w:rsidR="0018276D">
        <w:rPr>
          <w:color w:val="000000"/>
          <w:sz w:val="24"/>
          <w:szCs w:val="24"/>
        </w:rPr>
        <w:t xml:space="preserve"> y con bajos niveles de escolaridad parental</w:t>
      </w:r>
      <w:r w:rsidR="00F47217" w:rsidRPr="0033238E">
        <w:rPr>
          <w:color w:val="000000"/>
          <w:sz w:val="24"/>
          <w:szCs w:val="24"/>
        </w:rPr>
        <w:t xml:space="preserve"> (García et al., 2016),</w:t>
      </w:r>
      <w:r w:rsidR="0018276D">
        <w:rPr>
          <w:color w:val="000000"/>
          <w:sz w:val="24"/>
          <w:szCs w:val="24"/>
        </w:rPr>
        <w:t xml:space="preserve"> </w:t>
      </w:r>
      <w:r w:rsidR="001D0D94" w:rsidRPr="0033238E">
        <w:rPr>
          <w:color w:val="000000"/>
          <w:sz w:val="24"/>
          <w:szCs w:val="24"/>
        </w:rPr>
        <w:t>estudiantes que no alcanzaron puntaje de admisión para su primera carrera de elección</w:t>
      </w:r>
      <w:r w:rsidR="00054BFD" w:rsidRPr="0033238E">
        <w:rPr>
          <w:color w:val="000000"/>
          <w:sz w:val="24"/>
          <w:szCs w:val="24"/>
        </w:rPr>
        <w:t xml:space="preserve"> (Bernardo et al., 2016)</w:t>
      </w:r>
      <w:r w:rsidR="001D0D94" w:rsidRPr="0033238E">
        <w:rPr>
          <w:color w:val="000000"/>
          <w:sz w:val="24"/>
          <w:szCs w:val="24"/>
        </w:rPr>
        <w:t xml:space="preserve"> y estudiantes </w:t>
      </w:r>
      <w:r w:rsidR="009808E6" w:rsidRPr="0033238E">
        <w:rPr>
          <w:color w:val="000000"/>
          <w:sz w:val="24"/>
          <w:szCs w:val="24"/>
        </w:rPr>
        <w:t xml:space="preserve">con bajo rendimiento académico en </w:t>
      </w:r>
      <w:r w:rsidR="0018276D">
        <w:rPr>
          <w:color w:val="000000"/>
          <w:sz w:val="24"/>
          <w:szCs w:val="24"/>
        </w:rPr>
        <w:t xml:space="preserve">áreas como las </w:t>
      </w:r>
      <w:r w:rsidR="009808E6" w:rsidRPr="0033238E">
        <w:rPr>
          <w:color w:val="000000"/>
          <w:sz w:val="24"/>
          <w:szCs w:val="24"/>
        </w:rPr>
        <w:t xml:space="preserve">ciencias exactas, </w:t>
      </w:r>
      <w:r w:rsidR="001D0D94" w:rsidRPr="0033238E">
        <w:rPr>
          <w:color w:val="000000"/>
          <w:sz w:val="24"/>
          <w:szCs w:val="24"/>
        </w:rPr>
        <w:t>físico</w:t>
      </w:r>
      <w:r w:rsidR="0018276D">
        <w:rPr>
          <w:color w:val="000000"/>
          <w:sz w:val="24"/>
          <w:szCs w:val="24"/>
        </w:rPr>
        <w:t xml:space="preserve"> y </w:t>
      </w:r>
      <w:r w:rsidR="001D0D94" w:rsidRPr="0033238E">
        <w:rPr>
          <w:color w:val="000000"/>
          <w:sz w:val="24"/>
          <w:szCs w:val="24"/>
        </w:rPr>
        <w:t>matemáticas</w:t>
      </w:r>
      <w:r w:rsidR="009808E6" w:rsidRPr="0033238E">
        <w:rPr>
          <w:color w:val="000000"/>
          <w:sz w:val="24"/>
          <w:szCs w:val="24"/>
        </w:rPr>
        <w:t xml:space="preserve"> (</w:t>
      </w:r>
      <w:proofErr w:type="spellStart"/>
      <w:r w:rsidR="00A8002A" w:rsidRPr="0033238E">
        <w:rPr>
          <w:color w:val="000000"/>
          <w:sz w:val="24"/>
          <w:szCs w:val="24"/>
        </w:rPr>
        <w:t>Gairín</w:t>
      </w:r>
      <w:proofErr w:type="spellEnd"/>
      <w:r w:rsidR="00A8002A" w:rsidRPr="0033238E">
        <w:rPr>
          <w:color w:val="000000"/>
          <w:sz w:val="24"/>
          <w:szCs w:val="24"/>
        </w:rPr>
        <w:t xml:space="preserve"> et al., 2014</w:t>
      </w:r>
      <w:r w:rsidR="009808E6" w:rsidRPr="0033238E">
        <w:rPr>
          <w:color w:val="000000"/>
          <w:sz w:val="24"/>
          <w:szCs w:val="24"/>
        </w:rPr>
        <w:t>)</w:t>
      </w:r>
      <w:r w:rsidR="001D0D94" w:rsidRPr="0033238E">
        <w:rPr>
          <w:color w:val="000000"/>
          <w:sz w:val="24"/>
          <w:szCs w:val="24"/>
        </w:rPr>
        <w:t xml:space="preserve"> </w:t>
      </w:r>
      <w:r w:rsidR="0010140F" w:rsidRPr="0033238E">
        <w:rPr>
          <w:color w:val="000000"/>
          <w:sz w:val="24"/>
          <w:szCs w:val="24"/>
        </w:rPr>
        <w:t>presentan mayor</w:t>
      </w:r>
      <w:r w:rsidR="009808E6" w:rsidRPr="0033238E">
        <w:rPr>
          <w:color w:val="000000"/>
          <w:sz w:val="24"/>
          <w:szCs w:val="24"/>
        </w:rPr>
        <w:t xml:space="preserve"> probabilidad de</w:t>
      </w:r>
      <w:r w:rsidR="009808E6">
        <w:rPr>
          <w:color w:val="000000"/>
          <w:sz w:val="24"/>
          <w:szCs w:val="24"/>
        </w:rPr>
        <w:t xml:space="preserve"> abandono de estudios. </w:t>
      </w:r>
      <w:r w:rsidR="0010140F">
        <w:rPr>
          <w:color w:val="000000"/>
          <w:sz w:val="24"/>
          <w:szCs w:val="24"/>
        </w:rPr>
        <w:t xml:space="preserve"> </w:t>
      </w:r>
    </w:p>
    <w:p w14:paraId="4E74A004" w14:textId="099080E8" w:rsidR="003B514E" w:rsidRPr="009A3054" w:rsidRDefault="00F47217" w:rsidP="009A3054">
      <w:pPr>
        <w:ind w:left="0" w:hanging="2"/>
        <w:rPr>
          <w:color w:val="000000"/>
          <w:sz w:val="24"/>
          <w:szCs w:val="24"/>
        </w:rPr>
      </w:pPr>
      <w:r>
        <w:rPr>
          <w:color w:val="000000"/>
          <w:sz w:val="24"/>
          <w:szCs w:val="24"/>
        </w:rPr>
        <w:t>Asimismo</w:t>
      </w:r>
      <w:r w:rsidR="003727CF">
        <w:rPr>
          <w:color w:val="000000"/>
          <w:sz w:val="24"/>
          <w:szCs w:val="24"/>
        </w:rPr>
        <w:t xml:space="preserve">, </w:t>
      </w:r>
      <w:r w:rsidR="004155EB">
        <w:rPr>
          <w:color w:val="000000"/>
          <w:sz w:val="24"/>
          <w:szCs w:val="24"/>
        </w:rPr>
        <w:t>experiencias académicas de adaptación temprana, en lo vinculado con las vivencias de carrera</w:t>
      </w:r>
      <w:r w:rsidR="003727CF">
        <w:rPr>
          <w:color w:val="000000"/>
          <w:sz w:val="24"/>
          <w:szCs w:val="24"/>
        </w:rPr>
        <w:t xml:space="preserve"> (perspectivas de carrera y orientación vocacional), aspectos personales (bienestar físico y psicológico), hábitos de estudio adecuados,</w:t>
      </w:r>
      <w:r w:rsidR="00076B09">
        <w:rPr>
          <w:color w:val="000000"/>
          <w:sz w:val="24"/>
          <w:szCs w:val="24"/>
        </w:rPr>
        <w:t xml:space="preserve"> aspectos sociales</w:t>
      </w:r>
      <w:r w:rsidR="00A8002A">
        <w:rPr>
          <w:color w:val="000000"/>
          <w:sz w:val="24"/>
          <w:szCs w:val="24"/>
        </w:rPr>
        <w:t>/</w:t>
      </w:r>
      <w:r w:rsidR="00076B09">
        <w:rPr>
          <w:color w:val="000000"/>
          <w:sz w:val="24"/>
          <w:szCs w:val="24"/>
        </w:rPr>
        <w:t>interpersonales</w:t>
      </w:r>
      <w:r w:rsidR="0018276D">
        <w:rPr>
          <w:color w:val="000000"/>
          <w:sz w:val="24"/>
          <w:szCs w:val="24"/>
        </w:rPr>
        <w:t xml:space="preserve"> (</w:t>
      </w:r>
      <w:r w:rsidR="000D4DAE">
        <w:rPr>
          <w:color w:val="000000"/>
          <w:sz w:val="24"/>
          <w:szCs w:val="24"/>
        </w:rPr>
        <w:t>tener una red de apoyo en la universidad</w:t>
      </w:r>
      <w:r w:rsidR="0018276D">
        <w:rPr>
          <w:color w:val="000000"/>
          <w:sz w:val="24"/>
          <w:szCs w:val="24"/>
        </w:rPr>
        <w:t>)</w:t>
      </w:r>
      <w:r w:rsidR="00076B09">
        <w:rPr>
          <w:color w:val="000000"/>
          <w:sz w:val="24"/>
          <w:szCs w:val="24"/>
        </w:rPr>
        <w:t xml:space="preserve"> y la percepción de la calidad de los servicios de la institución</w:t>
      </w:r>
      <w:r w:rsidR="00A8002A">
        <w:rPr>
          <w:color w:val="000000"/>
          <w:sz w:val="24"/>
          <w:szCs w:val="24"/>
        </w:rPr>
        <w:t xml:space="preserve"> educativa</w:t>
      </w:r>
      <w:r w:rsidR="00076B09">
        <w:rPr>
          <w:color w:val="000000"/>
          <w:sz w:val="24"/>
          <w:szCs w:val="24"/>
        </w:rPr>
        <w:t xml:space="preserve"> </w:t>
      </w:r>
      <w:r w:rsidR="004155EB">
        <w:rPr>
          <w:color w:val="000000"/>
          <w:sz w:val="24"/>
          <w:szCs w:val="24"/>
        </w:rPr>
        <w:t xml:space="preserve">representan factores protectores </w:t>
      </w:r>
      <w:r w:rsidR="00076B09">
        <w:rPr>
          <w:color w:val="000000"/>
          <w:sz w:val="24"/>
          <w:szCs w:val="24"/>
        </w:rPr>
        <w:t>ante la</w:t>
      </w:r>
      <w:r w:rsidR="004155EB">
        <w:rPr>
          <w:color w:val="000000"/>
          <w:sz w:val="24"/>
          <w:szCs w:val="24"/>
        </w:rPr>
        <w:t xml:space="preserve"> intención de abandono universitario</w:t>
      </w:r>
      <w:r w:rsidR="00076B09">
        <w:rPr>
          <w:color w:val="000000"/>
          <w:sz w:val="24"/>
          <w:szCs w:val="24"/>
        </w:rPr>
        <w:t xml:space="preserve"> (ej., Casanova et al., 2021)</w:t>
      </w:r>
      <w:r w:rsidR="004155EB">
        <w:rPr>
          <w:color w:val="000000"/>
          <w:sz w:val="24"/>
          <w:szCs w:val="24"/>
        </w:rPr>
        <w:t xml:space="preserve">. </w:t>
      </w:r>
    </w:p>
    <w:p w14:paraId="26BC151F" w14:textId="79119411" w:rsidR="000F4B53" w:rsidRDefault="003B514E" w:rsidP="00D06231">
      <w:pPr>
        <w:ind w:left="0" w:hanging="2"/>
        <w:rPr>
          <w:color w:val="000000"/>
          <w:sz w:val="24"/>
          <w:szCs w:val="24"/>
        </w:rPr>
      </w:pPr>
      <w:r>
        <w:rPr>
          <w:color w:val="000000"/>
          <w:sz w:val="24"/>
          <w:szCs w:val="24"/>
        </w:rPr>
        <w:t>Tomando en consideración</w:t>
      </w:r>
      <w:r w:rsidR="00D06231">
        <w:rPr>
          <w:color w:val="000000"/>
          <w:sz w:val="24"/>
          <w:szCs w:val="24"/>
        </w:rPr>
        <w:t xml:space="preserve"> el proceso de transición vital y académica que experimentan los estudiantes de primer ingreso, este segmento estudiantil se ha identificado como uno de los principales grupos de riesgo de abandono en educación superior</w:t>
      </w:r>
      <w:r w:rsidR="00777727">
        <w:rPr>
          <w:color w:val="000000"/>
          <w:sz w:val="24"/>
          <w:szCs w:val="24"/>
        </w:rPr>
        <w:t xml:space="preserve"> (Blair, 2017)</w:t>
      </w:r>
      <w:r w:rsidR="00D06231">
        <w:rPr>
          <w:color w:val="000000"/>
          <w:sz w:val="24"/>
          <w:szCs w:val="24"/>
        </w:rPr>
        <w:t>.</w:t>
      </w:r>
      <w:r w:rsidR="007302FF">
        <w:rPr>
          <w:color w:val="000000"/>
          <w:sz w:val="24"/>
          <w:szCs w:val="24"/>
        </w:rPr>
        <w:t xml:space="preserve"> Los estudiantes de primer año deben adaptarse a nuevas dinámicas educacionales y personales que demandan un fuerte proceso de reajustes de autonomía, autorregulación y madurez que no todos los estudiantes afrontan con suceso</w:t>
      </w:r>
      <w:r w:rsidR="00777727">
        <w:rPr>
          <w:color w:val="000000"/>
          <w:sz w:val="24"/>
          <w:szCs w:val="24"/>
        </w:rPr>
        <w:t xml:space="preserve"> (</w:t>
      </w:r>
      <w:proofErr w:type="spellStart"/>
      <w:r w:rsidR="00777727" w:rsidRPr="00777727">
        <w:rPr>
          <w:color w:val="000000"/>
          <w:sz w:val="24"/>
          <w:szCs w:val="24"/>
          <w:lang w:val="es-MX"/>
        </w:rPr>
        <w:t>Holdsworth</w:t>
      </w:r>
      <w:proofErr w:type="spellEnd"/>
      <w:r w:rsidR="00777727">
        <w:rPr>
          <w:color w:val="000000"/>
          <w:sz w:val="24"/>
          <w:szCs w:val="24"/>
          <w:lang w:val="es-MX"/>
        </w:rPr>
        <w:t xml:space="preserve"> et al., 2018)</w:t>
      </w:r>
      <w:r w:rsidR="007302FF">
        <w:rPr>
          <w:color w:val="000000"/>
          <w:sz w:val="24"/>
          <w:szCs w:val="24"/>
        </w:rPr>
        <w:t xml:space="preserve">. </w:t>
      </w:r>
    </w:p>
    <w:p w14:paraId="50E9CD55" w14:textId="6C2E8305" w:rsidR="00D06231" w:rsidRDefault="00EF5771" w:rsidP="00D06231">
      <w:pPr>
        <w:ind w:left="0" w:hanging="2"/>
        <w:rPr>
          <w:color w:val="000000"/>
          <w:sz w:val="24"/>
          <w:szCs w:val="24"/>
        </w:rPr>
      </w:pPr>
      <w:r>
        <w:rPr>
          <w:color w:val="000000"/>
          <w:sz w:val="24"/>
          <w:szCs w:val="24"/>
        </w:rPr>
        <w:lastRenderedPageBreak/>
        <w:t>A nivel contextual</w:t>
      </w:r>
      <w:r w:rsidR="00672639">
        <w:rPr>
          <w:color w:val="000000"/>
          <w:sz w:val="24"/>
          <w:szCs w:val="24"/>
        </w:rPr>
        <w:t xml:space="preserve">, en Honduras se evidencia escasez de información que sistematice datos respecto al abandono </w:t>
      </w:r>
      <w:r w:rsidR="00BD6FAA">
        <w:rPr>
          <w:color w:val="000000"/>
          <w:sz w:val="24"/>
          <w:szCs w:val="24"/>
        </w:rPr>
        <w:t xml:space="preserve">y deserción </w:t>
      </w:r>
      <w:r w:rsidR="00672639">
        <w:rPr>
          <w:color w:val="000000"/>
          <w:sz w:val="24"/>
          <w:szCs w:val="24"/>
        </w:rPr>
        <w:t>universitari</w:t>
      </w:r>
      <w:r w:rsidR="00BD6FAA">
        <w:rPr>
          <w:color w:val="000000"/>
          <w:sz w:val="24"/>
          <w:szCs w:val="24"/>
        </w:rPr>
        <w:t xml:space="preserve">a. </w:t>
      </w:r>
      <w:r w:rsidR="006A43D9">
        <w:rPr>
          <w:color w:val="000000"/>
          <w:sz w:val="24"/>
          <w:szCs w:val="24"/>
        </w:rPr>
        <w:t xml:space="preserve">De los pocos estudios que han abordado la temática, </w:t>
      </w:r>
      <w:proofErr w:type="spellStart"/>
      <w:r w:rsidR="006A43D9">
        <w:rPr>
          <w:color w:val="000000"/>
          <w:sz w:val="24"/>
          <w:szCs w:val="24"/>
        </w:rPr>
        <w:t>Duriez</w:t>
      </w:r>
      <w:proofErr w:type="spellEnd"/>
      <w:r w:rsidR="006A43D9">
        <w:rPr>
          <w:color w:val="000000"/>
          <w:sz w:val="24"/>
          <w:szCs w:val="24"/>
        </w:rPr>
        <w:t xml:space="preserve"> et al. (2016) evidenciaron que </w:t>
      </w:r>
      <w:r w:rsidR="00214D4B">
        <w:rPr>
          <w:color w:val="000000"/>
          <w:sz w:val="24"/>
          <w:szCs w:val="24"/>
        </w:rPr>
        <w:t>durante el</w:t>
      </w:r>
      <w:r w:rsidR="006A43D9">
        <w:rPr>
          <w:color w:val="000000"/>
          <w:sz w:val="24"/>
          <w:szCs w:val="24"/>
        </w:rPr>
        <w:t xml:space="preserve"> año</w:t>
      </w:r>
      <w:r w:rsidR="00BD6FAA" w:rsidRPr="00BD6FAA">
        <w:rPr>
          <w:color w:val="000000"/>
          <w:sz w:val="24"/>
          <w:szCs w:val="24"/>
        </w:rPr>
        <w:t xml:space="preserve"> 2013 el 36.3% </w:t>
      </w:r>
      <w:r w:rsidR="00BD6FAA">
        <w:rPr>
          <w:color w:val="000000"/>
          <w:sz w:val="24"/>
          <w:szCs w:val="24"/>
        </w:rPr>
        <w:t xml:space="preserve">de estudiantes </w:t>
      </w:r>
      <w:r w:rsidR="00BD6FAA" w:rsidRPr="00BD6FAA">
        <w:rPr>
          <w:color w:val="000000"/>
          <w:sz w:val="24"/>
          <w:szCs w:val="24"/>
        </w:rPr>
        <w:t>logró terminar los estudios universitarios,</w:t>
      </w:r>
      <w:r w:rsidR="00BD6FAA">
        <w:rPr>
          <w:color w:val="000000"/>
          <w:sz w:val="24"/>
          <w:szCs w:val="24"/>
        </w:rPr>
        <w:t xml:space="preserve"> </w:t>
      </w:r>
      <w:r w:rsidR="00BD6FAA" w:rsidRPr="00BD6FAA">
        <w:rPr>
          <w:color w:val="000000"/>
          <w:sz w:val="24"/>
          <w:szCs w:val="24"/>
        </w:rPr>
        <w:t>lo que implic</w:t>
      </w:r>
      <w:r w:rsidR="00BD6FAA">
        <w:rPr>
          <w:color w:val="000000"/>
          <w:sz w:val="24"/>
          <w:szCs w:val="24"/>
        </w:rPr>
        <w:t>ó</w:t>
      </w:r>
      <w:r w:rsidR="00BD6FAA" w:rsidRPr="00BD6FAA">
        <w:rPr>
          <w:color w:val="000000"/>
          <w:sz w:val="24"/>
          <w:szCs w:val="24"/>
        </w:rPr>
        <w:t xml:space="preserve"> un 63.7</w:t>
      </w:r>
      <w:r w:rsidR="00BD6FAA">
        <w:rPr>
          <w:color w:val="000000"/>
          <w:sz w:val="24"/>
          <w:szCs w:val="24"/>
        </w:rPr>
        <w:t>%</w:t>
      </w:r>
      <w:r w:rsidR="00BD6FAA" w:rsidRPr="00BD6FAA">
        <w:rPr>
          <w:color w:val="000000"/>
          <w:sz w:val="24"/>
          <w:szCs w:val="24"/>
        </w:rPr>
        <w:t xml:space="preserve"> de deserción</w:t>
      </w:r>
      <w:r w:rsidR="00BD6FAA">
        <w:rPr>
          <w:color w:val="000000"/>
          <w:sz w:val="24"/>
          <w:szCs w:val="24"/>
        </w:rPr>
        <w:t xml:space="preserve"> universitaria</w:t>
      </w:r>
      <w:r w:rsidR="006A43D9">
        <w:rPr>
          <w:color w:val="000000"/>
          <w:sz w:val="24"/>
          <w:szCs w:val="24"/>
        </w:rPr>
        <w:t xml:space="preserve">. </w:t>
      </w:r>
      <w:r w:rsidR="0017744A">
        <w:rPr>
          <w:color w:val="000000"/>
          <w:sz w:val="24"/>
          <w:szCs w:val="24"/>
        </w:rPr>
        <w:t>Por otro lado</w:t>
      </w:r>
      <w:r w:rsidR="00214D4B">
        <w:rPr>
          <w:color w:val="000000"/>
          <w:sz w:val="24"/>
          <w:szCs w:val="24"/>
        </w:rPr>
        <w:t>,</w:t>
      </w:r>
      <w:r w:rsidR="00BD6FAA">
        <w:rPr>
          <w:color w:val="000000"/>
          <w:sz w:val="24"/>
          <w:szCs w:val="24"/>
        </w:rPr>
        <w:t xml:space="preserve"> y </w:t>
      </w:r>
      <w:r w:rsidR="00006D83">
        <w:rPr>
          <w:color w:val="000000"/>
          <w:sz w:val="24"/>
          <w:szCs w:val="24"/>
        </w:rPr>
        <w:t>h</w:t>
      </w:r>
      <w:r w:rsidR="00D06231" w:rsidRPr="00D52F8D">
        <w:rPr>
          <w:color w:val="000000"/>
          <w:sz w:val="24"/>
          <w:szCs w:val="24"/>
        </w:rPr>
        <w:t xml:space="preserve">asta donde se tiene conocimiento, </w:t>
      </w:r>
      <w:r w:rsidR="00672639">
        <w:rPr>
          <w:color w:val="000000"/>
          <w:sz w:val="24"/>
          <w:szCs w:val="24"/>
        </w:rPr>
        <w:t xml:space="preserve">no existen </w:t>
      </w:r>
      <w:r w:rsidR="00D06231" w:rsidRPr="00D52F8D">
        <w:rPr>
          <w:color w:val="000000"/>
          <w:sz w:val="24"/>
          <w:szCs w:val="24"/>
        </w:rPr>
        <w:t xml:space="preserve">estudios que aborden modelos explicativos respecto a la intención de abandono </w:t>
      </w:r>
      <w:r w:rsidR="00D06231">
        <w:rPr>
          <w:color w:val="000000"/>
          <w:sz w:val="24"/>
          <w:szCs w:val="24"/>
        </w:rPr>
        <w:t xml:space="preserve">universitario </w:t>
      </w:r>
      <w:r w:rsidR="00D06231" w:rsidRPr="00D52F8D">
        <w:rPr>
          <w:color w:val="000000"/>
          <w:sz w:val="24"/>
          <w:szCs w:val="24"/>
        </w:rPr>
        <w:t>en contexto hondureño</w:t>
      </w:r>
      <w:r w:rsidR="00D06231">
        <w:rPr>
          <w:color w:val="000000"/>
          <w:sz w:val="24"/>
          <w:szCs w:val="24"/>
        </w:rPr>
        <w:t xml:space="preserve">. </w:t>
      </w:r>
      <w:r w:rsidR="00672639">
        <w:rPr>
          <w:color w:val="000000"/>
          <w:sz w:val="24"/>
          <w:szCs w:val="24"/>
        </w:rPr>
        <w:t xml:space="preserve">Lo anterior coloca en relevancia la importancia del abordaje de esta temática en el escenario de educación superior hondureña. </w:t>
      </w:r>
    </w:p>
    <w:p w14:paraId="522EFFD1" w14:textId="2CD50786" w:rsidR="00192DC8" w:rsidRDefault="003B514E" w:rsidP="00D06231">
      <w:pPr>
        <w:ind w:leftChars="0" w:left="0" w:firstLineChars="0" w:firstLine="0"/>
        <w:rPr>
          <w:color w:val="000000"/>
          <w:sz w:val="24"/>
          <w:szCs w:val="24"/>
        </w:rPr>
      </w:pPr>
      <w:r>
        <w:rPr>
          <w:color w:val="000000"/>
          <w:sz w:val="24"/>
          <w:szCs w:val="24"/>
        </w:rPr>
        <w:t>Considerando los argumentos presentados, e</w:t>
      </w:r>
      <w:r w:rsidR="00D06231" w:rsidRPr="00D52F8D">
        <w:rPr>
          <w:color w:val="000000"/>
          <w:sz w:val="24"/>
          <w:szCs w:val="24"/>
        </w:rPr>
        <w:t>l objetivo de este trabajo es analizar la influencia del perfil</w:t>
      </w:r>
      <w:r w:rsidR="00D06231">
        <w:rPr>
          <w:color w:val="000000"/>
          <w:sz w:val="24"/>
          <w:szCs w:val="24"/>
        </w:rPr>
        <w:t xml:space="preserve"> estudiantil</w:t>
      </w:r>
      <w:r w:rsidR="00D06231" w:rsidRPr="00D52F8D">
        <w:rPr>
          <w:color w:val="000000"/>
          <w:sz w:val="24"/>
          <w:szCs w:val="24"/>
        </w:rPr>
        <w:t xml:space="preserve"> </w:t>
      </w:r>
      <w:r w:rsidR="00D06231">
        <w:rPr>
          <w:color w:val="000000"/>
          <w:sz w:val="24"/>
          <w:szCs w:val="24"/>
        </w:rPr>
        <w:t xml:space="preserve">socioeconómico/académico </w:t>
      </w:r>
      <w:r w:rsidR="00D06231" w:rsidRPr="00D52F8D">
        <w:rPr>
          <w:color w:val="000000"/>
          <w:sz w:val="24"/>
          <w:szCs w:val="24"/>
        </w:rPr>
        <w:t>de ingreso</w:t>
      </w:r>
      <w:r w:rsidR="00D06231">
        <w:rPr>
          <w:color w:val="000000"/>
          <w:sz w:val="24"/>
          <w:szCs w:val="24"/>
        </w:rPr>
        <w:t xml:space="preserve"> </w:t>
      </w:r>
      <w:r w:rsidR="00D06231" w:rsidRPr="00D52F8D">
        <w:rPr>
          <w:color w:val="000000"/>
          <w:sz w:val="24"/>
          <w:szCs w:val="24"/>
        </w:rPr>
        <w:t>y las vivencias</w:t>
      </w:r>
      <w:r w:rsidR="00D06231">
        <w:rPr>
          <w:color w:val="000000"/>
          <w:sz w:val="24"/>
          <w:szCs w:val="24"/>
        </w:rPr>
        <w:t xml:space="preserve"> académicas t</w:t>
      </w:r>
      <w:r w:rsidR="00D06231" w:rsidRPr="00D52F8D">
        <w:rPr>
          <w:color w:val="000000"/>
          <w:sz w:val="24"/>
          <w:szCs w:val="24"/>
        </w:rPr>
        <w:t>empranas</w:t>
      </w:r>
      <w:r w:rsidR="00D06231">
        <w:rPr>
          <w:color w:val="000000"/>
          <w:sz w:val="24"/>
          <w:szCs w:val="24"/>
        </w:rPr>
        <w:t xml:space="preserve"> como variables predictoras de la intención de abandono en un contexto de educación superior hondureño.</w:t>
      </w:r>
      <w:r w:rsidR="00F03F84">
        <w:rPr>
          <w:color w:val="000000"/>
          <w:sz w:val="24"/>
          <w:szCs w:val="24"/>
        </w:rPr>
        <w:t xml:space="preserve"> </w:t>
      </w:r>
      <w:r w:rsidR="00010AFF">
        <w:rPr>
          <w:color w:val="000000"/>
          <w:sz w:val="24"/>
          <w:szCs w:val="24"/>
        </w:rPr>
        <w:t>E</w:t>
      </w:r>
      <w:r w:rsidR="00F03F84">
        <w:rPr>
          <w:color w:val="000000"/>
          <w:sz w:val="24"/>
          <w:szCs w:val="24"/>
        </w:rPr>
        <w:t xml:space="preserve">l modelo teórico hipotetizado </w:t>
      </w:r>
      <w:r w:rsidR="002850B8">
        <w:rPr>
          <w:color w:val="000000"/>
          <w:sz w:val="24"/>
          <w:szCs w:val="24"/>
        </w:rPr>
        <w:t>pretende</w:t>
      </w:r>
      <w:r w:rsidR="00F03F84">
        <w:rPr>
          <w:color w:val="000000"/>
          <w:sz w:val="24"/>
          <w:szCs w:val="24"/>
        </w:rPr>
        <w:t xml:space="preserve"> identificar los factores protectores y de riesgo</w:t>
      </w:r>
      <w:r w:rsidR="00010AFF">
        <w:rPr>
          <w:color w:val="000000"/>
          <w:sz w:val="24"/>
          <w:szCs w:val="24"/>
        </w:rPr>
        <w:t xml:space="preserve">, tanto del perfil de ingreso como de las vivencias académicas, </w:t>
      </w:r>
      <w:r w:rsidR="002850B8">
        <w:rPr>
          <w:color w:val="000000"/>
          <w:sz w:val="24"/>
          <w:szCs w:val="24"/>
        </w:rPr>
        <w:t>que explican el comportamiento de la variable dependiente</w:t>
      </w:r>
      <w:r w:rsidR="00010AFF">
        <w:rPr>
          <w:color w:val="000000"/>
          <w:sz w:val="24"/>
          <w:szCs w:val="24"/>
        </w:rPr>
        <w:t>, es decir, de la i</w:t>
      </w:r>
      <w:r w:rsidR="002850B8">
        <w:rPr>
          <w:color w:val="000000"/>
          <w:sz w:val="24"/>
          <w:szCs w:val="24"/>
        </w:rPr>
        <w:t>ntención de abandono</w:t>
      </w:r>
      <w:r w:rsidR="00010AFF">
        <w:rPr>
          <w:color w:val="000000"/>
          <w:sz w:val="24"/>
          <w:szCs w:val="24"/>
        </w:rPr>
        <w:t xml:space="preserve"> (Ver Figura 1)</w:t>
      </w:r>
      <w:r w:rsidR="002850B8">
        <w:rPr>
          <w:color w:val="000000"/>
          <w:sz w:val="24"/>
          <w:szCs w:val="24"/>
        </w:rPr>
        <w:t>.</w:t>
      </w:r>
      <w:r w:rsidR="00C97B87">
        <w:rPr>
          <w:color w:val="000000"/>
          <w:sz w:val="24"/>
          <w:szCs w:val="24"/>
        </w:rPr>
        <w:t xml:space="preserve"> </w:t>
      </w:r>
      <w:r w:rsidR="00AA040F">
        <w:rPr>
          <w:color w:val="000000"/>
          <w:sz w:val="24"/>
          <w:szCs w:val="24"/>
        </w:rPr>
        <w:t xml:space="preserve">Los dos bloques de variables predictivas que se visualizan en la Figura 1, </w:t>
      </w:r>
      <w:r w:rsidR="00CE3CD5">
        <w:rPr>
          <w:color w:val="000000"/>
          <w:sz w:val="24"/>
          <w:szCs w:val="24"/>
        </w:rPr>
        <w:t>son una adaptación de las dimensiones d</w:t>
      </w:r>
      <w:r w:rsidR="00AA040F">
        <w:rPr>
          <w:color w:val="000000"/>
          <w:sz w:val="24"/>
          <w:szCs w:val="24"/>
        </w:rPr>
        <w:t>el modelo</w:t>
      </w:r>
      <w:r w:rsidR="00CE3CD5">
        <w:rPr>
          <w:color w:val="000000"/>
          <w:sz w:val="24"/>
          <w:szCs w:val="24"/>
        </w:rPr>
        <w:t xml:space="preserve"> clásico </w:t>
      </w:r>
      <w:r w:rsidR="00AA040F">
        <w:rPr>
          <w:color w:val="000000"/>
          <w:sz w:val="24"/>
          <w:szCs w:val="24"/>
        </w:rPr>
        <w:t xml:space="preserve">de </w:t>
      </w:r>
      <w:proofErr w:type="spellStart"/>
      <w:r w:rsidR="00AA040F" w:rsidRPr="009A3054">
        <w:rPr>
          <w:color w:val="000000"/>
          <w:sz w:val="24"/>
          <w:szCs w:val="24"/>
        </w:rPr>
        <w:t>Bean</w:t>
      </w:r>
      <w:proofErr w:type="spellEnd"/>
      <w:r w:rsidR="00AA040F" w:rsidRPr="009A3054">
        <w:rPr>
          <w:color w:val="000000"/>
          <w:sz w:val="24"/>
          <w:szCs w:val="24"/>
        </w:rPr>
        <w:t xml:space="preserve"> </w:t>
      </w:r>
      <w:r w:rsidR="00AA040F">
        <w:rPr>
          <w:color w:val="000000"/>
          <w:sz w:val="24"/>
          <w:szCs w:val="24"/>
        </w:rPr>
        <w:t>y</w:t>
      </w:r>
      <w:r w:rsidR="00AA040F" w:rsidRPr="009A3054">
        <w:rPr>
          <w:color w:val="000000"/>
          <w:sz w:val="24"/>
          <w:szCs w:val="24"/>
        </w:rPr>
        <w:t xml:space="preserve"> </w:t>
      </w:r>
      <w:proofErr w:type="spellStart"/>
      <w:r w:rsidR="00AA040F" w:rsidRPr="009A3054">
        <w:rPr>
          <w:color w:val="000000"/>
          <w:sz w:val="24"/>
          <w:szCs w:val="24"/>
        </w:rPr>
        <w:t>Metzner</w:t>
      </w:r>
      <w:proofErr w:type="spellEnd"/>
      <w:r w:rsidR="00CE3CD5">
        <w:rPr>
          <w:color w:val="000000"/>
          <w:sz w:val="24"/>
          <w:szCs w:val="24"/>
        </w:rPr>
        <w:t xml:space="preserve"> (1985)</w:t>
      </w:r>
      <w:r w:rsidR="00AA040F">
        <w:rPr>
          <w:color w:val="000000"/>
          <w:sz w:val="24"/>
          <w:szCs w:val="24"/>
        </w:rPr>
        <w:t xml:space="preserve">, </w:t>
      </w:r>
      <w:r w:rsidR="00DA0484">
        <w:rPr>
          <w:color w:val="000000"/>
          <w:sz w:val="24"/>
          <w:szCs w:val="24"/>
        </w:rPr>
        <w:t xml:space="preserve">que incluye </w:t>
      </w:r>
      <w:r w:rsidR="003B0E98">
        <w:rPr>
          <w:color w:val="000000"/>
          <w:sz w:val="24"/>
          <w:szCs w:val="24"/>
        </w:rPr>
        <w:t xml:space="preserve">los componentes de antecedentes previos (perfil de ingreso) y experiencias vinculadas a variables académicas y ambientales (vivencias académicas tempranas). </w:t>
      </w:r>
    </w:p>
    <w:p w14:paraId="59D4E1BE" w14:textId="77777777" w:rsidR="00ED44B2" w:rsidRDefault="00ED44B2" w:rsidP="00ED44B2">
      <w:pPr>
        <w:ind w:left="0" w:hanging="2"/>
        <w:rPr>
          <w:color w:val="000000"/>
          <w:sz w:val="24"/>
          <w:szCs w:val="24"/>
        </w:rPr>
      </w:pPr>
      <w:r>
        <w:rPr>
          <w:color w:val="000000"/>
          <w:sz w:val="24"/>
          <w:szCs w:val="24"/>
        </w:rPr>
        <w:t xml:space="preserve">El desarrollo de este estudio se articula con la necesidad del desarrollo de investigaciones que evalúen la dinámica multivariada de los predictores asociados a la intención de abandono, utilizando instrumentos de medición válidos y confiables que permitan una evaluación más apropiada del constructo, tal como lo indica la revisión sistemática de Sáenz et al. (2020). </w:t>
      </w:r>
    </w:p>
    <w:p w14:paraId="69F60445" w14:textId="77777777" w:rsidR="00BD6FAA" w:rsidRPr="00CE3CD5" w:rsidRDefault="00BD6FAA" w:rsidP="00BD6FAA">
      <w:pPr>
        <w:ind w:left="0" w:hanging="2"/>
      </w:pPr>
    </w:p>
    <w:p w14:paraId="1E0EC5F4" w14:textId="77777777" w:rsidR="00BD6FAA" w:rsidRDefault="00BD6FAA" w:rsidP="00BD6FAA">
      <w:pPr>
        <w:ind w:left="0" w:hanging="2"/>
        <w:rPr>
          <w:b/>
          <w:lang w:val="es-HN"/>
        </w:rPr>
      </w:pPr>
      <w:r>
        <w:rPr>
          <w:b/>
          <w:noProof/>
          <w:lang w:val="es-HN"/>
        </w:rPr>
        <w:drawing>
          <wp:anchor distT="0" distB="0" distL="114300" distR="114300" simplePos="0" relativeHeight="251664384" behindDoc="0" locked="0" layoutInCell="1" allowOverlap="1" wp14:anchorId="40082F87" wp14:editId="1514172D">
            <wp:simplePos x="0" y="0"/>
            <wp:positionH relativeFrom="margin">
              <wp:align>left</wp:align>
            </wp:positionH>
            <wp:positionV relativeFrom="paragraph">
              <wp:posOffset>7323</wp:posOffset>
            </wp:positionV>
            <wp:extent cx="2389741" cy="12240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9741" cy="1224000"/>
                    </a:xfrm>
                    <a:prstGeom prst="rect">
                      <a:avLst/>
                    </a:prstGeom>
                    <a:noFill/>
                  </pic:spPr>
                </pic:pic>
              </a:graphicData>
            </a:graphic>
            <wp14:sizeRelH relativeFrom="page">
              <wp14:pctWidth>0</wp14:pctWidth>
            </wp14:sizeRelH>
            <wp14:sizeRelV relativeFrom="page">
              <wp14:pctHeight>0</wp14:pctHeight>
            </wp14:sizeRelV>
          </wp:anchor>
        </w:drawing>
      </w:r>
    </w:p>
    <w:p w14:paraId="37CCD0EC" w14:textId="77777777" w:rsidR="00BD6FAA" w:rsidRDefault="00BD6FAA" w:rsidP="00BD6FAA">
      <w:pPr>
        <w:ind w:left="0" w:hanging="2"/>
        <w:rPr>
          <w:b/>
          <w:lang w:val="es-HN"/>
        </w:rPr>
      </w:pPr>
    </w:p>
    <w:p w14:paraId="4777B8D0" w14:textId="77777777" w:rsidR="00BD6FAA" w:rsidRDefault="00BD6FAA" w:rsidP="00BD6FAA">
      <w:pPr>
        <w:ind w:left="0" w:hanging="2"/>
        <w:rPr>
          <w:b/>
          <w:lang w:val="es-HN"/>
        </w:rPr>
      </w:pPr>
    </w:p>
    <w:p w14:paraId="56F9DD8D" w14:textId="77777777" w:rsidR="00BD6FAA" w:rsidRDefault="00BD6FAA" w:rsidP="00BD6FAA">
      <w:pPr>
        <w:ind w:left="0" w:hanging="2"/>
        <w:rPr>
          <w:b/>
          <w:lang w:val="es-HN"/>
        </w:rPr>
      </w:pPr>
    </w:p>
    <w:p w14:paraId="4AB549D5" w14:textId="77777777" w:rsidR="00BD6FAA" w:rsidRDefault="00BD6FAA" w:rsidP="00BD6FAA">
      <w:pPr>
        <w:ind w:left="0" w:hanging="2"/>
        <w:rPr>
          <w:b/>
          <w:lang w:val="es-HN"/>
        </w:rPr>
      </w:pPr>
    </w:p>
    <w:p w14:paraId="27DE4187" w14:textId="77777777" w:rsidR="00BD6FAA" w:rsidRDefault="00BD6FAA" w:rsidP="00BD6FAA">
      <w:pPr>
        <w:ind w:left="0" w:hanging="2"/>
        <w:rPr>
          <w:b/>
          <w:lang w:val="es-HN"/>
        </w:rPr>
      </w:pPr>
    </w:p>
    <w:p w14:paraId="1484A705" w14:textId="5A6A2683" w:rsidR="00BD6FAA" w:rsidRPr="0042122A" w:rsidRDefault="00BD6FAA" w:rsidP="00BD6FAA">
      <w:pPr>
        <w:ind w:left="0" w:hanging="2"/>
        <w:rPr>
          <w:lang w:val="es-MX"/>
        </w:rPr>
      </w:pPr>
      <w:r w:rsidRPr="0042122A">
        <w:rPr>
          <w:b/>
          <w:lang w:val="es-MX"/>
        </w:rPr>
        <w:t xml:space="preserve">Figura 1. </w:t>
      </w:r>
      <w:r w:rsidRPr="0042122A">
        <w:rPr>
          <w:lang w:val="es-MX"/>
        </w:rPr>
        <w:t xml:space="preserve">Modelo teórico </w:t>
      </w:r>
      <w:r w:rsidR="000D4DAE" w:rsidRPr="00DA0484">
        <w:rPr>
          <w:lang w:val="es-HN"/>
        </w:rPr>
        <w:t>hipotetizado</w:t>
      </w:r>
    </w:p>
    <w:p w14:paraId="3B7FC698" w14:textId="77777777" w:rsidR="00BD6FAA" w:rsidRPr="0042122A" w:rsidRDefault="00BD6FAA" w:rsidP="00D06231">
      <w:pPr>
        <w:ind w:leftChars="0" w:left="0" w:firstLineChars="0" w:firstLine="0"/>
        <w:rPr>
          <w:color w:val="000000"/>
          <w:sz w:val="24"/>
          <w:szCs w:val="24"/>
          <w:lang w:val="es-MX"/>
        </w:rPr>
      </w:pPr>
    </w:p>
    <w:p w14:paraId="2E31BFCE" w14:textId="7B0D061C" w:rsidR="00245952" w:rsidRPr="0042122A" w:rsidRDefault="00245952" w:rsidP="00CF19CE">
      <w:pPr>
        <w:ind w:left="0" w:hanging="2"/>
        <w:rPr>
          <w:b/>
          <w:color w:val="000000"/>
          <w:sz w:val="24"/>
          <w:szCs w:val="24"/>
          <w:lang w:val="es-MX"/>
        </w:rPr>
      </w:pPr>
      <w:r w:rsidRPr="0042122A">
        <w:rPr>
          <w:b/>
          <w:color w:val="000000"/>
          <w:sz w:val="24"/>
          <w:szCs w:val="24"/>
          <w:lang w:val="es-MX"/>
        </w:rPr>
        <w:t>Método</w:t>
      </w:r>
    </w:p>
    <w:p w14:paraId="4717545F" w14:textId="7F928996" w:rsidR="006825DF" w:rsidRPr="00835187" w:rsidRDefault="00835187" w:rsidP="00835187">
      <w:pPr>
        <w:ind w:leftChars="0" w:left="0" w:firstLineChars="0" w:firstLine="0"/>
        <w:rPr>
          <w:color w:val="000000"/>
          <w:sz w:val="24"/>
          <w:szCs w:val="24"/>
          <w:lang w:val="es-HN"/>
        </w:rPr>
      </w:pPr>
      <w:r w:rsidRPr="002B3130">
        <w:rPr>
          <w:b/>
          <w:i/>
          <w:color w:val="000000"/>
          <w:sz w:val="24"/>
          <w:szCs w:val="24"/>
          <w:lang w:val="es-HN"/>
        </w:rPr>
        <w:t>Participantes</w:t>
      </w:r>
      <w:r w:rsidR="001B53CB">
        <w:rPr>
          <w:b/>
          <w:i/>
          <w:color w:val="000000"/>
          <w:sz w:val="24"/>
          <w:szCs w:val="24"/>
          <w:lang w:val="es-HN"/>
        </w:rPr>
        <w:t xml:space="preserve">. </w:t>
      </w:r>
      <w:r w:rsidR="00076DF1">
        <w:rPr>
          <w:color w:val="000000"/>
          <w:sz w:val="24"/>
          <w:szCs w:val="24"/>
          <w:lang w:val="es-HN"/>
        </w:rPr>
        <w:t>La muestra</w:t>
      </w:r>
      <w:r w:rsidR="00174420">
        <w:rPr>
          <w:color w:val="000000"/>
          <w:sz w:val="24"/>
          <w:szCs w:val="24"/>
          <w:lang w:val="es-HN"/>
        </w:rPr>
        <w:t xml:space="preserve"> </w:t>
      </w:r>
      <w:r w:rsidR="00076DF1">
        <w:rPr>
          <w:color w:val="000000"/>
          <w:sz w:val="24"/>
          <w:szCs w:val="24"/>
          <w:lang w:val="es-HN"/>
        </w:rPr>
        <w:t>estuvo compuesta por</w:t>
      </w:r>
      <w:r w:rsidR="00174420">
        <w:rPr>
          <w:color w:val="000000"/>
          <w:sz w:val="24"/>
          <w:szCs w:val="24"/>
          <w:lang w:val="es-HN"/>
        </w:rPr>
        <w:t xml:space="preserve"> 653</w:t>
      </w:r>
      <w:r w:rsidR="00076DF1">
        <w:rPr>
          <w:color w:val="000000"/>
          <w:sz w:val="24"/>
          <w:szCs w:val="24"/>
          <w:lang w:val="es-HN"/>
        </w:rPr>
        <w:t xml:space="preserve"> </w:t>
      </w:r>
      <w:r w:rsidR="00174420">
        <w:rPr>
          <w:color w:val="000000"/>
          <w:sz w:val="24"/>
          <w:szCs w:val="24"/>
          <w:lang w:val="es-HN"/>
        </w:rPr>
        <w:t>estudiantes de primer ingreso de la Universidad Nacional Autónoma de Honduras</w:t>
      </w:r>
      <w:r w:rsidR="00214C0F">
        <w:rPr>
          <w:color w:val="000000"/>
          <w:sz w:val="24"/>
          <w:szCs w:val="24"/>
          <w:lang w:val="es-HN"/>
        </w:rPr>
        <w:t xml:space="preserve"> (UNAH)</w:t>
      </w:r>
      <w:r w:rsidR="00174420">
        <w:rPr>
          <w:color w:val="000000"/>
          <w:sz w:val="24"/>
          <w:szCs w:val="24"/>
          <w:lang w:val="es-HN"/>
        </w:rPr>
        <w:t xml:space="preserve">, matriculados en el primer período académico del año 2022. </w:t>
      </w:r>
      <w:r w:rsidR="00DA0484">
        <w:rPr>
          <w:color w:val="000000"/>
          <w:sz w:val="24"/>
          <w:szCs w:val="24"/>
          <w:lang w:val="es-HN"/>
        </w:rPr>
        <w:t>Los participantes</w:t>
      </w:r>
      <w:r w:rsidR="00174420">
        <w:rPr>
          <w:color w:val="000000"/>
          <w:sz w:val="24"/>
          <w:szCs w:val="24"/>
          <w:lang w:val="es-HN"/>
        </w:rPr>
        <w:t xml:space="preserve"> fue</w:t>
      </w:r>
      <w:r w:rsidR="00DA0484">
        <w:rPr>
          <w:color w:val="000000"/>
          <w:sz w:val="24"/>
          <w:szCs w:val="24"/>
          <w:lang w:val="es-HN"/>
        </w:rPr>
        <w:t>ron</w:t>
      </w:r>
      <w:r w:rsidR="00174420">
        <w:rPr>
          <w:color w:val="000000"/>
          <w:sz w:val="24"/>
          <w:szCs w:val="24"/>
          <w:lang w:val="es-HN"/>
        </w:rPr>
        <w:t xml:space="preserve"> conformad</w:t>
      </w:r>
      <w:r w:rsidR="00DA0484">
        <w:rPr>
          <w:color w:val="000000"/>
          <w:sz w:val="24"/>
          <w:szCs w:val="24"/>
          <w:lang w:val="es-HN"/>
        </w:rPr>
        <w:t>os</w:t>
      </w:r>
      <w:r w:rsidR="00174420">
        <w:rPr>
          <w:color w:val="000000"/>
          <w:sz w:val="24"/>
          <w:szCs w:val="24"/>
          <w:lang w:val="es-HN"/>
        </w:rPr>
        <w:t xml:space="preserve"> en su mayoría por estudiantes mujeres (n= </w:t>
      </w:r>
      <w:r w:rsidR="00174420" w:rsidRPr="00174420">
        <w:rPr>
          <w:color w:val="000000"/>
          <w:sz w:val="24"/>
          <w:szCs w:val="24"/>
          <w:lang w:val="es-HN"/>
        </w:rPr>
        <w:t>431</w:t>
      </w:r>
      <w:r w:rsidR="00174420">
        <w:rPr>
          <w:color w:val="000000"/>
          <w:sz w:val="24"/>
          <w:szCs w:val="24"/>
          <w:lang w:val="es-HN"/>
        </w:rPr>
        <w:t xml:space="preserve">, </w:t>
      </w:r>
      <w:r w:rsidR="00174420" w:rsidRPr="00174420">
        <w:rPr>
          <w:color w:val="000000"/>
          <w:sz w:val="24"/>
          <w:szCs w:val="24"/>
          <w:lang w:val="es-HN"/>
        </w:rPr>
        <w:t>66.6%</w:t>
      </w:r>
      <w:r w:rsidR="00174420">
        <w:rPr>
          <w:color w:val="000000"/>
          <w:sz w:val="24"/>
          <w:szCs w:val="24"/>
          <w:lang w:val="es-HN"/>
        </w:rPr>
        <w:t>)</w:t>
      </w:r>
      <w:r w:rsidR="00214C0F">
        <w:rPr>
          <w:color w:val="000000"/>
          <w:sz w:val="24"/>
          <w:szCs w:val="24"/>
          <w:lang w:val="es-HN"/>
        </w:rPr>
        <w:t xml:space="preserve"> y se evidenció una edad promedio de 19 años, con una desviación estándar de 2.58 años. Se contó con estudiantes universitarios de todas las áreas del conocimiento que oferta la UNAH. La Tabla 1 presenta la frecuencia y porcentajes de las variables sociodemográficas que caracterizan la muestra.</w:t>
      </w:r>
    </w:p>
    <w:p w14:paraId="20A5A2B2" w14:textId="77777777" w:rsidR="00AE5C4B" w:rsidRDefault="00835187" w:rsidP="00835187">
      <w:pPr>
        <w:ind w:leftChars="0" w:left="0" w:firstLineChars="0" w:firstLine="0"/>
        <w:rPr>
          <w:color w:val="000000"/>
          <w:sz w:val="24"/>
          <w:szCs w:val="24"/>
          <w:lang w:val="es-HN"/>
        </w:rPr>
      </w:pPr>
      <w:r w:rsidRPr="006825DF">
        <w:rPr>
          <w:b/>
          <w:i/>
          <w:color w:val="000000"/>
          <w:sz w:val="24"/>
          <w:szCs w:val="24"/>
          <w:lang w:val="es-HN"/>
        </w:rPr>
        <w:t>Instrumentos</w:t>
      </w:r>
      <w:r w:rsidR="001B53CB">
        <w:rPr>
          <w:i/>
          <w:color w:val="000000"/>
          <w:sz w:val="24"/>
          <w:szCs w:val="24"/>
          <w:lang w:val="es-HN"/>
        </w:rPr>
        <w:t>.</w:t>
      </w:r>
      <w:r w:rsidR="00AE5C4B">
        <w:rPr>
          <w:i/>
          <w:color w:val="000000"/>
          <w:sz w:val="24"/>
          <w:szCs w:val="24"/>
          <w:lang w:val="es-HN"/>
        </w:rPr>
        <w:t xml:space="preserve"> </w:t>
      </w:r>
      <w:r w:rsidR="000F7A20" w:rsidRPr="00091D45">
        <w:rPr>
          <w:i/>
          <w:color w:val="000000"/>
          <w:sz w:val="24"/>
          <w:szCs w:val="24"/>
          <w:lang w:val="es-HN"/>
        </w:rPr>
        <w:t>Cuestionario de variables sociodemográficas y académicas</w:t>
      </w:r>
      <w:r w:rsidR="002B3130">
        <w:rPr>
          <w:color w:val="000000"/>
          <w:sz w:val="24"/>
          <w:szCs w:val="24"/>
          <w:lang w:val="es-HN"/>
        </w:rPr>
        <w:t>.</w:t>
      </w:r>
      <w:r w:rsidR="00091D45">
        <w:rPr>
          <w:color w:val="000000"/>
          <w:sz w:val="24"/>
          <w:szCs w:val="24"/>
          <w:lang w:val="es-HN"/>
        </w:rPr>
        <w:t xml:space="preserve"> Instrumento construido ad hoc para indagar variables sociodemográficas (sexo, ocupación actual, ingreso mensual en núcleo familiar y desempleados en núcleo familiar) y académicas (área de conocimiento, opción de carrera de admisión, instituto de educación media de procedencia).</w:t>
      </w:r>
      <w:r w:rsidR="00AE5C4B">
        <w:rPr>
          <w:color w:val="000000"/>
          <w:sz w:val="24"/>
          <w:szCs w:val="24"/>
          <w:lang w:val="es-HN"/>
        </w:rPr>
        <w:t xml:space="preserve"> </w:t>
      </w:r>
    </w:p>
    <w:p w14:paraId="2A911397" w14:textId="5B4E418F" w:rsidR="000F7A20" w:rsidRDefault="000F7A20" w:rsidP="00835187">
      <w:pPr>
        <w:ind w:leftChars="0" w:left="0" w:firstLineChars="0" w:firstLine="0"/>
        <w:rPr>
          <w:color w:val="000000"/>
          <w:sz w:val="24"/>
          <w:szCs w:val="24"/>
          <w:lang w:val="es-HN"/>
        </w:rPr>
      </w:pPr>
      <w:r w:rsidRPr="00B333F3">
        <w:rPr>
          <w:i/>
          <w:color w:val="000000"/>
          <w:sz w:val="24"/>
          <w:szCs w:val="24"/>
          <w:lang w:val="es-HN"/>
        </w:rPr>
        <w:t>Cuestionario de Vivencias Académicas, versión reducida (QVA-r)</w:t>
      </w:r>
      <w:r w:rsidR="002B3130" w:rsidRPr="00B333F3">
        <w:rPr>
          <w:i/>
          <w:color w:val="000000"/>
          <w:sz w:val="24"/>
          <w:szCs w:val="24"/>
          <w:lang w:val="es-HN"/>
        </w:rPr>
        <w:t>.</w:t>
      </w:r>
      <w:r w:rsidR="00B333F3">
        <w:rPr>
          <w:color w:val="000000"/>
          <w:sz w:val="24"/>
          <w:szCs w:val="24"/>
          <w:lang w:val="es-HN"/>
        </w:rPr>
        <w:t xml:space="preserve"> </w:t>
      </w:r>
      <w:r w:rsidR="00FA795F">
        <w:rPr>
          <w:color w:val="000000"/>
          <w:sz w:val="24"/>
          <w:szCs w:val="24"/>
          <w:lang w:val="es-HN"/>
        </w:rPr>
        <w:t>E</w:t>
      </w:r>
      <w:r w:rsidR="00FA795F" w:rsidRPr="00FA795F">
        <w:rPr>
          <w:color w:val="000000"/>
          <w:sz w:val="24"/>
          <w:szCs w:val="24"/>
          <w:lang w:val="es-HN"/>
        </w:rPr>
        <w:t>laborado por Almeida et al. (1999)</w:t>
      </w:r>
      <w:r w:rsidR="00FA795F">
        <w:rPr>
          <w:color w:val="000000"/>
          <w:sz w:val="24"/>
          <w:szCs w:val="24"/>
          <w:lang w:val="es-HN"/>
        </w:rPr>
        <w:t xml:space="preserve"> y adaptado al castellano por </w:t>
      </w:r>
      <w:r w:rsidR="00FA795F" w:rsidRPr="00FA795F">
        <w:rPr>
          <w:color w:val="000000"/>
          <w:sz w:val="24"/>
          <w:szCs w:val="24"/>
          <w:lang w:val="es-HN"/>
        </w:rPr>
        <w:t>Márquez et al. (2009</w:t>
      </w:r>
      <w:r w:rsidR="00FA795F">
        <w:rPr>
          <w:color w:val="000000"/>
          <w:sz w:val="24"/>
          <w:szCs w:val="24"/>
          <w:lang w:val="es-HN"/>
        </w:rPr>
        <w:t>)</w:t>
      </w:r>
      <w:r w:rsidR="00374150">
        <w:rPr>
          <w:color w:val="000000"/>
          <w:sz w:val="24"/>
          <w:szCs w:val="24"/>
          <w:lang w:val="es-HN"/>
        </w:rPr>
        <w:t>. El QVA-r evalúa las vivencias académicas relacionadas con la adaptación universitaria</w:t>
      </w:r>
      <w:r w:rsidR="00A703D7">
        <w:rPr>
          <w:color w:val="000000"/>
          <w:sz w:val="24"/>
          <w:szCs w:val="24"/>
          <w:lang w:val="es-HN"/>
        </w:rPr>
        <w:t xml:space="preserve"> estudiantil. La escala está compuesta por 60 ítems que se responden en escala Likert</w:t>
      </w:r>
      <w:r w:rsidR="00A25AA5">
        <w:rPr>
          <w:color w:val="000000"/>
          <w:sz w:val="24"/>
          <w:szCs w:val="24"/>
          <w:lang w:val="es-HN"/>
        </w:rPr>
        <w:t xml:space="preserve"> e </w:t>
      </w:r>
      <w:r w:rsidR="00A703D7">
        <w:rPr>
          <w:color w:val="000000"/>
          <w:sz w:val="24"/>
          <w:szCs w:val="24"/>
          <w:lang w:val="es-HN"/>
        </w:rPr>
        <w:t xml:space="preserve">incluye 5 dimensiones: personal, interpersonal, carrera, </w:t>
      </w:r>
      <w:r w:rsidR="003B514E">
        <w:rPr>
          <w:color w:val="000000"/>
          <w:sz w:val="24"/>
          <w:szCs w:val="24"/>
          <w:lang w:val="es-HN"/>
        </w:rPr>
        <w:t xml:space="preserve">hábitos de </w:t>
      </w:r>
      <w:r w:rsidR="00A703D7">
        <w:rPr>
          <w:color w:val="000000"/>
          <w:sz w:val="24"/>
          <w:szCs w:val="24"/>
          <w:lang w:val="es-HN"/>
        </w:rPr>
        <w:t xml:space="preserve">estudio e institucional. </w:t>
      </w:r>
      <w:r w:rsidR="00EF5F35">
        <w:rPr>
          <w:color w:val="000000"/>
          <w:sz w:val="24"/>
          <w:szCs w:val="24"/>
          <w:lang w:val="es-HN"/>
        </w:rPr>
        <w:t xml:space="preserve">Mayores puntajes indican mayor adaptación en las vivencias académicas </w:t>
      </w:r>
      <w:r w:rsidR="000C1821">
        <w:rPr>
          <w:color w:val="000000"/>
          <w:sz w:val="24"/>
          <w:szCs w:val="24"/>
          <w:lang w:val="es-HN"/>
        </w:rPr>
        <w:lastRenderedPageBreak/>
        <w:t>evaluadas</w:t>
      </w:r>
      <w:r w:rsidR="00EF5F35">
        <w:rPr>
          <w:color w:val="000000"/>
          <w:sz w:val="24"/>
          <w:szCs w:val="24"/>
          <w:lang w:val="es-HN"/>
        </w:rPr>
        <w:t xml:space="preserve">. </w:t>
      </w:r>
      <w:r w:rsidR="00701F47">
        <w:rPr>
          <w:color w:val="000000"/>
          <w:sz w:val="24"/>
          <w:szCs w:val="24"/>
          <w:lang w:val="es-HN"/>
        </w:rPr>
        <w:t xml:space="preserve">Los análisis realizados en el presente estudio </w:t>
      </w:r>
      <w:r w:rsidR="000C1821">
        <w:rPr>
          <w:color w:val="000000"/>
          <w:sz w:val="24"/>
          <w:szCs w:val="24"/>
          <w:lang w:val="es-HN"/>
        </w:rPr>
        <w:t xml:space="preserve">reflejan </w:t>
      </w:r>
      <w:r w:rsidR="00701F47">
        <w:rPr>
          <w:color w:val="000000"/>
          <w:sz w:val="24"/>
          <w:szCs w:val="24"/>
          <w:lang w:val="es-HN"/>
        </w:rPr>
        <w:t>evidencias de validez estructural del modelo de 5 factores correlacionados (</w:t>
      </w:r>
      <w:r w:rsidR="00182788" w:rsidRPr="001F50AF">
        <w:rPr>
          <w:color w:val="000000"/>
          <w:sz w:val="24"/>
          <w:szCs w:val="24"/>
          <w:lang w:val="es-MX"/>
        </w:rPr>
        <w:t>CFI = 0</w:t>
      </w:r>
      <w:r w:rsidR="00182788">
        <w:rPr>
          <w:color w:val="000000"/>
          <w:sz w:val="24"/>
          <w:szCs w:val="24"/>
          <w:lang w:val="es-MX"/>
        </w:rPr>
        <w:t>.96,</w:t>
      </w:r>
      <w:r w:rsidR="00182788" w:rsidRPr="001F50AF">
        <w:rPr>
          <w:color w:val="000000"/>
          <w:sz w:val="24"/>
          <w:szCs w:val="24"/>
          <w:lang w:val="es-MX"/>
        </w:rPr>
        <w:t xml:space="preserve"> RMSEA = 0</w:t>
      </w:r>
      <w:r w:rsidR="00182788">
        <w:rPr>
          <w:color w:val="000000"/>
          <w:sz w:val="24"/>
          <w:szCs w:val="24"/>
          <w:lang w:val="es-MX"/>
        </w:rPr>
        <w:t>.07</w:t>
      </w:r>
      <w:r w:rsidR="00701F47">
        <w:rPr>
          <w:color w:val="000000"/>
          <w:sz w:val="24"/>
          <w:szCs w:val="24"/>
          <w:lang w:val="es-HN"/>
        </w:rPr>
        <w:t>)</w:t>
      </w:r>
      <w:r w:rsidR="000C1821">
        <w:rPr>
          <w:color w:val="000000"/>
          <w:sz w:val="24"/>
          <w:szCs w:val="24"/>
          <w:lang w:val="es-HN"/>
        </w:rPr>
        <w:t xml:space="preserve">, con </w:t>
      </w:r>
      <w:r w:rsidR="00701F47">
        <w:rPr>
          <w:color w:val="000000"/>
          <w:sz w:val="24"/>
          <w:szCs w:val="24"/>
          <w:lang w:val="es-HN"/>
        </w:rPr>
        <w:t xml:space="preserve">índices de confiabilidad omega de </w:t>
      </w:r>
      <w:r w:rsidR="00701F47" w:rsidRPr="000D22A2">
        <w:rPr>
          <w:color w:val="000000"/>
          <w:sz w:val="24"/>
          <w:szCs w:val="24"/>
          <w:lang w:val="es-MX"/>
        </w:rPr>
        <w:t>McDonald</w:t>
      </w:r>
      <w:r w:rsidR="00716746">
        <w:rPr>
          <w:color w:val="000000"/>
          <w:sz w:val="24"/>
          <w:szCs w:val="24"/>
          <w:lang w:val="es-MX"/>
        </w:rPr>
        <w:t xml:space="preserve"> </w:t>
      </w:r>
      <w:r w:rsidR="00716746" w:rsidRPr="000D22A2">
        <w:rPr>
          <w:color w:val="000000"/>
          <w:sz w:val="24"/>
          <w:szCs w:val="24"/>
          <w:lang w:val="es-MX"/>
        </w:rPr>
        <w:t xml:space="preserve">(ω) </w:t>
      </w:r>
      <w:r w:rsidR="00701F47">
        <w:rPr>
          <w:color w:val="000000"/>
          <w:sz w:val="24"/>
          <w:szCs w:val="24"/>
          <w:lang w:val="es-MX"/>
        </w:rPr>
        <w:t>entre 0.</w:t>
      </w:r>
      <w:r w:rsidR="004F1913">
        <w:rPr>
          <w:color w:val="000000"/>
          <w:sz w:val="24"/>
          <w:szCs w:val="24"/>
          <w:lang w:val="es-MX"/>
        </w:rPr>
        <w:t>75</w:t>
      </w:r>
      <w:r w:rsidR="00701F47">
        <w:rPr>
          <w:color w:val="000000"/>
          <w:sz w:val="24"/>
          <w:szCs w:val="24"/>
          <w:lang w:val="es-MX"/>
        </w:rPr>
        <w:t xml:space="preserve"> y 0.</w:t>
      </w:r>
      <w:r w:rsidR="004F1913">
        <w:rPr>
          <w:color w:val="000000"/>
          <w:sz w:val="24"/>
          <w:szCs w:val="24"/>
          <w:lang w:val="es-MX"/>
        </w:rPr>
        <w:t>92</w:t>
      </w:r>
      <w:r w:rsidR="00701F47">
        <w:rPr>
          <w:color w:val="000000"/>
          <w:sz w:val="24"/>
          <w:szCs w:val="24"/>
          <w:lang w:val="es-MX"/>
        </w:rPr>
        <w:t>.</w:t>
      </w:r>
    </w:p>
    <w:p w14:paraId="4779F951" w14:textId="6AA84473" w:rsidR="00B333F3" w:rsidRPr="00B333F3" w:rsidRDefault="00B333F3" w:rsidP="00835187">
      <w:pPr>
        <w:ind w:leftChars="0" w:left="0" w:firstLineChars="0" w:firstLine="0"/>
        <w:rPr>
          <w:color w:val="000000"/>
          <w:sz w:val="24"/>
          <w:szCs w:val="24"/>
          <w:lang w:val="es-MX"/>
        </w:rPr>
      </w:pPr>
      <w:r w:rsidRPr="00B333F3">
        <w:rPr>
          <w:i/>
          <w:color w:val="000000"/>
          <w:sz w:val="24"/>
          <w:szCs w:val="24"/>
          <w:lang w:val="es-MX"/>
        </w:rPr>
        <w:t>Instrumento de Tamizaje de Riesgo de Abandono en Educación Superior.</w:t>
      </w:r>
      <w:r>
        <w:rPr>
          <w:color w:val="000000"/>
          <w:sz w:val="24"/>
          <w:szCs w:val="24"/>
          <w:lang w:val="es-MX"/>
        </w:rPr>
        <w:t xml:space="preserve"> </w:t>
      </w:r>
      <w:r w:rsidR="003302D7">
        <w:rPr>
          <w:color w:val="000000"/>
          <w:sz w:val="24"/>
          <w:szCs w:val="24"/>
          <w:lang w:val="es-MX"/>
        </w:rPr>
        <w:t xml:space="preserve">Instrumento desarrollado por Casanova </w:t>
      </w:r>
      <w:r w:rsidR="003708C1">
        <w:rPr>
          <w:color w:val="000000"/>
          <w:sz w:val="24"/>
          <w:szCs w:val="24"/>
          <w:lang w:val="es-MX"/>
        </w:rPr>
        <w:t xml:space="preserve">et al. (2021) que evalúa situaciones referenciadas en la literatura con el riesgo de abandono en la educación superior. El instrumento incluye 12 ítems distribuidos en tres subescalas: </w:t>
      </w:r>
      <w:r w:rsidR="00E515F3">
        <w:rPr>
          <w:color w:val="000000"/>
          <w:sz w:val="24"/>
          <w:szCs w:val="24"/>
          <w:lang w:val="es-MX"/>
        </w:rPr>
        <w:t>satisfacción académica, agotamiento académico</w:t>
      </w:r>
      <w:r w:rsidR="00EF5F35">
        <w:rPr>
          <w:color w:val="000000"/>
          <w:sz w:val="24"/>
          <w:szCs w:val="24"/>
          <w:lang w:val="es-MX"/>
        </w:rPr>
        <w:t xml:space="preserve"> </w:t>
      </w:r>
      <w:r w:rsidR="00E515F3">
        <w:rPr>
          <w:color w:val="000000"/>
          <w:sz w:val="24"/>
          <w:szCs w:val="24"/>
          <w:lang w:val="es-MX"/>
        </w:rPr>
        <w:t>e intención de abandono. Los ítems se responden por medio de escala Likert entre 1 (nunca) hasta 5 (siempre). En el presente estudio únicamente se utili</w:t>
      </w:r>
      <w:r w:rsidR="00937C64">
        <w:rPr>
          <w:color w:val="000000"/>
          <w:sz w:val="24"/>
          <w:szCs w:val="24"/>
          <w:lang w:val="es-MX"/>
        </w:rPr>
        <w:t xml:space="preserve">za la </w:t>
      </w:r>
      <w:r w:rsidR="00E515F3">
        <w:rPr>
          <w:color w:val="000000"/>
          <w:sz w:val="24"/>
          <w:szCs w:val="24"/>
          <w:lang w:val="es-MX"/>
        </w:rPr>
        <w:t>subescala de intención de abandono</w:t>
      </w:r>
      <w:r w:rsidR="007C3B46">
        <w:rPr>
          <w:color w:val="000000"/>
          <w:sz w:val="24"/>
          <w:szCs w:val="24"/>
          <w:lang w:val="es-MX"/>
        </w:rPr>
        <w:t>, la cual consta de 4</w:t>
      </w:r>
      <w:r w:rsidR="00EF5F35">
        <w:rPr>
          <w:color w:val="000000"/>
          <w:sz w:val="24"/>
          <w:szCs w:val="24"/>
          <w:lang w:val="es-MX"/>
        </w:rPr>
        <w:t xml:space="preserve"> ítems con un puntaje mínimo de 4 y un máximo de 20</w:t>
      </w:r>
      <w:r w:rsidR="000C1821">
        <w:rPr>
          <w:color w:val="000000"/>
          <w:sz w:val="24"/>
          <w:szCs w:val="24"/>
          <w:lang w:val="es-MX"/>
        </w:rPr>
        <w:t xml:space="preserve"> puntos</w:t>
      </w:r>
      <w:r w:rsidR="00E515F3">
        <w:rPr>
          <w:color w:val="000000"/>
          <w:sz w:val="24"/>
          <w:szCs w:val="24"/>
          <w:lang w:val="es-MX"/>
        </w:rPr>
        <w:t>.</w:t>
      </w:r>
      <w:r w:rsidR="00EF5F35">
        <w:rPr>
          <w:color w:val="000000"/>
          <w:sz w:val="24"/>
          <w:szCs w:val="24"/>
          <w:lang w:val="es-MX"/>
        </w:rPr>
        <w:t xml:space="preserve"> A mayor puntaje, mayor intención de abandono.</w:t>
      </w:r>
      <w:r w:rsidR="00E515F3">
        <w:rPr>
          <w:color w:val="000000"/>
          <w:sz w:val="24"/>
          <w:szCs w:val="24"/>
          <w:lang w:val="es-MX"/>
        </w:rPr>
        <w:t xml:space="preserve"> </w:t>
      </w:r>
      <w:r w:rsidR="001F50AF">
        <w:rPr>
          <w:color w:val="000000"/>
          <w:sz w:val="24"/>
          <w:szCs w:val="24"/>
          <w:lang w:val="es-MX"/>
        </w:rPr>
        <w:t>El instrumento presenta adecuadas propiedades psicométricas, mostrando en la muestra de este estudio evidencias de validez interna del modelo de tres factores relacionados (</w:t>
      </w:r>
      <w:r w:rsidR="001F50AF" w:rsidRPr="001F50AF">
        <w:rPr>
          <w:color w:val="000000"/>
          <w:sz w:val="24"/>
          <w:szCs w:val="24"/>
          <w:lang w:val="es-MX"/>
        </w:rPr>
        <w:t>CFI = 0</w:t>
      </w:r>
      <w:r w:rsidR="009148CB">
        <w:rPr>
          <w:color w:val="000000"/>
          <w:sz w:val="24"/>
          <w:szCs w:val="24"/>
          <w:lang w:val="es-MX"/>
        </w:rPr>
        <w:t>.</w:t>
      </w:r>
      <w:r w:rsidR="00716746">
        <w:rPr>
          <w:color w:val="000000"/>
          <w:sz w:val="24"/>
          <w:szCs w:val="24"/>
          <w:lang w:val="es-MX"/>
        </w:rPr>
        <w:t>99</w:t>
      </w:r>
      <w:r w:rsidR="009148CB">
        <w:rPr>
          <w:color w:val="000000"/>
          <w:sz w:val="24"/>
          <w:szCs w:val="24"/>
          <w:lang w:val="es-MX"/>
        </w:rPr>
        <w:t>,</w:t>
      </w:r>
      <w:r w:rsidR="001F50AF" w:rsidRPr="001F50AF">
        <w:rPr>
          <w:color w:val="000000"/>
          <w:sz w:val="24"/>
          <w:szCs w:val="24"/>
          <w:lang w:val="es-MX"/>
        </w:rPr>
        <w:t xml:space="preserve"> RMSEA = 0</w:t>
      </w:r>
      <w:r w:rsidR="009148CB">
        <w:rPr>
          <w:color w:val="000000"/>
          <w:sz w:val="24"/>
          <w:szCs w:val="24"/>
          <w:lang w:val="es-MX"/>
        </w:rPr>
        <w:t>.0</w:t>
      </w:r>
      <w:r w:rsidR="00716746">
        <w:rPr>
          <w:color w:val="000000"/>
          <w:sz w:val="24"/>
          <w:szCs w:val="24"/>
          <w:lang w:val="es-MX"/>
        </w:rPr>
        <w:t>5</w:t>
      </w:r>
      <w:r w:rsidR="001F50AF" w:rsidRPr="001F50AF">
        <w:rPr>
          <w:color w:val="000000"/>
          <w:sz w:val="24"/>
          <w:szCs w:val="24"/>
          <w:lang w:val="es-MX"/>
        </w:rPr>
        <w:t>)</w:t>
      </w:r>
      <w:r w:rsidR="001F50AF">
        <w:rPr>
          <w:color w:val="000000"/>
          <w:sz w:val="24"/>
          <w:szCs w:val="24"/>
          <w:lang w:val="es-MX"/>
        </w:rPr>
        <w:t xml:space="preserve"> y confiabilidad </w:t>
      </w:r>
      <w:r w:rsidR="000D22A2" w:rsidRPr="000D22A2">
        <w:rPr>
          <w:color w:val="000000"/>
          <w:sz w:val="24"/>
          <w:szCs w:val="24"/>
          <w:lang w:val="es-MX"/>
        </w:rPr>
        <w:t>omega de McDonald (ω)</w:t>
      </w:r>
      <w:r w:rsidR="00202272">
        <w:rPr>
          <w:color w:val="000000"/>
          <w:sz w:val="24"/>
          <w:szCs w:val="24"/>
          <w:lang w:val="es-MX"/>
        </w:rPr>
        <w:t xml:space="preserve"> </w:t>
      </w:r>
      <w:r w:rsidR="000D22A2" w:rsidRPr="000D22A2">
        <w:rPr>
          <w:color w:val="000000"/>
          <w:sz w:val="24"/>
          <w:szCs w:val="24"/>
          <w:lang w:val="es-MX"/>
        </w:rPr>
        <w:t>de 0.</w:t>
      </w:r>
      <w:r w:rsidR="00716746">
        <w:rPr>
          <w:color w:val="000000"/>
          <w:sz w:val="24"/>
          <w:szCs w:val="24"/>
          <w:lang w:val="es-MX"/>
        </w:rPr>
        <w:t>91, 0.72 y 0.84</w:t>
      </w:r>
      <w:r w:rsidR="000C1821">
        <w:rPr>
          <w:color w:val="000000"/>
          <w:sz w:val="24"/>
          <w:szCs w:val="24"/>
          <w:lang w:val="es-MX"/>
        </w:rPr>
        <w:t xml:space="preserve"> </w:t>
      </w:r>
      <w:r w:rsidR="000D22A2" w:rsidRPr="000D22A2">
        <w:rPr>
          <w:color w:val="000000"/>
          <w:sz w:val="24"/>
          <w:szCs w:val="24"/>
          <w:lang w:val="es-MX"/>
        </w:rPr>
        <w:t>para cada una de las</w:t>
      </w:r>
      <w:r w:rsidR="000D22A2">
        <w:rPr>
          <w:color w:val="000000"/>
          <w:sz w:val="24"/>
          <w:szCs w:val="24"/>
          <w:lang w:val="es-MX"/>
        </w:rPr>
        <w:t xml:space="preserve"> subescalas</w:t>
      </w:r>
      <w:r w:rsidR="000C1821">
        <w:rPr>
          <w:color w:val="000000"/>
          <w:sz w:val="24"/>
          <w:szCs w:val="24"/>
          <w:lang w:val="es-MX"/>
        </w:rPr>
        <w:t>, respectivamente</w:t>
      </w:r>
      <w:r w:rsidR="000D22A2">
        <w:rPr>
          <w:color w:val="000000"/>
          <w:sz w:val="24"/>
          <w:szCs w:val="24"/>
          <w:lang w:val="es-MX"/>
        </w:rPr>
        <w:t xml:space="preserve">. </w:t>
      </w:r>
    </w:p>
    <w:p w14:paraId="67CD1378" w14:textId="6198A3C1" w:rsidR="006825DF" w:rsidRDefault="00835187" w:rsidP="00835187">
      <w:pPr>
        <w:ind w:leftChars="0" w:left="0" w:firstLineChars="0" w:firstLine="0"/>
        <w:rPr>
          <w:color w:val="000000"/>
          <w:sz w:val="24"/>
          <w:szCs w:val="24"/>
          <w:lang w:val="es-HN"/>
        </w:rPr>
      </w:pPr>
      <w:r w:rsidRPr="006825DF">
        <w:rPr>
          <w:b/>
          <w:i/>
          <w:color w:val="000000"/>
          <w:sz w:val="24"/>
          <w:szCs w:val="24"/>
          <w:lang w:val="es-HN"/>
        </w:rPr>
        <w:t>Procedimientos</w:t>
      </w:r>
      <w:r w:rsidR="00AE5C4B">
        <w:rPr>
          <w:b/>
          <w:i/>
          <w:color w:val="000000"/>
          <w:sz w:val="24"/>
          <w:szCs w:val="24"/>
          <w:lang w:val="es-HN"/>
        </w:rPr>
        <w:t xml:space="preserve">. </w:t>
      </w:r>
      <w:r w:rsidR="006825DF">
        <w:rPr>
          <w:color w:val="000000"/>
          <w:sz w:val="24"/>
          <w:szCs w:val="24"/>
        </w:rPr>
        <w:t xml:space="preserve">La colecta de datos se desarrolló en dos momentos: (1) al inicio del </w:t>
      </w:r>
      <w:r w:rsidR="002B3130">
        <w:rPr>
          <w:color w:val="000000"/>
          <w:sz w:val="24"/>
          <w:szCs w:val="24"/>
        </w:rPr>
        <w:t xml:space="preserve">primer </w:t>
      </w:r>
      <w:r w:rsidR="006825DF">
        <w:rPr>
          <w:color w:val="000000"/>
          <w:sz w:val="24"/>
          <w:szCs w:val="24"/>
        </w:rPr>
        <w:t>período académico</w:t>
      </w:r>
      <w:r w:rsidR="002B3130">
        <w:rPr>
          <w:color w:val="000000"/>
          <w:sz w:val="24"/>
          <w:szCs w:val="24"/>
        </w:rPr>
        <w:t xml:space="preserve"> del año 2022</w:t>
      </w:r>
      <w:r w:rsidR="006825DF">
        <w:rPr>
          <w:color w:val="000000"/>
          <w:sz w:val="24"/>
          <w:szCs w:val="24"/>
        </w:rPr>
        <w:t xml:space="preserve">, en el cual los estudiantes completaron </w:t>
      </w:r>
      <w:r w:rsidR="002B3130">
        <w:rPr>
          <w:color w:val="000000"/>
          <w:sz w:val="24"/>
          <w:szCs w:val="24"/>
        </w:rPr>
        <w:t>el</w:t>
      </w:r>
      <w:r w:rsidR="006825DF">
        <w:rPr>
          <w:color w:val="000000"/>
          <w:sz w:val="24"/>
          <w:szCs w:val="24"/>
        </w:rPr>
        <w:t xml:space="preserve"> cuestionario ad hoc construido para indagar variables socioeconómicas y académicas generales y (2) al término del primer período académico, momento en que los estudiantes completaron el </w:t>
      </w:r>
      <w:r w:rsidR="006825DF" w:rsidRPr="00A64F09">
        <w:rPr>
          <w:color w:val="000000"/>
          <w:sz w:val="24"/>
          <w:szCs w:val="24"/>
        </w:rPr>
        <w:t>QVA-r</w:t>
      </w:r>
      <w:r w:rsidR="006825DF">
        <w:rPr>
          <w:color w:val="000000"/>
          <w:sz w:val="24"/>
          <w:szCs w:val="24"/>
        </w:rPr>
        <w:t xml:space="preserve"> y la subescala de intención de abandono</w:t>
      </w:r>
      <w:r w:rsidR="000F7A20">
        <w:rPr>
          <w:color w:val="000000"/>
          <w:sz w:val="24"/>
          <w:szCs w:val="24"/>
        </w:rPr>
        <w:t xml:space="preserve">. La aplicación se desarrolló de forma online por medio de canales de comunicación oficial de la universidad. Todos los estudiantes recibieron información sobre los objetivos y procedimientos de la investigación, sumado a ello, su participación </w:t>
      </w:r>
      <w:r w:rsidR="00701F47">
        <w:rPr>
          <w:color w:val="000000"/>
          <w:sz w:val="24"/>
          <w:szCs w:val="24"/>
        </w:rPr>
        <w:t xml:space="preserve">fue </w:t>
      </w:r>
      <w:r w:rsidR="000C1821">
        <w:rPr>
          <w:color w:val="000000"/>
          <w:sz w:val="24"/>
          <w:szCs w:val="24"/>
        </w:rPr>
        <w:t xml:space="preserve">totalmente </w:t>
      </w:r>
      <w:r w:rsidR="000F7A20">
        <w:rPr>
          <w:color w:val="000000"/>
          <w:sz w:val="24"/>
          <w:szCs w:val="24"/>
        </w:rPr>
        <w:t>voluntaria</w:t>
      </w:r>
      <w:r w:rsidR="00701F47">
        <w:rPr>
          <w:color w:val="000000"/>
          <w:sz w:val="24"/>
          <w:szCs w:val="24"/>
        </w:rPr>
        <w:t xml:space="preserve"> y</w:t>
      </w:r>
      <w:r w:rsidR="000F7A20">
        <w:rPr>
          <w:color w:val="000000"/>
          <w:sz w:val="24"/>
          <w:szCs w:val="24"/>
        </w:rPr>
        <w:t xml:space="preserve"> estuvo condicionada a la firma de un consentimiento libre y esclarecido. </w:t>
      </w:r>
    </w:p>
    <w:p w14:paraId="77931809" w14:textId="47F4513B" w:rsidR="00DB102B" w:rsidRDefault="00835187" w:rsidP="00AE5C4B">
      <w:pPr>
        <w:ind w:leftChars="0" w:left="0" w:firstLineChars="0" w:firstLine="0"/>
        <w:rPr>
          <w:color w:val="000000"/>
          <w:sz w:val="24"/>
          <w:szCs w:val="24"/>
          <w:lang w:val="es-MX"/>
        </w:rPr>
      </w:pPr>
      <w:r w:rsidRPr="002B3130">
        <w:rPr>
          <w:b/>
          <w:i/>
          <w:color w:val="000000"/>
          <w:sz w:val="24"/>
          <w:szCs w:val="24"/>
          <w:lang w:val="es-HN"/>
        </w:rPr>
        <w:t>Análisis de datos</w:t>
      </w:r>
      <w:r w:rsidR="00AE5C4B">
        <w:rPr>
          <w:b/>
          <w:i/>
          <w:color w:val="000000"/>
          <w:sz w:val="24"/>
          <w:szCs w:val="24"/>
          <w:lang w:val="es-HN"/>
        </w:rPr>
        <w:t xml:space="preserve">. </w:t>
      </w:r>
      <w:r w:rsidR="009B12EA" w:rsidRPr="009B12EA">
        <w:rPr>
          <w:color w:val="000000"/>
          <w:sz w:val="24"/>
          <w:szCs w:val="24"/>
          <w:lang w:val="es-MX"/>
        </w:rPr>
        <w:t>El proceso de análisis de datos se desarrolló en dos fases</w:t>
      </w:r>
      <w:r w:rsidR="009B12EA">
        <w:rPr>
          <w:color w:val="000000"/>
          <w:sz w:val="24"/>
          <w:szCs w:val="24"/>
          <w:lang w:val="es-MX"/>
        </w:rPr>
        <w:t>. E</w:t>
      </w:r>
      <w:r w:rsidR="009B12EA" w:rsidRPr="009B12EA">
        <w:rPr>
          <w:color w:val="000000"/>
          <w:sz w:val="24"/>
          <w:szCs w:val="24"/>
          <w:lang w:val="es-MX"/>
        </w:rPr>
        <w:t>n la primera</w:t>
      </w:r>
      <w:r w:rsidR="006573BB">
        <w:rPr>
          <w:color w:val="000000"/>
          <w:sz w:val="24"/>
          <w:szCs w:val="24"/>
          <w:lang w:val="es-MX"/>
        </w:rPr>
        <w:t xml:space="preserve"> fase</w:t>
      </w:r>
      <w:r w:rsidR="009B12EA" w:rsidRPr="009B12EA">
        <w:rPr>
          <w:color w:val="000000"/>
          <w:sz w:val="24"/>
          <w:szCs w:val="24"/>
          <w:lang w:val="es-MX"/>
        </w:rPr>
        <w:t xml:space="preserve"> se efectuó un análisis bivariado</w:t>
      </w:r>
      <w:r w:rsidR="009B12EA">
        <w:rPr>
          <w:color w:val="000000"/>
          <w:sz w:val="24"/>
          <w:szCs w:val="24"/>
          <w:lang w:val="es-MX"/>
        </w:rPr>
        <w:t xml:space="preserve"> </w:t>
      </w:r>
      <w:r w:rsidR="009B12EA" w:rsidRPr="009B12EA">
        <w:rPr>
          <w:color w:val="000000"/>
          <w:sz w:val="24"/>
          <w:szCs w:val="24"/>
          <w:lang w:val="es-MX"/>
        </w:rPr>
        <w:t>entre las variables predictoras y la intención de abandono</w:t>
      </w:r>
      <w:r w:rsidR="009B12EA">
        <w:rPr>
          <w:color w:val="000000"/>
          <w:sz w:val="24"/>
          <w:szCs w:val="24"/>
          <w:lang w:val="es-MX"/>
        </w:rPr>
        <w:t>. En el caso de las variables cualitativas</w:t>
      </w:r>
      <w:r w:rsidR="00CD5970">
        <w:rPr>
          <w:color w:val="000000"/>
          <w:sz w:val="24"/>
          <w:szCs w:val="24"/>
          <w:lang w:val="es-MX"/>
        </w:rPr>
        <w:t xml:space="preserve"> se realizó un análisis de comparación de medias entre grupos y para las variables cuantitativas </w:t>
      </w:r>
      <w:r w:rsidR="00097141">
        <w:rPr>
          <w:color w:val="000000"/>
          <w:sz w:val="24"/>
          <w:szCs w:val="24"/>
          <w:lang w:val="es-MX"/>
        </w:rPr>
        <w:t>se efectuó un análisis de correlaciones</w:t>
      </w:r>
      <w:r w:rsidR="009B12EA">
        <w:rPr>
          <w:color w:val="000000"/>
          <w:sz w:val="24"/>
          <w:szCs w:val="24"/>
          <w:lang w:val="es-MX"/>
        </w:rPr>
        <w:t>.</w:t>
      </w:r>
      <w:r w:rsidR="00097141">
        <w:rPr>
          <w:color w:val="000000"/>
          <w:sz w:val="24"/>
          <w:szCs w:val="24"/>
          <w:lang w:val="es-MX"/>
        </w:rPr>
        <w:t xml:space="preserve"> Considerando la </w:t>
      </w:r>
      <w:r w:rsidR="008933C5">
        <w:rPr>
          <w:color w:val="000000"/>
          <w:sz w:val="24"/>
          <w:szCs w:val="24"/>
          <w:lang w:val="es-MX"/>
        </w:rPr>
        <w:t>distribución</w:t>
      </w:r>
      <w:r w:rsidR="00097141">
        <w:rPr>
          <w:color w:val="000000"/>
          <w:sz w:val="24"/>
          <w:szCs w:val="24"/>
          <w:lang w:val="es-MX"/>
        </w:rPr>
        <w:t xml:space="preserve"> no normal de la variable intención de abandono se utilizó el </w:t>
      </w:r>
      <w:r w:rsidR="00097141" w:rsidRPr="00097141">
        <w:rPr>
          <w:color w:val="000000"/>
          <w:sz w:val="24"/>
          <w:szCs w:val="24"/>
          <w:lang w:val="es-MX"/>
        </w:rPr>
        <w:t xml:space="preserve">test de Mann-Whitney </w:t>
      </w:r>
      <w:r w:rsidR="00097141">
        <w:rPr>
          <w:color w:val="000000"/>
          <w:sz w:val="24"/>
          <w:szCs w:val="24"/>
          <w:lang w:val="es-MX"/>
        </w:rPr>
        <w:t xml:space="preserve">para el contraste de variables dicotómicas, el test de </w:t>
      </w:r>
      <w:r w:rsidR="00616B3B">
        <w:rPr>
          <w:color w:val="000000"/>
          <w:sz w:val="24"/>
          <w:szCs w:val="24"/>
          <w:lang w:val="es-MX"/>
        </w:rPr>
        <w:t xml:space="preserve">Kruskal-Wallis </w:t>
      </w:r>
      <w:r w:rsidR="00097141">
        <w:rPr>
          <w:color w:val="000000"/>
          <w:sz w:val="24"/>
          <w:szCs w:val="24"/>
          <w:lang w:val="es-MX"/>
        </w:rPr>
        <w:t xml:space="preserve">para variables </w:t>
      </w:r>
      <w:r w:rsidR="00616B3B">
        <w:rPr>
          <w:color w:val="000000"/>
          <w:sz w:val="24"/>
          <w:szCs w:val="24"/>
          <w:lang w:val="es-MX"/>
        </w:rPr>
        <w:t>politómicas</w:t>
      </w:r>
      <w:r w:rsidR="00097141">
        <w:rPr>
          <w:color w:val="000000"/>
          <w:sz w:val="24"/>
          <w:szCs w:val="24"/>
          <w:lang w:val="es-MX"/>
        </w:rPr>
        <w:t xml:space="preserve"> y el coeficiente de correlación de Spearman para las variables cuantitativas. </w:t>
      </w:r>
      <w:r w:rsidR="00CD5970" w:rsidRPr="00CD5970">
        <w:rPr>
          <w:color w:val="000000"/>
          <w:sz w:val="24"/>
          <w:szCs w:val="24"/>
          <w:lang w:val="es-MX"/>
        </w:rPr>
        <w:t>El nivel de significancia estadística considerad</w:t>
      </w:r>
      <w:r w:rsidR="00727A43">
        <w:rPr>
          <w:color w:val="000000"/>
          <w:sz w:val="24"/>
          <w:szCs w:val="24"/>
          <w:lang w:val="es-MX"/>
        </w:rPr>
        <w:t>o en los análisis</w:t>
      </w:r>
      <w:r w:rsidR="00CD5970" w:rsidRPr="00CD5970">
        <w:rPr>
          <w:color w:val="000000"/>
          <w:sz w:val="24"/>
          <w:szCs w:val="24"/>
          <w:lang w:val="es-MX"/>
        </w:rPr>
        <w:t xml:space="preserve"> fue de p &lt; 0.05</w:t>
      </w:r>
      <w:r w:rsidR="00CD5970">
        <w:rPr>
          <w:color w:val="000000"/>
          <w:sz w:val="24"/>
          <w:szCs w:val="24"/>
          <w:lang w:val="es-MX"/>
        </w:rPr>
        <w:t xml:space="preserve">. </w:t>
      </w:r>
    </w:p>
    <w:p w14:paraId="68F24E09" w14:textId="6FCF8420" w:rsidR="002B3130" w:rsidRPr="006D6D4F" w:rsidRDefault="009B12EA" w:rsidP="00AE5C4B">
      <w:pPr>
        <w:ind w:leftChars="0" w:left="0" w:firstLineChars="0" w:firstLine="0"/>
        <w:rPr>
          <w:color w:val="000000"/>
          <w:sz w:val="24"/>
          <w:szCs w:val="24"/>
        </w:rPr>
      </w:pPr>
      <w:r>
        <w:rPr>
          <w:color w:val="000000"/>
          <w:sz w:val="24"/>
          <w:szCs w:val="24"/>
          <w:lang w:val="es-MX"/>
        </w:rPr>
        <w:t>P</w:t>
      </w:r>
      <w:r w:rsidRPr="009B12EA">
        <w:rPr>
          <w:color w:val="000000"/>
          <w:sz w:val="24"/>
          <w:szCs w:val="24"/>
          <w:lang w:val="es-MX"/>
        </w:rPr>
        <w:t>or su parte, en la segunda fase se realizó un análisis multivariado por medio de la evaluación de un modelo por ecuaciones estructurales</w:t>
      </w:r>
      <w:r w:rsidR="009262A1">
        <w:rPr>
          <w:color w:val="000000"/>
          <w:sz w:val="24"/>
          <w:szCs w:val="24"/>
          <w:lang w:val="es-MX"/>
        </w:rPr>
        <w:t xml:space="preserve">. Este modelo incluyó únicamente las variables </w:t>
      </w:r>
      <w:r w:rsidRPr="009B12EA">
        <w:rPr>
          <w:color w:val="000000"/>
          <w:sz w:val="24"/>
          <w:szCs w:val="24"/>
          <w:lang w:val="es-MX"/>
        </w:rPr>
        <w:t>estadísticamente significativas de la primera fase.</w:t>
      </w:r>
      <w:r w:rsidR="006D6D4F">
        <w:rPr>
          <w:color w:val="000000"/>
          <w:sz w:val="24"/>
          <w:szCs w:val="24"/>
          <w:lang w:val="es-MX"/>
        </w:rPr>
        <w:t xml:space="preserve"> E</w:t>
      </w:r>
      <w:r w:rsidR="006D6D4F" w:rsidRPr="006D6D4F">
        <w:rPr>
          <w:color w:val="000000"/>
          <w:sz w:val="24"/>
          <w:szCs w:val="24"/>
          <w:lang w:val="es-MX"/>
        </w:rPr>
        <w:t xml:space="preserve">l estimador utilizado para los análisis fue el </w:t>
      </w:r>
      <w:proofErr w:type="spellStart"/>
      <w:r w:rsidR="006D6D4F" w:rsidRPr="006D6D4F">
        <w:rPr>
          <w:i/>
          <w:color w:val="000000"/>
          <w:sz w:val="24"/>
          <w:szCs w:val="24"/>
          <w:lang w:val="es-MX"/>
        </w:rPr>
        <w:t>Weighted</w:t>
      </w:r>
      <w:proofErr w:type="spellEnd"/>
      <w:r w:rsidR="006D6D4F" w:rsidRPr="006D6D4F">
        <w:rPr>
          <w:i/>
          <w:color w:val="000000"/>
          <w:sz w:val="24"/>
          <w:szCs w:val="24"/>
          <w:lang w:val="es-MX"/>
        </w:rPr>
        <w:t xml:space="preserve"> </w:t>
      </w:r>
      <w:proofErr w:type="spellStart"/>
      <w:r w:rsidR="006D6D4F" w:rsidRPr="006D6D4F">
        <w:rPr>
          <w:i/>
          <w:color w:val="000000"/>
          <w:sz w:val="24"/>
          <w:szCs w:val="24"/>
          <w:lang w:val="es-MX"/>
        </w:rPr>
        <w:t>Least</w:t>
      </w:r>
      <w:proofErr w:type="spellEnd"/>
      <w:r w:rsidR="006D6D4F" w:rsidRPr="006D6D4F">
        <w:rPr>
          <w:i/>
          <w:color w:val="000000"/>
          <w:sz w:val="24"/>
          <w:szCs w:val="24"/>
          <w:lang w:val="es-MX"/>
        </w:rPr>
        <w:t xml:space="preserve"> Square Mean and </w:t>
      </w:r>
      <w:proofErr w:type="spellStart"/>
      <w:r w:rsidR="006D6D4F" w:rsidRPr="006D6D4F">
        <w:rPr>
          <w:i/>
          <w:color w:val="000000"/>
          <w:sz w:val="24"/>
          <w:szCs w:val="24"/>
          <w:lang w:val="es-MX"/>
        </w:rPr>
        <w:t>Variance</w:t>
      </w:r>
      <w:proofErr w:type="spellEnd"/>
      <w:r w:rsidR="006D6D4F" w:rsidRPr="006D6D4F">
        <w:rPr>
          <w:i/>
          <w:color w:val="000000"/>
          <w:sz w:val="24"/>
          <w:szCs w:val="24"/>
          <w:lang w:val="es-MX"/>
        </w:rPr>
        <w:t xml:space="preserve"> </w:t>
      </w:r>
      <w:proofErr w:type="spellStart"/>
      <w:r w:rsidR="006D6D4F" w:rsidRPr="006D6D4F">
        <w:rPr>
          <w:i/>
          <w:color w:val="000000"/>
          <w:sz w:val="24"/>
          <w:szCs w:val="24"/>
          <w:lang w:val="es-MX"/>
        </w:rPr>
        <w:t>Adjusted</w:t>
      </w:r>
      <w:proofErr w:type="spellEnd"/>
      <w:r w:rsidR="006D6D4F" w:rsidRPr="006D6D4F">
        <w:rPr>
          <w:color w:val="000000"/>
          <w:sz w:val="24"/>
          <w:szCs w:val="24"/>
          <w:lang w:val="es-MX"/>
        </w:rPr>
        <w:t xml:space="preserve"> (WLSMV). Los ajustes del modelo se verificaron mediante el índice de ajuste comparativo (CFI)</w:t>
      </w:r>
      <w:r w:rsidR="00155A17">
        <w:rPr>
          <w:color w:val="000000"/>
          <w:sz w:val="24"/>
          <w:szCs w:val="24"/>
          <w:lang w:val="es-MX"/>
        </w:rPr>
        <w:t xml:space="preserve"> </w:t>
      </w:r>
      <w:r w:rsidR="006D6D4F" w:rsidRPr="006D6D4F">
        <w:rPr>
          <w:color w:val="000000"/>
          <w:sz w:val="24"/>
          <w:szCs w:val="24"/>
          <w:lang w:val="es-MX"/>
        </w:rPr>
        <w:t>y el error de aproximación cuadrático medio (RMSEA). El CFI &gt; 0</w:t>
      </w:r>
      <w:r w:rsidR="00155A17">
        <w:rPr>
          <w:color w:val="000000"/>
          <w:sz w:val="24"/>
          <w:szCs w:val="24"/>
          <w:lang w:val="es-MX"/>
        </w:rPr>
        <w:t>.</w:t>
      </w:r>
      <w:r w:rsidR="006D6D4F" w:rsidRPr="006D6D4F">
        <w:rPr>
          <w:color w:val="000000"/>
          <w:sz w:val="24"/>
          <w:szCs w:val="24"/>
          <w:lang w:val="es-MX"/>
        </w:rPr>
        <w:t>90 y el RMSEA ≤ 0</w:t>
      </w:r>
      <w:r w:rsidR="00155A17">
        <w:rPr>
          <w:color w:val="000000"/>
          <w:sz w:val="24"/>
          <w:szCs w:val="24"/>
          <w:lang w:val="es-MX"/>
        </w:rPr>
        <w:t>.</w:t>
      </w:r>
      <w:r w:rsidR="006D6D4F" w:rsidRPr="006D6D4F">
        <w:rPr>
          <w:color w:val="000000"/>
          <w:sz w:val="24"/>
          <w:szCs w:val="24"/>
          <w:lang w:val="es-MX"/>
        </w:rPr>
        <w:t>08 son indicadores de ajuste adecuado del modelo (</w:t>
      </w:r>
      <w:proofErr w:type="spellStart"/>
      <w:r w:rsidR="006D6D4F" w:rsidRPr="006D6D4F">
        <w:rPr>
          <w:color w:val="000000"/>
          <w:sz w:val="24"/>
          <w:szCs w:val="24"/>
          <w:lang w:val="es-MX"/>
        </w:rPr>
        <w:t>Schumacker</w:t>
      </w:r>
      <w:proofErr w:type="spellEnd"/>
      <w:r w:rsidR="006D6D4F" w:rsidRPr="006D6D4F">
        <w:rPr>
          <w:color w:val="000000"/>
          <w:sz w:val="24"/>
          <w:szCs w:val="24"/>
          <w:lang w:val="es-MX"/>
        </w:rPr>
        <w:t xml:space="preserve"> &amp; </w:t>
      </w:r>
      <w:proofErr w:type="spellStart"/>
      <w:r w:rsidR="006D6D4F" w:rsidRPr="006D6D4F">
        <w:rPr>
          <w:color w:val="000000"/>
          <w:sz w:val="24"/>
          <w:szCs w:val="24"/>
          <w:lang w:val="es-MX"/>
        </w:rPr>
        <w:t>Lomax</w:t>
      </w:r>
      <w:proofErr w:type="spellEnd"/>
      <w:r w:rsidR="006D6D4F" w:rsidRPr="006D6D4F">
        <w:rPr>
          <w:color w:val="000000"/>
          <w:sz w:val="24"/>
          <w:szCs w:val="24"/>
          <w:lang w:val="es-MX"/>
        </w:rPr>
        <w:t>, 2018). Los análisis fueron realizados por medio de</w:t>
      </w:r>
      <w:r w:rsidR="006F3E09">
        <w:rPr>
          <w:color w:val="000000"/>
          <w:sz w:val="24"/>
          <w:szCs w:val="24"/>
          <w:lang w:val="es-MX"/>
        </w:rPr>
        <w:t xml:space="preserve"> </w:t>
      </w:r>
      <w:r w:rsidR="006D6D4F" w:rsidRPr="006D6D4F">
        <w:rPr>
          <w:color w:val="000000"/>
          <w:sz w:val="24"/>
          <w:szCs w:val="24"/>
          <w:lang w:val="es-MX"/>
        </w:rPr>
        <w:t>l</w:t>
      </w:r>
      <w:r w:rsidR="006F3E09">
        <w:rPr>
          <w:color w:val="000000"/>
          <w:sz w:val="24"/>
          <w:szCs w:val="24"/>
          <w:lang w:val="es-MX"/>
        </w:rPr>
        <w:t>os</w:t>
      </w:r>
      <w:r w:rsidR="006D6D4F" w:rsidRPr="006D6D4F">
        <w:rPr>
          <w:color w:val="000000"/>
          <w:sz w:val="24"/>
          <w:szCs w:val="24"/>
          <w:lang w:val="es-MX"/>
        </w:rPr>
        <w:t xml:space="preserve"> Software</w:t>
      </w:r>
      <w:r w:rsidR="006F3E09">
        <w:rPr>
          <w:color w:val="000000"/>
          <w:sz w:val="24"/>
          <w:szCs w:val="24"/>
          <w:lang w:val="es-MX"/>
        </w:rPr>
        <w:t>s</w:t>
      </w:r>
      <w:r w:rsidR="009A1191">
        <w:rPr>
          <w:color w:val="000000"/>
          <w:sz w:val="24"/>
          <w:szCs w:val="24"/>
          <w:lang w:val="es-MX"/>
        </w:rPr>
        <w:t xml:space="preserve"> JASP y </w:t>
      </w:r>
      <w:r w:rsidR="006D6D4F" w:rsidRPr="006D6D4F">
        <w:rPr>
          <w:color w:val="000000"/>
          <w:sz w:val="24"/>
          <w:szCs w:val="24"/>
          <w:lang w:val="es-MX"/>
        </w:rPr>
        <w:t xml:space="preserve">R versión 3.6.2, </w:t>
      </w:r>
      <w:r w:rsidR="006F3E09">
        <w:rPr>
          <w:color w:val="000000"/>
          <w:sz w:val="24"/>
          <w:szCs w:val="24"/>
          <w:lang w:val="es-MX"/>
        </w:rPr>
        <w:t xml:space="preserve">este último </w:t>
      </w:r>
      <w:r w:rsidR="006D6D4F" w:rsidRPr="006D6D4F">
        <w:rPr>
          <w:color w:val="000000"/>
          <w:sz w:val="24"/>
          <w:szCs w:val="24"/>
          <w:lang w:val="es-MX"/>
        </w:rPr>
        <w:t xml:space="preserve">por medio de los paquetes </w:t>
      </w:r>
      <w:proofErr w:type="spellStart"/>
      <w:r w:rsidR="006D6D4F" w:rsidRPr="006D6D4F">
        <w:rPr>
          <w:color w:val="000000"/>
          <w:sz w:val="24"/>
          <w:szCs w:val="24"/>
          <w:lang w:val="es-MX"/>
        </w:rPr>
        <w:t>paquetes</w:t>
      </w:r>
      <w:proofErr w:type="spellEnd"/>
      <w:r w:rsidR="006D6D4F" w:rsidRPr="006D6D4F">
        <w:rPr>
          <w:color w:val="000000"/>
          <w:sz w:val="24"/>
          <w:szCs w:val="24"/>
          <w:lang w:val="es-MX"/>
        </w:rPr>
        <w:t xml:space="preserve"> </w:t>
      </w:r>
      <w:proofErr w:type="spellStart"/>
      <w:r w:rsidR="006D6D4F" w:rsidRPr="006D6D4F">
        <w:rPr>
          <w:color w:val="000000"/>
          <w:sz w:val="24"/>
          <w:szCs w:val="24"/>
          <w:lang w:val="es-MX"/>
        </w:rPr>
        <w:t>semTools</w:t>
      </w:r>
      <w:proofErr w:type="spellEnd"/>
      <w:r w:rsidR="006D6D4F" w:rsidRPr="006D6D4F">
        <w:rPr>
          <w:color w:val="000000"/>
          <w:sz w:val="24"/>
          <w:szCs w:val="24"/>
          <w:lang w:val="es-MX"/>
        </w:rPr>
        <w:t>, versión 0.5-4</w:t>
      </w:r>
      <w:r w:rsidR="00A8002A">
        <w:rPr>
          <w:color w:val="000000"/>
          <w:sz w:val="24"/>
          <w:szCs w:val="24"/>
          <w:lang w:val="es-MX"/>
        </w:rPr>
        <w:t xml:space="preserve"> </w:t>
      </w:r>
      <w:r w:rsidR="006D6D4F" w:rsidRPr="006D6D4F">
        <w:rPr>
          <w:color w:val="000000"/>
          <w:sz w:val="24"/>
          <w:szCs w:val="24"/>
          <w:lang w:val="es-MX"/>
        </w:rPr>
        <w:t xml:space="preserve">y </w:t>
      </w:r>
      <w:proofErr w:type="spellStart"/>
      <w:r w:rsidR="006D6D4F" w:rsidRPr="006D6D4F">
        <w:rPr>
          <w:color w:val="000000"/>
          <w:sz w:val="24"/>
          <w:szCs w:val="24"/>
          <w:lang w:val="es-MX"/>
        </w:rPr>
        <w:t>lavaan</w:t>
      </w:r>
      <w:proofErr w:type="spellEnd"/>
      <w:r w:rsidR="006D6D4F" w:rsidRPr="006D6D4F">
        <w:rPr>
          <w:color w:val="000000"/>
          <w:sz w:val="24"/>
          <w:szCs w:val="24"/>
          <w:lang w:val="es-MX"/>
        </w:rPr>
        <w:t>, versión 0.6-7.</w:t>
      </w:r>
    </w:p>
    <w:p w14:paraId="50529DAF" w14:textId="77777777" w:rsidR="009B12EA" w:rsidRPr="009B12EA" w:rsidRDefault="009B12EA" w:rsidP="00CF19CE">
      <w:pPr>
        <w:ind w:left="0" w:hanging="2"/>
        <w:rPr>
          <w:b/>
          <w:color w:val="000000"/>
          <w:sz w:val="24"/>
          <w:szCs w:val="24"/>
          <w:lang w:val="es-MX"/>
        </w:rPr>
      </w:pPr>
    </w:p>
    <w:p w14:paraId="2F086D87" w14:textId="01851138" w:rsidR="00245952" w:rsidRDefault="00245952" w:rsidP="00CF19CE">
      <w:pPr>
        <w:ind w:left="0" w:hanging="2"/>
        <w:rPr>
          <w:b/>
          <w:color w:val="000000"/>
          <w:sz w:val="24"/>
          <w:szCs w:val="24"/>
        </w:rPr>
      </w:pPr>
      <w:r w:rsidRPr="00950FA0">
        <w:rPr>
          <w:b/>
          <w:color w:val="000000"/>
          <w:sz w:val="24"/>
          <w:szCs w:val="24"/>
        </w:rPr>
        <w:t>Resultados</w:t>
      </w:r>
    </w:p>
    <w:p w14:paraId="4747D3EE" w14:textId="5E441597" w:rsidR="006A4AE7" w:rsidRDefault="0083361B" w:rsidP="00BC300B">
      <w:pPr>
        <w:ind w:leftChars="0" w:left="0" w:firstLineChars="0" w:firstLine="0"/>
        <w:rPr>
          <w:color w:val="000000"/>
          <w:sz w:val="24"/>
          <w:szCs w:val="24"/>
        </w:rPr>
      </w:pPr>
      <w:r w:rsidRPr="0083361B">
        <w:rPr>
          <w:b/>
          <w:i/>
          <w:color w:val="000000"/>
          <w:sz w:val="24"/>
          <w:szCs w:val="24"/>
        </w:rPr>
        <w:t>Análisis bivariados</w:t>
      </w:r>
      <w:r w:rsidR="00BC300B">
        <w:rPr>
          <w:b/>
          <w:i/>
          <w:color w:val="000000"/>
          <w:sz w:val="24"/>
          <w:szCs w:val="24"/>
        </w:rPr>
        <w:t xml:space="preserve">. </w:t>
      </w:r>
      <w:r w:rsidR="00C50BB2">
        <w:rPr>
          <w:color w:val="000000"/>
          <w:sz w:val="24"/>
          <w:szCs w:val="24"/>
        </w:rPr>
        <w:t>La Tabla 1 muestra los análisis bivariados entre las v</w:t>
      </w:r>
      <w:r w:rsidR="00C50BB2" w:rsidRPr="003A1CF0">
        <w:rPr>
          <w:color w:val="000000"/>
          <w:sz w:val="24"/>
          <w:szCs w:val="24"/>
        </w:rPr>
        <w:t xml:space="preserve">ariables vinculadas al perfil de ingreso y puntajes de la escala de intención de abandono en estudiantes universitarios. </w:t>
      </w:r>
      <w:r w:rsidR="00ED02F2">
        <w:rPr>
          <w:color w:val="000000"/>
          <w:sz w:val="24"/>
          <w:szCs w:val="24"/>
        </w:rPr>
        <w:t>En lo que respecta al perfil de ingreso, los hallazgos de la primera fase indican que el área de conocimiento, la opción de carrera en el proceso de admisión y relatar</w:t>
      </w:r>
      <w:r w:rsidR="001930C9">
        <w:rPr>
          <w:color w:val="000000"/>
          <w:sz w:val="24"/>
          <w:szCs w:val="24"/>
        </w:rPr>
        <w:t xml:space="preserve"> </w:t>
      </w:r>
      <w:r>
        <w:rPr>
          <w:color w:val="000000"/>
          <w:sz w:val="24"/>
          <w:szCs w:val="24"/>
        </w:rPr>
        <w:t>la presencia de</w:t>
      </w:r>
      <w:r w:rsidR="00ED02F2">
        <w:rPr>
          <w:color w:val="000000"/>
          <w:sz w:val="24"/>
          <w:szCs w:val="24"/>
        </w:rPr>
        <w:t xml:space="preserve"> desempleados en núcleo familiar inciden de forma estadísticamente significativa (</w:t>
      </w:r>
      <w:r w:rsidR="00ED02F2" w:rsidRPr="00734DDA">
        <w:rPr>
          <w:i/>
          <w:color w:val="000000"/>
          <w:sz w:val="24"/>
          <w:szCs w:val="24"/>
        </w:rPr>
        <w:t>p</w:t>
      </w:r>
      <w:r w:rsidR="00ED02F2">
        <w:rPr>
          <w:color w:val="000000"/>
          <w:sz w:val="24"/>
          <w:szCs w:val="24"/>
        </w:rPr>
        <w:t xml:space="preserve"> &lt; 0.05) en los puntajes de la escala de intención de abandono. Estudiantes de las ciencias biológicas y de la salud, aquellos matriculados en primera opción de carrera y quienes no reportan desempleados en núcleo familiar evidenciaron puntajes menores de intención de abandono. Variables como el sexo, instituto de educación media de </w:t>
      </w:r>
      <w:r w:rsidR="00ED02F2">
        <w:rPr>
          <w:color w:val="000000"/>
          <w:sz w:val="24"/>
          <w:szCs w:val="24"/>
        </w:rPr>
        <w:lastRenderedPageBreak/>
        <w:t xml:space="preserve">procedencia, ocupación actual e ingreso familiar mensual no muestran relación significativa con la variable dependiente. </w:t>
      </w:r>
    </w:p>
    <w:p w14:paraId="23F37376" w14:textId="77777777" w:rsidR="003A1CF0" w:rsidRDefault="003A1CF0" w:rsidP="00ED02F2">
      <w:pPr>
        <w:ind w:left="0" w:hanging="2"/>
        <w:rPr>
          <w:color w:val="000000"/>
          <w:sz w:val="24"/>
          <w:szCs w:val="24"/>
        </w:rPr>
      </w:pPr>
    </w:p>
    <w:p w14:paraId="3E4D666B" w14:textId="2A43440E" w:rsidR="003A1CF0" w:rsidRPr="00C30655" w:rsidRDefault="003A1CF0" w:rsidP="003A1CF0">
      <w:pPr>
        <w:ind w:left="0" w:hanging="2"/>
        <w:rPr>
          <w:color w:val="000000"/>
          <w:szCs w:val="24"/>
        </w:rPr>
      </w:pPr>
      <w:r w:rsidRPr="00C30655">
        <w:rPr>
          <w:b/>
          <w:color w:val="000000"/>
          <w:szCs w:val="24"/>
        </w:rPr>
        <w:t>Tabla 1.</w:t>
      </w:r>
      <w:r w:rsidRPr="00C30655">
        <w:rPr>
          <w:color w:val="000000"/>
          <w:szCs w:val="24"/>
        </w:rPr>
        <w:t xml:space="preserve"> Variables vinculadas al perfil de ingreso y puntajes de intención de abandono en estudiantes universitarios. </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709"/>
        <w:gridCol w:w="731"/>
        <w:gridCol w:w="1210"/>
        <w:gridCol w:w="1331"/>
        <w:gridCol w:w="1325"/>
      </w:tblGrid>
      <w:tr w:rsidR="003A1CF0" w:rsidRPr="00DB102B" w14:paraId="43BA15C1" w14:textId="77777777" w:rsidTr="007C3B46">
        <w:tc>
          <w:tcPr>
            <w:tcW w:w="3544" w:type="dxa"/>
            <w:vMerge w:val="restart"/>
            <w:tcBorders>
              <w:top w:val="single" w:sz="4" w:space="0" w:color="auto"/>
              <w:bottom w:val="nil"/>
            </w:tcBorders>
          </w:tcPr>
          <w:p w14:paraId="3A5EF74E" w14:textId="77777777" w:rsidR="003A1CF0" w:rsidRPr="00DB102B" w:rsidRDefault="003A1CF0" w:rsidP="00155A17">
            <w:pPr>
              <w:ind w:left="0" w:hanging="2"/>
              <w:jc w:val="center"/>
              <w:rPr>
                <w:rFonts w:ascii="Times New Roman" w:hAnsi="Times New Roman" w:cs="Times New Roman"/>
                <w:b/>
                <w:sz w:val="20"/>
                <w:szCs w:val="20"/>
                <w:lang w:val="es-HN"/>
              </w:rPr>
            </w:pPr>
            <w:r w:rsidRPr="00DB102B">
              <w:rPr>
                <w:rFonts w:ascii="Times New Roman" w:hAnsi="Times New Roman" w:cs="Times New Roman"/>
                <w:b/>
                <w:sz w:val="20"/>
                <w:szCs w:val="20"/>
                <w:lang w:val="es-HN"/>
              </w:rPr>
              <w:t>Variables</w:t>
            </w:r>
          </w:p>
        </w:tc>
        <w:tc>
          <w:tcPr>
            <w:tcW w:w="709" w:type="dxa"/>
            <w:vMerge w:val="restart"/>
            <w:tcBorders>
              <w:top w:val="single" w:sz="4" w:space="0" w:color="auto"/>
              <w:bottom w:val="nil"/>
            </w:tcBorders>
          </w:tcPr>
          <w:p w14:paraId="68423C68" w14:textId="13E19A9F" w:rsidR="003A1CF0" w:rsidRPr="00DB102B" w:rsidRDefault="007C3B46" w:rsidP="00155A17">
            <w:pPr>
              <w:ind w:left="0" w:hanging="2"/>
              <w:jc w:val="center"/>
              <w:rPr>
                <w:rFonts w:ascii="Times New Roman" w:hAnsi="Times New Roman" w:cs="Times New Roman"/>
                <w:b/>
                <w:sz w:val="20"/>
                <w:szCs w:val="20"/>
                <w:lang w:val="es-HN"/>
              </w:rPr>
            </w:pPr>
            <w:r>
              <w:rPr>
                <w:rFonts w:ascii="Times New Roman" w:hAnsi="Times New Roman" w:cs="Times New Roman"/>
                <w:b/>
                <w:sz w:val="20"/>
                <w:szCs w:val="20"/>
                <w:lang w:val="es-HN"/>
              </w:rPr>
              <w:t>n</w:t>
            </w:r>
          </w:p>
        </w:tc>
        <w:tc>
          <w:tcPr>
            <w:tcW w:w="731" w:type="dxa"/>
            <w:vMerge w:val="restart"/>
            <w:tcBorders>
              <w:top w:val="single" w:sz="4" w:space="0" w:color="auto"/>
              <w:bottom w:val="nil"/>
            </w:tcBorders>
          </w:tcPr>
          <w:p w14:paraId="50145026" w14:textId="77777777" w:rsidR="003A1CF0" w:rsidRPr="00DB102B" w:rsidRDefault="003A1CF0" w:rsidP="00155A17">
            <w:pPr>
              <w:ind w:left="0" w:hanging="2"/>
              <w:jc w:val="center"/>
              <w:rPr>
                <w:rFonts w:ascii="Times New Roman" w:hAnsi="Times New Roman" w:cs="Times New Roman"/>
                <w:b/>
                <w:sz w:val="20"/>
                <w:szCs w:val="20"/>
                <w:lang w:val="es-HN"/>
              </w:rPr>
            </w:pPr>
            <w:r w:rsidRPr="00DB102B">
              <w:rPr>
                <w:rFonts w:ascii="Times New Roman" w:hAnsi="Times New Roman" w:cs="Times New Roman"/>
                <w:b/>
                <w:sz w:val="20"/>
                <w:szCs w:val="20"/>
                <w:lang w:val="es-HN"/>
              </w:rPr>
              <w:t>%</w:t>
            </w:r>
          </w:p>
        </w:tc>
        <w:tc>
          <w:tcPr>
            <w:tcW w:w="3866" w:type="dxa"/>
            <w:gridSpan w:val="3"/>
            <w:tcBorders>
              <w:top w:val="single" w:sz="4" w:space="0" w:color="auto"/>
              <w:bottom w:val="single" w:sz="4" w:space="0" w:color="auto"/>
            </w:tcBorders>
          </w:tcPr>
          <w:p w14:paraId="3653B100" w14:textId="77777777" w:rsidR="003A1CF0" w:rsidRPr="00DB102B" w:rsidRDefault="003A1CF0" w:rsidP="00155A17">
            <w:pPr>
              <w:ind w:left="0" w:hanging="2"/>
              <w:jc w:val="center"/>
              <w:rPr>
                <w:rFonts w:ascii="Times New Roman" w:hAnsi="Times New Roman" w:cs="Times New Roman"/>
                <w:b/>
                <w:sz w:val="20"/>
                <w:szCs w:val="20"/>
                <w:lang w:val="es-HN"/>
              </w:rPr>
            </w:pPr>
            <w:r w:rsidRPr="00DB102B">
              <w:rPr>
                <w:rFonts w:ascii="Times New Roman" w:hAnsi="Times New Roman" w:cs="Times New Roman"/>
                <w:b/>
                <w:sz w:val="20"/>
                <w:szCs w:val="20"/>
                <w:lang w:val="es-HN"/>
              </w:rPr>
              <w:t>Intención de abandono</w:t>
            </w:r>
          </w:p>
        </w:tc>
      </w:tr>
      <w:tr w:rsidR="003A1CF0" w:rsidRPr="00DB102B" w14:paraId="5ABBB393" w14:textId="77777777" w:rsidTr="007C3B46">
        <w:tc>
          <w:tcPr>
            <w:tcW w:w="3544" w:type="dxa"/>
            <w:vMerge/>
            <w:tcBorders>
              <w:top w:val="nil"/>
              <w:bottom w:val="single" w:sz="4" w:space="0" w:color="auto"/>
            </w:tcBorders>
          </w:tcPr>
          <w:p w14:paraId="54E17543" w14:textId="77777777" w:rsidR="003A1CF0" w:rsidRPr="00DB102B" w:rsidRDefault="003A1CF0" w:rsidP="00155A17">
            <w:pPr>
              <w:ind w:left="0" w:hanging="2"/>
              <w:jc w:val="center"/>
              <w:rPr>
                <w:rFonts w:ascii="Times New Roman" w:hAnsi="Times New Roman" w:cs="Times New Roman"/>
                <w:b/>
                <w:sz w:val="20"/>
                <w:szCs w:val="20"/>
                <w:lang w:val="es-HN"/>
              </w:rPr>
            </w:pPr>
          </w:p>
        </w:tc>
        <w:tc>
          <w:tcPr>
            <w:tcW w:w="709" w:type="dxa"/>
            <w:vMerge/>
            <w:tcBorders>
              <w:top w:val="nil"/>
              <w:bottom w:val="single" w:sz="4" w:space="0" w:color="auto"/>
            </w:tcBorders>
          </w:tcPr>
          <w:p w14:paraId="685C779C" w14:textId="77777777" w:rsidR="003A1CF0" w:rsidRPr="00DB102B" w:rsidRDefault="003A1CF0" w:rsidP="00155A17">
            <w:pPr>
              <w:ind w:left="0" w:hanging="2"/>
              <w:jc w:val="center"/>
              <w:rPr>
                <w:rFonts w:ascii="Times New Roman" w:hAnsi="Times New Roman" w:cs="Times New Roman"/>
                <w:b/>
                <w:sz w:val="20"/>
                <w:szCs w:val="20"/>
                <w:lang w:val="es-HN"/>
              </w:rPr>
            </w:pPr>
          </w:p>
        </w:tc>
        <w:tc>
          <w:tcPr>
            <w:tcW w:w="731" w:type="dxa"/>
            <w:vMerge/>
            <w:tcBorders>
              <w:top w:val="nil"/>
              <w:bottom w:val="single" w:sz="4" w:space="0" w:color="auto"/>
            </w:tcBorders>
          </w:tcPr>
          <w:p w14:paraId="3E658792" w14:textId="77777777" w:rsidR="003A1CF0" w:rsidRPr="00DB102B" w:rsidRDefault="003A1CF0" w:rsidP="00155A17">
            <w:pPr>
              <w:ind w:left="0" w:hanging="2"/>
              <w:jc w:val="center"/>
              <w:rPr>
                <w:rFonts w:ascii="Times New Roman" w:hAnsi="Times New Roman" w:cs="Times New Roman"/>
                <w:b/>
                <w:sz w:val="20"/>
                <w:szCs w:val="20"/>
                <w:lang w:val="es-HN"/>
              </w:rPr>
            </w:pPr>
          </w:p>
        </w:tc>
        <w:tc>
          <w:tcPr>
            <w:tcW w:w="1210" w:type="dxa"/>
            <w:tcBorders>
              <w:top w:val="single" w:sz="4" w:space="0" w:color="auto"/>
              <w:bottom w:val="single" w:sz="4" w:space="0" w:color="auto"/>
            </w:tcBorders>
          </w:tcPr>
          <w:p w14:paraId="580EB518" w14:textId="77777777" w:rsidR="003A1CF0" w:rsidRPr="00DB102B" w:rsidRDefault="003A1CF0" w:rsidP="00155A17">
            <w:pPr>
              <w:ind w:left="0" w:hanging="2"/>
              <w:jc w:val="center"/>
              <w:rPr>
                <w:rFonts w:ascii="Times New Roman" w:hAnsi="Times New Roman" w:cs="Times New Roman"/>
                <w:b/>
                <w:sz w:val="20"/>
                <w:szCs w:val="20"/>
                <w:lang w:val="es-HN"/>
              </w:rPr>
            </w:pPr>
            <w:r w:rsidRPr="00DB102B">
              <w:rPr>
                <w:rFonts w:ascii="Times New Roman" w:hAnsi="Times New Roman" w:cs="Times New Roman"/>
                <w:b/>
                <w:sz w:val="20"/>
                <w:szCs w:val="20"/>
                <w:lang w:val="es-HN"/>
              </w:rPr>
              <w:t>M</w:t>
            </w:r>
          </w:p>
        </w:tc>
        <w:tc>
          <w:tcPr>
            <w:tcW w:w="1331" w:type="dxa"/>
            <w:tcBorders>
              <w:top w:val="single" w:sz="4" w:space="0" w:color="auto"/>
              <w:bottom w:val="single" w:sz="4" w:space="0" w:color="auto"/>
            </w:tcBorders>
          </w:tcPr>
          <w:p w14:paraId="47463761" w14:textId="77777777" w:rsidR="003A1CF0" w:rsidRPr="00DB102B" w:rsidRDefault="003A1CF0" w:rsidP="00155A17">
            <w:pPr>
              <w:ind w:left="0" w:hanging="2"/>
              <w:jc w:val="center"/>
              <w:rPr>
                <w:rFonts w:ascii="Times New Roman" w:hAnsi="Times New Roman" w:cs="Times New Roman"/>
                <w:b/>
                <w:sz w:val="20"/>
                <w:szCs w:val="20"/>
                <w:lang w:val="es-HN"/>
              </w:rPr>
            </w:pPr>
            <w:r w:rsidRPr="00DB102B">
              <w:rPr>
                <w:rFonts w:ascii="Times New Roman" w:hAnsi="Times New Roman" w:cs="Times New Roman"/>
                <w:b/>
                <w:sz w:val="20"/>
                <w:szCs w:val="20"/>
                <w:lang w:val="es-HN"/>
              </w:rPr>
              <w:t>DE</w:t>
            </w:r>
          </w:p>
        </w:tc>
        <w:tc>
          <w:tcPr>
            <w:tcW w:w="1325" w:type="dxa"/>
            <w:tcBorders>
              <w:top w:val="single" w:sz="4" w:space="0" w:color="auto"/>
              <w:bottom w:val="single" w:sz="4" w:space="0" w:color="auto"/>
            </w:tcBorders>
          </w:tcPr>
          <w:p w14:paraId="6BC76006" w14:textId="77777777" w:rsidR="003A1CF0" w:rsidRPr="00DB102B" w:rsidRDefault="003A1CF0" w:rsidP="00155A17">
            <w:pPr>
              <w:ind w:left="0" w:hanging="2"/>
              <w:jc w:val="center"/>
              <w:rPr>
                <w:rFonts w:ascii="Times New Roman" w:hAnsi="Times New Roman" w:cs="Times New Roman"/>
                <w:b/>
                <w:i/>
                <w:sz w:val="20"/>
                <w:szCs w:val="20"/>
                <w:lang w:val="es-HN"/>
              </w:rPr>
            </w:pPr>
            <w:r w:rsidRPr="00DB102B">
              <w:rPr>
                <w:rFonts w:ascii="Times New Roman" w:hAnsi="Times New Roman" w:cs="Times New Roman"/>
                <w:b/>
                <w:i/>
                <w:sz w:val="20"/>
                <w:szCs w:val="20"/>
                <w:lang w:val="es-HN"/>
              </w:rPr>
              <w:t>p</w:t>
            </w:r>
          </w:p>
        </w:tc>
      </w:tr>
      <w:tr w:rsidR="003A1CF0" w:rsidRPr="00DB102B" w14:paraId="65D29CDD" w14:textId="77777777" w:rsidTr="007C3B46">
        <w:tc>
          <w:tcPr>
            <w:tcW w:w="3544" w:type="dxa"/>
            <w:tcBorders>
              <w:top w:val="single" w:sz="4" w:space="0" w:color="auto"/>
            </w:tcBorders>
          </w:tcPr>
          <w:p w14:paraId="6DE4EFBB" w14:textId="77777777" w:rsidR="003A1CF0" w:rsidRPr="00DB102B" w:rsidRDefault="003A1CF0" w:rsidP="00155A17">
            <w:pPr>
              <w:ind w:left="0" w:hanging="2"/>
              <w:rPr>
                <w:rFonts w:ascii="Times New Roman" w:hAnsi="Times New Roman" w:cs="Times New Roman"/>
                <w:b/>
                <w:sz w:val="20"/>
                <w:szCs w:val="20"/>
                <w:lang w:val="es-HN"/>
              </w:rPr>
            </w:pPr>
            <w:r w:rsidRPr="00DB102B">
              <w:rPr>
                <w:rFonts w:ascii="Times New Roman" w:hAnsi="Times New Roman" w:cs="Times New Roman"/>
                <w:b/>
                <w:sz w:val="20"/>
                <w:szCs w:val="20"/>
                <w:lang w:val="es-HN"/>
              </w:rPr>
              <w:t>Sexo</w:t>
            </w:r>
          </w:p>
        </w:tc>
        <w:tc>
          <w:tcPr>
            <w:tcW w:w="709" w:type="dxa"/>
            <w:tcBorders>
              <w:top w:val="single" w:sz="4" w:space="0" w:color="auto"/>
            </w:tcBorders>
          </w:tcPr>
          <w:p w14:paraId="02CDD744" w14:textId="77777777" w:rsidR="003A1CF0" w:rsidRPr="00DB102B" w:rsidRDefault="003A1CF0" w:rsidP="00155A17">
            <w:pPr>
              <w:ind w:left="0" w:hanging="2"/>
              <w:jc w:val="center"/>
              <w:rPr>
                <w:rFonts w:ascii="Times New Roman" w:hAnsi="Times New Roman" w:cs="Times New Roman"/>
                <w:sz w:val="20"/>
                <w:szCs w:val="20"/>
                <w:lang w:val="es-HN"/>
              </w:rPr>
            </w:pPr>
          </w:p>
        </w:tc>
        <w:tc>
          <w:tcPr>
            <w:tcW w:w="731" w:type="dxa"/>
            <w:tcBorders>
              <w:top w:val="single" w:sz="4" w:space="0" w:color="auto"/>
            </w:tcBorders>
          </w:tcPr>
          <w:p w14:paraId="2DC808C5" w14:textId="77777777" w:rsidR="003A1CF0" w:rsidRPr="00DB102B" w:rsidRDefault="003A1CF0" w:rsidP="00155A17">
            <w:pPr>
              <w:ind w:left="0" w:hanging="2"/>
              <w:jc w:val="center"/>
              <w:rPr>
                <w:rFonts w:ascii="Times New Roman" w:hAnsi="Times New Roman" w:cs="Times New Roman"/>
                <w:sz w:val="20"/>
                <w:szCs w:val="20"/>
                <w:lang w:val="es-HN"/>
              </w:rPr>
            </w:pPr>
          </w:p>
        </w:tc>
        <w:tc>
          <w:tcPr>
            <w:tcW w:w="1210" w:type="dxa"/>
            <w:tcBorders>
              <w:top w:val="single" w:sz="4" w:space="0" w:color="auto"/>
            </w:tcBorders>
          </w:tcPr>
          <w:p w14:paraId="6E0548D4" w14:textId="77777777" w:rsidR="003A1CF0" w:rsidRPr="00DB102B" w:rsidRDefault="003A1CF0" w:rsidP="00155A17">
            <w:pPr>
              <w:ind w:left="0" w:hanging="2"/>
              <w:rPr>
                <w:rFonts w:ascii="Times New Roman" w:hAnsi="Times New Roman" w:cs="Times New Roman"/>
                <w:b/>
                <w:sz w:val="20"/>
                <w:szCs w:val="20"/>
                <w:lang w:val="es-HN"/>
              </w:rPr>
            </w:pPr>
          </w:p>
        </w:tc>
        <w:tc>
          <w:tcPr>
            <w:tcW w:w="1331" w:type="dxa"/>
            <w:tcBorders>
              <w:top w:val="single" w:sz="4" w:space="0" w:color="auto"/>
            </w:tcBorders>
          </w:tcPr>
          <w:p w14:paraId="5BC7E6FF" w14:textId="77777777" w:rsidR="003A1CF0" w:rsidRPr="00DB102B" w:rsidRDefault="003A1CF0" w:rsidP="00155A17">
            <w:pPr>
              <w:ind w:left="0" w:hanging="2"/>
              <w:rPr>
                <w:rFonts w:ascii="Times New Roman" w:hAnsi="Times New Roman" w:cs="Times New Roman"/>
                <w:b/>
                <w:sz w:val="20"/>
                <w:szCs w:val="20"/>
                <w:lang w:val="es-HN"/>
              </w:rPr>
            </w:pPr>
          </w:p>
        </w:tc>
        <w:tc>
          <w:tcPr>
            <w:tcW w:w="1325" w:type="dxa"/>
            <w:vMerge w:val="restart"/>
            <w:tcBorders>
              <w:top w:val="single" w:sz="4" w:space="0" w:color="auto"/>
            </w:tcBorders>
          </w:tcPr>
          <w:p w14:paraId="1EF5B9C1" w14:textId="77777777" w:rsidR="003A1CF0" w:rsidRPr="00DB102B" w:rsidRDefault="003A1CF0" w:rsidP="00155A17">
            <w:pPr>
              <w:ind w:left="0" w:hanging="2"/>
              <w:jc w:val="center"/>
              <w:rPr>
                <w:rFonts w:ascii="Times New Roman" w:hAnsi="Times New Roman" w:cs="Times New Roman"/>
                <w:b/>
                <w:sz w:val="20"/>
                <w:szCs w:val="20"/>
                <w:lang w:val="es-HN"/>
              </w:rPr>
            </w:pPr>
          </w:p>
          <w:p w14:paraId="53E3D0EB" w14:textId="6F083788"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0.472</w:t>
            </w:r>
            <w:r w:rsidR="004D233C">
              <w:rPr>
                <w:rFonts w:ascii="Times New Roman" w:hAnsi="Times New Roman" w:cs="Times New Roman"/>
                <w:sz w:val="20"/>
                <w:szCs w:val="20"/>
                <w:lang w:val="es-HN"/>
              </w:rPr>
              <w:t>*</w:t>
            </w:r>
          </w:p>
        </w:tc>
      </w:tr>
      <w:tr w:rsidR="003A1CF0" w:rsidRPr="00DB102B" w14:paraId="7369E34B" w14:textId="77777777" w:rsidTr="007C3B46">
        <w:tc>
          <w:tcPr>
            <w:tcW w:w="3544" w:type="dxa"/>
          </w:tcPr>
          <w:p w14:paraId="5BD8ADCA" w14:textId="77777777" w:rsidR="003A1CF0" w:rsidRPr="00DB102B" w:rsidRDefault="003A1CF0" w:rsidP="00155A17">
            <w:pPr>
              <w:ind w:left="0" w:hanging="2"/>
              <w:rPr>
                <w:rFonts w:ascii="Times New Roman" w:hAnsi="Times New Roman" w:cs="Times New Roman"/>
                <w:sz w:val="20"/>
                <w:szCs w:val="20"/>
                <w:lang w:val="es-HN"/>
              </w:rPr>
            </w:pPr>
            <w:r w:rsidRPr="00DB102B">
              <w:rPr>
                <w:rFonts w:ascii="Times New Roman" w:hAnsi="Times New Roman" w:cs="Times New Roman"/>
                <w:sz w:val="20"/>
                <w:szCs w:val="20"/>
                <w:lang w:val="es-HN"/>
              </w:rPr>
              <w:t xml:space="preserve">Mujer </w:t>
            </w:r>
          </w:p>
        </w:tc>
        <w:tc>
          <w:tcPr>
            <w:tcW w:w="709" w:type="dxa"/>
          </w:tcPr>
          <w:p w14:paraId="2290009E"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431</w:t>
            </w:r>
          </w:p>
        </w:tc>
        <w:tc>
          <w:tcPr>
            <w:tcW w:w="731" w:type="dxa"/>
          </w:tcPr>
          <w:p w14:paraId="097465E6"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66.6%</w:t>
            </w:r>
          </w:p>
        </w:tc>
        <w:tc>
          <w:tcPr>
            <w:tcW w:w="1210" w:type="dxa"/>
          </w:tcPr>
          <w:p w14:paraId="5175DA62"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7.23</w:t>
            </w:r>
          </w:p>
        </w:tc>
        <w:tc>
          <w:tcPr>
            <w:tcW w:w="1331" w:type="dxa"/>
          </w:tcPr>
          <w:p w14:paraId="3147B36D"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3.19</w:t>
            </w:r>
          </w:p>
        </w:tc>
        <w:tc>
          <w:tcPr>
            <w:tcW w:w="1325" w:type="dxa"/>
            <w:vMerge/>
          </w:tcPr>
          <w:p w14:paraId="26BB1D90" w14:textId="77777777" w:rsidR="003A1CF0" w:rsidRPr="00DB102B" w:rsidRDefault="003A1CF0" w:rsidP="00155A17">
            <w:pPr>
              <w:ind w:left="0" w:hanging="2"/>
              <w:jc w:val="center"/>
              <w:rPr>
                <w:rFonts w:ascii="Times New Roman" w:hAnsi="Times New Roman" w:cs="Times New Roman"/>
                <w:sz w:val="20"/>
                <w:szCs w:val="20"/>
                <w:lang w:val="es-HN"/>
              </w:rPr>
            </w:pPr>
          </w:p>
        </w:tc>
      </w:tr>
      <w:tr w:rsidR="003A1CF0" w:rsidRPr="00DB102B" w14:paraId="5AD928EE" w14:textId="77777777" w:rsidTr="007C3B46">
        <w:tc>
          <w:tcPr>
            <w:tcW w:w="3544" w:type="dxa"/>
          </w:tcPr>
          <w:p w14:paraId="4041A71D" w14:textId="77777777" w:rsidR="003A1CF0" w:rsidRPr="00DB102B" w:rsidRDefault="003A1CF0" w:rsidP="00155A17">
            <w:pPr>
              <w:ind w:left="0" w:hanging="2"/>
              <w:rPr>
                <w:rFonts w:ascii="Times New Roman" w:hAnsi="Times New Roman" w:cs="Times New Roman"/>
                <w:sz w:val="20"/>
                <w:szCs w:val="20"/>
                <w:lang w:val="es-HN"/>
              </w:rPr>
            </w:pPr>
            <w:r w:rsidRPr="00DB102B">
              <w:rPr>
                <w:rFonts w:ascii="Times New Roman" w:hAnsi="Times New Roman" w:cs="Times New Roman"/>
                <w:sz w:val="20"/>
                <w:szCs w:val="20"/>
                <w:lang w:val="es-HN"/>
              </w:rPr>
              <w:t>Hombre</w:t>
            </w:r>
          </w:p>
        </w:tc>
        <w:tc>
          <w:tcPr>
            <w:tcW w:w="709" w:type="dxa"/>
          </w:tcPr>
          <w:p w14:paraId="31B4C88C"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216</w:t>
            </w:r>
          </w:p>
        </w:tc>
        <w:tc>
          <w:tcPr>
            <w:tcW w:w="731" w:type="dxa"/>
          </w:tcPr>
          <w:p w14:paraId="7F7E617F"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33.4%</w:t>
            </w:r>
          </w:p>
        </w:tc>
        <w:tc>
          <w:tcPr>
            <w:tcW w:w="1210" w:type="dxa"/>
          </w:tcPr>
          <w:p w14:paraId="2E6F3FA5"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7.11</w:t>
            </w:r>
          </w:p>
        </w:tc>
        <w:tc>
          <w:tcPr>
            <w:tcW w:w="1331" w:type="dxa"/>
          </w:tcPr>
          <w:p w14:paraId="7CE9762D"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3.32</w:t>
            </w:r>
          </w:p>
        </w:tc>
        <w:tc>
          <w:tcPr>
            <w:tcW w:w="1325" w:type="dxa"/>
            <w:vMerge/>
          </w:tcPr>
          <w:p w14:paraId="2367A95D" w14:textId="77777777" w:rsidR="003A1CF0" w:rsidRPr="00DB102B" w:rsidRDefault="003A1CF0" w:rsidP="00155A17">
            <w:pPr>
              <w:ind w:left="0" w:hanging="2"/>
              <w:jc w:val="center"/>
              <w:rPr>
                <w:rFonts w:ascii="Times New Roman" w:hAnsi="Times New Roman" w:cs="Times New Roman"/>
                <w:sz w:val="20"/>
                <w:szCs w:val="20"/>
                <w:lang w:val="es-HN"/>
              </w:rPr>
            </w:pPr>
          </w:p>
        </w:tc>
      </w:tr>
      <w:tr w:rsidR="003A1CF0" w:rsidRPr="00DB102B" w14:paraId="717864BE" w14:textId="77777777" w:rsidTr="007C3B46">
        <w:tc>
          <w:tcPr>
            <w:tcW w:w="3544" w:type="dxa"/>
          </w:tcPr>
          <w:p w14:paraId="58040BA0" w14:textId="77777777" w:rsidR="003A1CF0" w:rsidRPr="00DB102B" w:rsidRDefault="003A1CF0" w:rsidP="00155A17">
            <w:pPr>
              <w:ind w:left="0" w:hanging="2"/>
              <w:rPr>
                <w:rFonts w:ascii="Times New Roman" w:hAnsi="Times New Roman" w:cs="Times New Roman"/>
                <w:b/>
                <w:sz w:val="20"/>
                <w:szCs w:val="20"/>
                <w:lang w:val="es-HN"/>
              </w:rPr>
            </w:pPr>
            <w:r w:rsidRPr="00DB102B">
              <w:rPr>
                <w:rFonts w:ascii="Times New Roman" w:hAnsi="Times New Roman" w:cs="Times New Roman"/>
                <w:b/>
                <w:sz w:val="20"/>
                <w:szCs w:val="20"/>
                <w:lang w:val="es-HN"/>
              </w:rPr>
              <w:t>Área de conocimiento</w:t>
            </w:r>
          </w:p>
        </w:tc>
        <w:tc>
          <w:tcPr>
            <w:tcW w:w="709" w:type="dxa"/>
          </w:tcPr>
          <w:p w14:paraId="2E3ED8CF" w14:textId="77777777" w:rsidR="003A1CF0" w:rsidRPr="00DB102B" w:rsidRDefault="003A1CF0" w:rsidP="00155A17">
            <w:pPr>
              <w:ind w:left="0" w:hanging="2"/>
              <w:jc w:val="center"/>
              <w:rPr>
                <w:rFonts w:ascii="Times New Roman" w:hAnsi="Times New Roman" w:cs="Times New Roman"/>
                <w:sz w:val="20"/>
                <w:szCs w:val="20"/>
                <w:lang w:val="es-HN"/>
              </w:rPr>
            </w:pPr>
          </w:p>
        </w:tc>
        <w:tc>
          <w:tcPr>
            <w:tcW w:w="731" w:type="dxa"/>
          </w:tcPr>
          <w:p w14:paraId="3C105551" w14:textId="77777777" w:rsidR="003A1CF0" w:rsidRPr="00DB102B" w:rsidRDefault="003A1CF0" w:rsidP="00155A17">
            <w:pPr>
              <w:ind w:left="0" w:hanging="2"/>
              <w:jc w:val="center"/>
              <w:rPr>
                <w:rFonts w:ascii="Times New Roman" w:hAnsi="Times New Roman" w:cs="Times New Roman"/>
                <w:sz w:val="20"/>
                <w:szCs w:val="20"/>
                <w:lang w:val="es-HN"/>
              </w:rPr>
            </w:pPr>
          </w:p>
        </w:tc>
        <w:tc>
          <w:tcPr>
            <w:tcW w:w="1210" w:type="dxa"/>
          </w:tcPr>
          <w:p w14:paraId="59A5CF47" w14:textId="77777777" w:rsidR="003A1CF0" w:rsidRPr="00DB102B" w:rsidRDefault="003A1CF0" w:rsidP="00155A17">
            <w:pPr>
              <w:ind w:left="0" w:hanging="2"/>
              <w:jc w:val="center"/>
              <w:rPr>
                <w:rFonts w:ascii="Times New Roman" w:hAnsi="Times New Roman" w:cs="Times New Roman"/>
                <w:sz w:val="20"/>
                <w:szCs w:val="20"/>
                <w:lang w:val="es-HN"/>
              </w:rPr>
            </w:pPr>
          </w:p>
        </w:tc>
        <w:tc>
          <w:tcPr>
            <w:tcW w:w="1331" w:type="dxa"/>
          </w:tcPr>
          <w:p w14:paraId="490DC23D" w14:textId="77777777" w:rsidR="003A1CF0" w:rsidRPr="00DB102B" w:rsidRDefault="003A1CF0" w:rsidP="00155A17">
            <w:pPr>
              <w:ind w:left="0" w:hanging="2"/>
              <w:jc w:val="center"/>
              <w:rPr>
                <w:rFonts w:ascii="Times New Roman" w:hAnsi="Times New Roman" w:cs="Times New Roman"/>
                <w:sz w:val="20"/>
                <w:szCs w:val="20"/>
                <w:lang w:val="es-HN"/>
              </w:rPr>
            </w:pPr>
          </w:p>
        </w:tc>
        <w:tc>
          <w:tcPr>
            <w:tcW w:w="1325" w:type="dxa"/>
            <w:vMerge w:val="restart"/>
          </w:tcPr>
          <w:p w14:paraId="2FE18A22" w14:textId="77777777" w:rsidR="003A1CF0" w:rsidRPr="00DB102B" w:rsidRDefault="003A1CF0" w:rsidP="00155A17">
            <w:pPr>
              <w:ind w:left="0" w:hanging="2"/>
              <w:jc w:val="center"/>
              <w:rPr>
                <w:rFonts w:ascii="Times New Roman" w:hAnsi="Times New Roman" w:cs="Times New Roman"/>
                <w:sz w:val="20"/>
                <w:szCs w:val="20"/>
                <w:lang w:val="es-HN"/>
              </w:rPr>
            </w:pPr>
          </w:p>
          <w:p w14:paraId="7A7D0A5F" w14:textId="77777777" w:rsidR="003A1CF0" w:rsidRPr="00DB102B" w:rsidRDefault="003A1CF0" w:rsidP="00155A17">
            <w:pPr>
              <w:ind w:left="0" w:hanging="2"/>
              <w:jc w:val="center"/>
              <w:rPr>
                <w:rFonts w:ascii="Times New Roman" w:hAnsi="Times New Roman" w:cs="Times New Roman"/>
                <w:sz w:val="20"/>
                <w:szCs w:val="20"/>
                <w:lang w:val="es-HN"/>
              </w:rPr>
            </w:pPr>
          </w:p>
          <w:p w14:paraId="2A03DE6A" w14:textId="2D2992ED" w:rsidR="003A1CF0" w:rsidRPr="00DB102B" w:rsidRDefault="003A1CF0" w:rsidP="00155A17">
            <w:pPr>
              <w:ind w:left="0" w:hanging="2"/>
              <w:jc w:val="center"/>
              <w:rPr>
                <w:rFonts w:ascii="Times New Roman" w:hAnsi="Times New Roman" w:cs="Times New Roman"/>
                <w:b/>
                <w:sz w:val="20"/>
                <w:szCs w:val="20"/>
                <w:lang w:val="es-HN"/>
              </w:rPr>
            </w:pPr>
            <w:r w:rsidRPr="00DB102B">
              <w:rPr>
                <w:rFonts w:ascii="Times New Roman" w:hAnsi="Times New Roman" w:cs="Times New Roman"/>
                <w:b/>
                <w:sz w:val="20"/>
                <w:szCs w:val="20"/>
                <w:lang w:val="es-HN"/>
              </w:rPr>
              <w:t>0.002</w:t>
            </w:r>
            <w:r w:rsidR="004D233C">
              <w:rPr>
                <w:rFonts w:ascii="Times New Roman" w:hAnsi="Times New Roman" w:cs="Times New Roman"/>
                <w:b/>
                <w:sz w:val="20"/>
                <w:szCs w:val="20"/>
                <w:lang w:val="es-HN"/>
              </w:rPr>
              <w:t>**</w:t>
            </w:r>
          </w:p>
        </w:tc>
      </w:tr>
      <w:tr w:rsidR="003A1CF0" w:rsidRPr="00DB102B" w14:paraId="2F6BD90F" w14:textId="77777777" w:rsidTr="007C3B46">
        <w:tc>
          <w:tcPr>
            <w:tcW w:w="3544" w:type="dxa"/>
          </w:tcPr>
          <w:p w14:paraId="32BDBDDE" w14:textId="77777777" w:rsidR="003A1CF0" w:rsidRPr="00DB102B" w:rsidRDefault="003A1CF0" w:rsidP="00155A17">
            <w:pPr>
              <w:ind w:left="0" w:hanging="2"/>
              <w:rPr>
                <w:rFonts w:ascii="Times New Roman" w:hAnsi="Times New Roman" w:cs="Times New Roman"/>
                <w:sz w:val="20"/>
                <w:szCs w:val="20"/>
                <w:lang w:val="es-HN"/>
              </w:rPr>
            </w:pPr>
            <w:r w:rsidRPr="00DB102B">
              <w:rPr>
                <w:rFonts w:ascii="Times New Roman" w:hAnsi="Times New Roman" w:cs="Times New Roman"/>
                <w:sz w:val="20"/>
                <w:szCs w:val="20"/>
                <w:lang w:val="es-HN"/>
              </w:rPr>
              <w:t>Biológicas y salud</w:t>
            </w:r>
          </w:p>
        </w:tc>
        <w:tc>
          <w:tcPr>
            <w:tcW w:w="709" w:type="dxa"/>
          </w:tcPr>
          <w:p w14:paraId="3429B668"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167</w:t>
            </w:r>
          </w:p>
        </w:tc>
        <w:tc>
          <w:tcPr>
            <w:tcW w:w="731" w:type="dxa"/>
          </w:tcPr>
          <w:p w14:paraId="3F477592"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25.6%</w:t>
            </w:r>
          </w:p>
        </w:tc>
        <w:tc>
          <w:tcPr>
            <w:tcW w:w="1210" w:type="dxa"/>
          </w:tcPr>
          <w:p w14:paraId="337627F3"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6.68</w:t>
            </w:r>
          </w:p>
        </w:tc>
        <w:tc>
          <w:tcPr>
            <w:tcW w:w="1331" w:type="dxa"/>
          </w:tcPr>
          <w:p w14:paraId="56E75ACF"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3.39</w:t>
            </w:r>
          </w:p>
        </w:tc>
        <w:tc>
          <w:tcPr>
            <w:tcW w:w="1325" w:type="dxa"/>
            <w:vMerge/>
          </w:tcPr>
          <w:p w14:paraId="0493A69F" w14:textId="77777777" w:rsidR="003A1CF0" w:rsidRPr="00DB102B" w:rsidRDefault="003A1CF0" w:rsidP="00155A17">
            <w:pPr>
              <w:ind w:left="0" w:hanging="2"/>
              <w:jc w:val="center"/>
              <w:rPr>
                <w:rFonts w:ascii="Times New Roman" w:hAnsi="Times New Roman" w:cs="Times New Roman"/>
                <w:sz w:val="20"/>
                <w:szCs w:val="20"/>
                <w:lang w:val="es-HN"/>
              </w:rPr>
            </w:pPr>
          </w:p>
        </w:tc>
      </w:tr>
      <w:tr w:rsidR="003A1CF0" w:rsidRPr="00DB102B" w14:paraId="5F8241B0" w14:textId="77777777" w:rsidTr="007C3B46">
        <w:tc>
          <w:tcPr>
            <w:tcW w:w="3544" w:type="dxa"/>
          </w:tcPr>
          <w:p w14:paraId="5772F03C" w14:textId="77777777" w:rsidR="003A1CF0" w:rsidRPr="00DB102B" w:rsidRDefault="003A1CF0" w:rsidP="00155A17">
            <w:pPr>
              <w:ind w:left="0" w:hanging="2"/>
              <w:rPr>
                <w:rFonts w:ascii="Times New Roman" w:hAnsi="Times New Roman" w:cs="Times New Roman"/>
                <w:sz w:val="20"/>
                <w:szCs w:val="20"/>
                <w:lang w:val="es-HN"/>
              </w:rPr>
            </w:pPr>
            <w:r w:rsidRPr="00DB102B">
              <w:rPr>
                <w:rFonts w:ascii="Times New Roman" w:hAnsi="Times New Roman" w:cs="Times New Roman"/>
                <w:sz w:val="20"/>
                <w:szCs w:val="20"/>
                <w:lang w:val="es-HN"/>
              </w:rPr>
              <w:t>Económicas y administrativas</w:t>
            </w:r>
          </w:p>
        </w:tc>
        <w:tc>
          <w:tcPr>
            <w:tcW w:w="709" w:type="dxa"/>
          </w:tcPr>
          <w:p w14:paraId="6F771B31"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248</w:t>
            </w:r>
          </w:p>
        </w:tc>
        <w:tc>
          <w:tcPr>
            <w:tcW w:w="731" w:type="dxa"/>
          </w:tcPr>
          <w:p w14:paraId="475B0822"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38.0%</w:t>
            </w:r>
          </w:p>
        </w:tc>
        <w:tc>
          <w:tcPr>
            <w:tcW w:w="1210" w:type="dxa"/>
          </w:tcPr>
          <w:p w14:paraId="0A53D865"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7.60</w:t>
            </w:r>
          </w:p>
        </w:tc>
        <w:tc>
          <w:tcPr>
            <w:tcW w:w="1331" w:type="dxa"/>
          </w:tcPr>
          <w:p w14:paraId="4DA15E93"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3.11</w:t>
            </w:r>
          </w:p>
        </w:tc>
        <w:tc>
          <w:tcPr>
            <w:tcW w:w="1325" w:type="dxa"/>
            <w:vMerge/>
          </w:tcPr>
          <w:p w14:paraId="42B61CF9" w14:textId="77777777" w:rsidR="003A1CF0" w:rsidRPr="00DB102B" w:rsidRDefault="003A1CF0" w:rsidP="00155A17">
            <w:pPr>
              <w:ind w:left="0" w:hanging="2"/>
              <w:jc w:val="center"/>
              <w:rPr>
                <w:rFonts w:ascii="Times New Roman" w:hAnsi="Times New Roman" w:cs="Times New Roman"/>
                <w:sz w:val="20"/>
                <w:szCs w:val="20"/>
                <w:lang w:val="es-HN"/>
              </w:rPr>
            </w:pPr>
          </w:p>
        </w:tc>
      </w:tr>
      <w:tr w:rsidR="003A1CF0" w:rsidRPr="00DB102B" w14:paraId="1BB843FE" w14:textId="77777777" w:rsidTr="007C3B46">
        <w:tc>
          <w:tcPr>
            <w:tcW w:w="3544" w:type="dxa"/>
          </w:tcPr>
          <w:p w14:paraId="231EF6D9" w14:textId="77777777" w:rsidR="003A1CF0" w:rsidRPr="00DB102B" w:rsidRDefault="003A1CF0" w:rsidP="00155A17">
            <w:pPr>
              <w:ind w:left="0" w:hanging="2"/>
              <w:rPr>
                <w:rFonts w:ascii="Times New Roman" w:hAnsi="Times New Roman" w:cs="Times New Roman"/>
                <w:sz w:val="20"/>
                <w:szCs w:val="20"/>
                <w:lang w:val="es-HN"/>
              </w:rPr>
            </w:pPr>
            <w:r w:rsidRPr="00DB102B">
              <w:rPr>
                <w:rFonts w:ascii="Times New Roman" w:hAnsi="Times New Roman" w:cs="Times New Roman"/>
                <w:sz w:val="20"/>
                <w:szCs w:val="20"/>
                <w:lang w:val="es-HN"/>
              </w:rPr>
              <w:t>Ingenierías y físico-matemáticas</w:t>
            </w:r>
          </w:p>
        </w:tc>
        <w:tc>
          <w:tcPr>
            <w:tcW w:w="709" w:type="dxa"/>
          </w:tcPr>
          <w:p w14:paraId="75F0AA9C"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112</w:t>
            </w:r>
          </w:p>
        </w:tc>
        <w:tc>
          <w:tcPr>
            <w:tcW w:w="731" w:type="dxa"/>
          </w:tcPr>
          <w:p w14:paraId="2CCE2353"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17.2%</w:t>
            </w:r>
          </w:p>
        </w:tc>
        <w:tc>
          <w:tcPr>
            <w:tcW w:w="1210" w:type="dxa"/>
          </w:tcPr>
          <w:p w14:paraId="7B2DFC58"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7.32</w:t>
            </w:r>
          </w:p>
        </w:tc>
        <w:tc>
          <w:tcPr>
            <w:tcW w:w="1331" w:type="dxa"/>
          </w:tcPr>
          <w:p w14:paraId="2E36A9F7"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3.47</w:t>
            </w:r>
          </w:p>
        </w:tc>
        <w:tc>
          <w:tcPr>
            <w:tcW w:w="1325" w:type="dxa"/>
            <w:vMerge/>
          </w:tcPr>
          <w:p w14:paraId="02233516" w14:textId="77777777" w:rsidR="003A1CF0" w:rsidRPr="00DB102B" w:rsidRDefault="003A1CF0" w:rsidP="00155A17">
            <w:pPr>
              <w:ind w:left="0" w:hanging="2"/>
              <w:jc w:val="center"/>
              <w:rPr>
                <w:rFonts w:ascii="Times New Roman" w:hAnsi="Times New Roman" w:cs="Times New Roman"/>
                <w:sz w:val="20"/>
                <w:szCs w:val="20"/>
                <w:lang w:val="es-HN"/>
              </w:rPr>
            </w:pPr>
          </w:p>
        </w:tc>
      </w:tr>
      <w:tr w:rsidR="003A1CF0" w:rsidRPr="00DB102B" w14:paraId="0A757AEB" w14:textId="77777777" w:rsidTr="007C3B46">
        <w:tc>
          <w:tcPr>
            <w:tcW w:w="3544" w:type="dxa"/>
          </w:tcPr>
          <w:p w14:paraId="07152732" w14:textId="77777777" w:rsidR="003A1CF0" w:rsidRPr="00DB102B" w:rsidRDefault="003A1CF0" w:rsidP="00155A17">
            <w:pPr>
              <w:ind w:left="0" w:hanging="2"/>
              <w:rPr>
                <w:rFonts w:ascii="Times New Roman" w:hAnsi="Times New Roman" w:cs="Times New Roman"/>
                <w:sz w:val="20"/>
                <w:szCs w:val="20"/>
                <w:lang w:val="es-HN"/>
              </w:rPr>
            </w:pPr>
            <w:r w:rsidRPr="00DB102B">
              <w:rPr>
                <w:rFonts w:ascii="Times New Roman" w:hAnsi="Times New Roman" w:cs="Times New Roman"/>
                <w:sz w:val="20"/>
                <w:szCs w:val="20"/>
                <w:lang w:val="es-HN"/>
              </w:rPr>
              <w:t>Sociales, humanidades y artes</w:t>
            </w:r>
          </w:p>
        </w:tc>
        <w:tc>
          <w:tcPr>
            <w:tcW w:w="709" w:type="dxa"/>
          </w:tcPr>
          <w:p w14:paraId="518D4AF5"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126</w:t>
            </w:r>
          </w:p>
        </w:tc>
        <w:tc>
          <w:tcPr>
            <w:tcW w:w="731" w:type="dxa"/>
          </w:tcPr>
          <w:p w14:paraId="34816FC6"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19.3%</w:t>
            </w:r>
          </w:p>
        </w:tc>
        <w:tc>
          <w:tcPr>
            <w:tcW w:w="1210" w:type="dxa"/>
          </w:tcPr>
          <w:p w14:paraId="64A9BF71"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7.20</w:t>
            </w:r>
          </w:p>
        </w:tc>
        <w:tc>
          <w:tcPr>
            <w:tcW w:w="1331" w:type="dxa"/>
          </w:tcPr>
          <w:p w14:paraId="5F223AF3"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3.27</w:t>
            </w:r>
          </w:p>
        </w:tc>
        <w:tc>
          <w:tcPr>
            <w:tcW w:w="1325" w:type="dxa"/>
            <w:vMerge/>
          </w:tcPr>
          <w:p w14:paraId="3F3C6181" w14:textId="77777777" w:rsidR="003A1CF0" w:rsidRPr="00DB102B" w:rsidRDefault="003A1CF0" w:rsidP="00155A17">
            <w:pPr>
              <w:ind w:left="0" w:hanging="2"/>
              <w:jc w:val="center"/>
              <w:rPr>
                <w:rFonts w:ascii="Times New Roman" w:hAnsi="Times New Roman" w:cs="Times New Roman"/>
                <w:sz w:val="20"/>
                <w:szCs w:val="20"/>
                <w:lang w:val="es-HN"/>
              </w:rPr>
            </w:pPr>
          </w:p>
        </w:tc>
      </w:tr>
      <w:tr w:rsidR="003A1CF0" w:rsidRPr="00DB102B" w14:paraId="6C6DF013" w14:textId="77777777" w:rsidTr="007C3B46">
        <w:tc>
          <w:tcPr>
            <w:tcW w:w="3544" w:type="dxa"/>
          </w:tcPr>
          <w:p w14:paraId="57F92FCF" w14:textId="77777777" w:rsidR="003A1CF0" w:rsidRPr="00DB102B" w:rsidRDefault="003A1CF0" w:rsidP="00155A17">
            <w:pPr>
              <w:ind w:left="0" w:hanging="2"/>
              <w:rPr>
                <w:rFonts w:ascii="Times New Roman" w:hAnsi="Times New Roman" w:cs="Times New Roman"/>
                <w:b/>
                <w:sz w:val="20"/>
                <w:szCs w:val="20"/>
                <w:lang w:val="es-HN"/>
              </w:rPr>
            </w:pPr>
            <w:r w:rsidRPr="00DB102B">
              <w:rPr>
                <w:rFonts w:ascii="Times New Roman" w:hAnsi="Times New Roman" w:cs="Times New Roman"/>
                <w:b/>
                <w:sz w:val="20"/>
                <w:szCs w:val="20"/>
                <w:lang w:val="es-HN"/>
              </w:rPr>
              <w:t>Opción de carrera de admisión</w:t>
            </w:r>
          </w:p>
        </w:tc>
        <w:tc>
          <w:tcPr>
            <w:tcW w:w="709" w:type="dxa"/>
          </w:tcPr>
          <w:p w14:paraId="0DABF903" w14:textId="77777777" w:rsidR="003A1CF0" w:rsidRPr="00DB102B" w:rsidRDefault="003A1CF0" w:rsidP="00155A17">
            <w:pPr>
              <w:ind w:left="0" w:hanging="2"/>
              <w:jc w:val="center"/>
              <w:rPr>
                <w:rFonts w:ascii="Times New Roman" w:hAnsi="Times New Roman" w:cs="Times New Roman"/>
                <w:sz w:val="20"/>
                <w:szCs w:val="20"/>
                <w:lang w:val="es-HN"/>
              </w:rPr>
            </w:pPr>
          </w:p>
        </w:tc>
        <w:tc>
          <w:tcPr>
            <w:tcW w:w="731" w:type="dxa"/>
          </w:tcPr>
          <w:p w14:paraId="197C8F48" w14:textId="77777777" w:rsidR="003A1CF0" w:rsidRPr="00DB102B" w:rsidRDefault="003A1CF0" w:rsidP="00155A17">
            <w:pPr>
              <w:ind w:left="0" w:hanging="2"/>
              <w:jc w:val="center"/>
              <w:rPr>
                <w:rFonts w:ascii="Times New Roman" w:hAnsi="Times New Roman" w:cs="Times New Roman"/>
                <w:sz w:val="20"/>
                <w:szCs w:val="20"/>
                <w:lang w:val="es-HN"/>
              </w:rPr>
            </w:pPr>
          </w:p>
        </w:tc>
        <w:tc>
          <w:tcPr>
            <w:tcW w:w="1210" w:type="dxa"/>
          </w:tcPr>
          <w:p w14:paraId="5A91708E" w14:textId="77777777" w:rsidR="003A1CF0" w:rsidRPr="00DB102B" w:rsidRDefault="003A1CF0" w:rsidP="00155A17">
            <w:pPr>
              <w:ind w:left="0" w:hanging="2"/>
              <w:jc w:val="center"/>
              <w:rPr>
                <w:rFonts w:ascii="Times New Roman" w:hAnsi="Times New Roman" w:cs="Times New Roman"/>
                <w:sz w:val="20"/>
                <w:szCs w:val="20"/>
                <w:lang w:val="es-HN"/>
              </w:rPr>
            </w:pPr>
          </w:p>
        </w:tc>
        <w:tc>
          <w:tcPr>
            <w:tcW w:w="1331" w:type="dxa"/>
          </w:tcPr>
          <w:p w14:paraId="1897E8A8" w14:textId="77777777" w:rsidR="003A1CF0" w:rsidRPr="00DB102B" w:rsidRDefault="003A1CF0" w:rsidP="00155A17">
            <w:pPr>
              <w:ind w:left="0" w:hanging="2"/>
              <w:jc w:val="center"/>
              <w:rPr>
                <w:rFonts w:ascii="Times New Roman" w:hAnsi="Times New Roman" w:cs="Times New Roman"/>
                <w:sz w:val="20"/>
                <w:szCs w:val="20"/>
                <w:lang w:val="es-HN"/>
              </w:rPr>
            </w:pPr>
          </w:p>
        </w:tc>
        <w:tc>
          <w:tcPr>
            <w:tcW w:w="1325" w:type="dxa"/>
            <w:vMerge w:val="restart"/>
          </w:tcPr>
          <w:p w14:paraId="16C52C2E" w14:textId="77777777" w:rsidR="003A1CF0" w:rsidRPr="00DB102B" w:rsidRDefault="003A1CF0" w:rsidP="00155A17">
            <w:pPr>
              <w:ind w:left="0" w:hanging="2"/>
              <w:jc w:val="center"/>
              <w:rPr>
                <w:rFonts w:ascii="Times New Roman" w:hAnsi="Times New Roman" w:cs="Times New Roman"/>
                <w:sz w:val="20"/>
                <w:szCs w:val="20"/>
                <w:lang w:val="es-HN"/>
              </w:rPr>
            </w:pPr>
          </w:p>
          <w:p w14:paraId="253CAE90" w14:textId="77777777" w:rsidR="003A1CF0" w:rsidRPr="00DB102B" w:rsidRDefault="003A1CF0" w:rsidP="00155A17">
            <w:pPr>
              <w:ind w:left="0" w:hanging="2"/>
              <w:jc w:val="center"/>
              <w:rPr>
                <w:rFonts w:ascii="Times New Roman" w:hAnsi="Times New Roman" w:cs="Times New Roman"/>
                <w:sz w:val="20"/>
                <w:szCs w:val="20"/>
                <w:lang w:val="es-HN"/>
              </w:rPr>
            </w:pPr>
          </w:p>
          <w:p w14:paraId="24019997" w14:textId="3CBF2237" w:rsidR="003A1CF0" w:rsidRPr="00DB102B" w:rsidRDefault="003A1CF0" w:rsidP="00155A17">
            <w:pPr>
              <w:ind w:left="0" w:hanging="2"/>
              <w:jc w:val="center"/>
              <w:rPr>
                <w:rFonts w:ascii="Times New Roman" w:hAnsi="Times New Roman" w:cs="Times New Roman"/>
                <w:b/>
                <w:sz w:val="20"/>
                <w:szCs w:val="20"/>
                <w:lang w:val="es-HN"/>
              </w:rPr>
            </w:pPr>
            <w:r w:rsidRPr="00DB102B">
              <w:rPr>
                <w:rFonts w:ascii="Times New Roman" w:hAnsi="Times New Roman" w:cs="Times New Roman"/>
                <w:b/>
                <w:sz w:val="20"/>
                <w:szCs w:val="20"/>
                <w:lang w:val="es-HN"/>
              </w:rPr>
              <w:t>0.001</w:t>
            </w:r>
            <w:r w:rsidR="004D233C">
              <w:rPr>
                <w:rFonts w:ascii="Times New Roman" w:hAnsi="Times New Roman" w:cs="Times New Roman"/>
                <w:b/>
                <w:sz w:val="20"/>
                <w:szCs w:val="20"/>
                <w:lang w:val="es-HN"/>
              </w:rPr>
              <w:t>**</w:t>
            </w:r>
          </w:p>
        </w:tc>
      </w:tr>
      <w:tr w:rsidR="003A1CF0" w:rsidRPr="00DB102B" w14:paraId="54F862F5" w14:textId="77777777" w:rsidTr="007C3B46">
        <w:tc>
          <w:tcPr>
            <w:tcW w:w="3544" w:type="dxa"/>
          </w:tcPr>
          <w:p w14:paraId="509FE7E9" w14:textId="77777777" w:rsidR="003A1CF0" w:rsidRPr="00DB102B" w:rsidRDefault="003A1CF0" w:rsidP="00155A17">
            <w:pPr>
              <w:ind w:left="0" w:hanging="2"/>
              <w:rPr>
                <w:rFonts w:ascii="Times New Roman" w:hAnsi="Times New Roman" w:cs="Times New Roman"/>
                <w:sz w:val="20"/>
                <w:szCs w:val="20"/>
                <w:lang w:val="es-HN"/>
              </w:rPr>
            </w:pPr>
            <w:r w:rsidRPr="00DB102B">
              <w:rPr>
                <w:rFonts w:ascii="Times New Roman" w:hAnsi="Times New Roman" w:cs="Times New Roman"/>
                <w:sz w:val="20"/>
                <w:szCs w:val="20"/>
                <w:lang w:val="es-HN"/>
              </w:rPr>
              <w:t>Primera opción</w:t>
            </w:r>
          </w:p>
        </w:tc>
        <w:tc>
          <w:tcPr>
            <w:tcW w:w="709" w:type="dxa"/>
          </w:tcPr>
          <w:p w14:paraId="2190BBC6"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415</w:t>
            </w:r>
          </w:p>
        </w:tc>
        <w:tc>
          <w:tcPr>
            <w:tcW w:w="731" w:type="dxa"/>
          </w:tcPr>
          <w:p w14:paraId="48806482"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63.6%</w:t>
            </w:r>
          </w:p>
        </w:tc>
        <w:tc>
          <w:tcPr>
            <w:tcW w:w="1210" w:type="dxa"/>
          </w:tcPr>
          <w:p w14:paraId="009CB74E"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6.70</w:t>
            </w:r>
          </w:p>
        </w:tc>
        <w:tc>
          <w:tcPr>
            <w:tcW w:w="1331" w:type="dxa"/>
          </w:tcPr>
          <w:p w14:paraId="1730EA47"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3.30</w:t>
            </w:r>
          </w:p>
        </w:tc>
        <w:tc>
          <w:tcPr>
            <w:tcW w:w="1325" w:type="dxa"/>
            <w:vMerge/>
          </w:tcPr>
          <w:p w14:paraId="4A986F73" w14:textId="77777777" w:rsidR="003A1CF0" w:rsidRPr="00DB102B" w:rsidRDefault="003A1CF0" w:rsidP="00155A17">
            <w:pPr>
              <w:ind w:left="0" w:hanging="2"/>
              <w:jc w:val="center"/>
              <w:rPr>
                <w:rFonts w:ascii="Times New Roman" w:hAnsi="Times New Roman" w:cs="Times New Roman"/>
                <w:sz w:val="20"/>
                <w:szCs w:val="20"/>
                <w:lang w:val="es-HN"/>
              </w:rPr>
            </w:pPr>
          </w:p>
        </w:tc>
      </w:tr>
      <w:tr w:rsidR="003A1CF0" w:rsidRPr="00DB102B" w14:paraId="76EFA498" w14:textId="77777777" w:rsidTr="007C3B46">
        <w:tc>
          <w:tcPr>
            <w:tcW w:w="3544" w:type="dxa"/>
          </w:tcPr>
          <w:p w14:paraId="57F940CC" w14:textId="77777777" w:rsidR="003A1CF0" w:rsidRPr="00DB102B" w:rsidRDefault="003A1CF0" w:rsidP="00155A17">
            <w:pPr>
              <w:ind w:left="0" w:hanging="2"/>
              <w:rPr>
                <w:rFonts w:ascii="Times New Roman" w:hAnsi="Times New Roman" w:cs="Times New Roman"/>
                <w:sz w:val="20"/>
                <w:szCs w:val="20"/>
                <w:lang w:val="es-HN"/>
              </w:rPr>
            </w:pPr>
            <w:r w:rsidRPr="00DB102B">
              <w:rPr>
                <w:rFonts w:ascii="Times New Roman" w:hAnsi="Times New Roman" w:cs="Times New Roman"/>
                <w:sz w:val="20"/>
                <w:szCs w:val="20"/>
                <w:lang w:val="es-HN"/>
              </w:rPr>
              <w:t>Segunda opción</w:t>
            </w:r>
          </w:p>
        </w:tc>
        <w:tc>
          <w:tcPr>
            <w:tcW w:w="709" w:type="dxa"/>
          </w:tcPr>
          <w:p w14:paraId="1037AC40"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155</w:t>
            </w:r>
          </w:p>
        </w:tc>
        <w:tc>
          <w:tcPr>
            <w:tcW w:w="731" w:type="dxa"/>
          </w:tcPr>
          <w:p w14:paraId="42D7DA6F"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23.7%</w:t>
            </w:r>
          </w:p>
        </w:tc>
        <w:tc>
          <w:tcPr>
            <w:tcW w:w="1210" w:type="dxa"/>
          </w:tcPr>
          <w:p w14:paraId="6DE39D3A"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7.99</w:t>
            </w:r>
          </w:p>
        </w:tc>
        <w:tc>
          <w:tcPr>
            <w:tcW w:w="1331" w:type="dxa"/>
          </w:tcPr>
          <w:p w14:paraId="5013B028"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2.96</w:t>
            </w:r>
          </w:p>
        </w:tc>
        <w:tc>
          <w:tcPr>
            <w:tcW w:w="1325" w:type="dxa"/>
            <w:vMerge/>
          </w:tcPr>
          <w:p w14:paraId="1E59D290" w14:textId="77777777" w:rsidR="003A1CF0" w:rsidRPr="00DB102B" w:rsidRDefault="003A1CF0" w:rsidP="00155A17">
            <w:pPr>
              <w:ind w:left="0" w:hanging="2"/>
              <w:jc w:val="center"/>
              <w:rPr>
                <w:rFonts w:ascii="Times New Roman" w:hAnsi="Times New Roman" w:cs="Times New Roman"/>
                <w:sz w:val="20"/>
                <w:szCs w:val="20"/>
                <w:lang w:val="es-HN"/>
              </w:rPr>
            </w:pPr>
          </w:p>
        </w:tc>
      </w:tr>
      <w:tr w:rsidR="003A1CF0" w:rsidRPr="00DB102B" w14:paraId="29594795" w14:textId="77777777" w:rsidTr="007C3B46">
        <w:tc>
          <w:tcPr>
            <w:tcW w:w="3544" w:type="dxa"/>
          </w:tcPr>
          <w:p w14:paraId="628A4398" w14:textId="77777777" w:rsidR="003A1CF0" w:rsidRPr="00DB102B" w:rsidRDefault="003A1CF0" w:rsidP="00155A17">
            <w:pPr>
              <w:ind w:left="0" w:hanging="2"/>
              <w:rPr>
                <w:rFonts w:ascii="Times New Roman" w:hAnsi="Times New Roman" w:cs="Times New Roman"/>
                <w:sz w:val="20"/>
                <w:szCs w:val="20"/>
                <w:lang w:val="es-HN"/>
              </w:rPr>
            </w:pPr>
            <w:r w:rsidRPr="00DB102B">
              <w:rPr>
                <w:rFonts w:ascii="Times New Roman" w:hAnsi="Times New Roman" w:cs="Times New Roman"/>
                <w:sz w:val="20"/>
                <w:szCs w:val="20"/>
                <w:lang w:val="es-HN"/>
              </w:rPr>
              <w:t>Tercera opción</w:t>
            </w:r>
          </w:p>
        </w:tc>
        <w:tc>
          <w:tcPr>
            <w:tcW w:w="709" w:type="dxa"/>
          </w:tcPr>
          <w:p w14:paraId="6D4FF91B"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57</w:t>
            </w:r>
          </w:p>
        </w:tc>
        <w:tc>
          <w:tcPr>
            <w:tcW w:w="731" w:type="dxa"/>
          </w:tcPr>
          <w:p w14:paraId="30146750"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8.7%</w:t>
            </w:r>
          </w:p>
        </w:tc>
        <w:tc>
          <w:tcPr>
            <w:tcW w:w="1210" w:type="dxa"/>
          </w:tcPr>
          <w:p w14:paraId="19CC2E20"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8.36</w:t>
            </w:r>
          </w:p>
        </w:tc>
        <w:tc>
          <w:tcPr>
            <w:tcW w:w="1331" w:type="dxa"/>
          </w:tcPr>
          <w:p w14:paraId="49122EBB"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3.21</w:t>
            </w:r>
          </w:p>
        </w:tc>
        <w:tc>
          <w:tcPr>
            <w:tcW w:w="1325" w:type="dxa"/>
            <w:vMerge/>
          </w:tcPr>
          <w:p w14:paraId="5997A31C" w14:textId="77777777" w:rsidR="003A1CF0" w:rsidRPr="00DB102B" w:rsidRDefault="003A1CF0" w:rsidP="00155A17">
            <w:pPr>
              <w:ind w:left="0" w:hanging="2"/>
              <w:jc w:val="center"/>
              <w:rPr>
                <w:rFonts w:ascii="Times New Roman" w:hAnsi="Times New Roman" w:cs="Times New Roman"/>
                <w:sz w:val="20"/>
                <w:szCs w:val="20"/>
                <w:lang w:val="es-HN"/>
              </w:rPr>
            </w:pPr>
          </w:p>
        </w:tc>
      </w:tr>
      <w:tr w:rsidR="003A1CF0" w:rsidRPr="00DB102B" w14:paraId="292CCDF7" w14:textId="77777777" w:rsidTr="007C3B46">
        <w:tc>
          <w:tcPr>
            <w:tcW w:w="3544" w:type="dxa"/>
          </w:tcPr>
          <w:p w14:paraId="611BF3DF" w14:textId="77777777" w:rsidR="003A1CF0" w:rsidRPr="00DB102B" w:rsidRDefault="003A1CF0" w:rsidP="00155A17">
            <w:pPr>
              <w:ind w:left="0" w:hanging="2"/>
              <w:rPr>
                <w:rFonts w:ascii="Times New Roman" w:hAnsi="Times New Roman" w:cs="Times New Roman"/>
                <w:sz w:val="20"/>
                <w:szCs w:val="20"/>
                <w:lang w:val="es-HN"/>
              </w:rPr>
            </w:pPr>
            <w:r w:rsidRPr="00DB102B">
              <w:rPr>
                <w:rFonts w:ascii="Times New Roman" w:hAnsi="Times New Roman" w:cs="Times New Roman"/>
                <w:sz w:val="20"/>
                <w:szCs w:val="20"/>
                <w:lang w:val="es-HN"/>
              </w:rPr>
              <w:t>Ninguna</w:t>
            </w:r>
          </w:p>
        </w:tc>
        <w:tc>
          <w:tcPr>
            <w:tcW w:w="709" w:type="dxa"/>
          </w:tcPr>
          <w:p w14:paraId="08679C90"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26</w:t>
            </w:r>
          </w:p>
        </w:tc>
        <w:tc>
          <w:tcPr>
            <w:tcW w:w="731" w:type="dxa"/>
          </w:tcPr>
          <w:p w14:paraId="09EDFF08"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4.0%</w:t>
            </w:r>
          </w:p>
        </w:tc>
        <w:tc>
          <w:tcPr>
            <w:tcW w:w="1210" w:type="dxa"/>
          </w:tcPr>
          <w:p w14:paraId="0A5D8AA9"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8.89</w:t>
            </w:r>
          </w:p>
        </w:tc>
        <w:tc>
          <w:tcPr>
            <w:tcW w:w="1331" w:type="dxa"/>
          </w:tcPr>
          <w:p w14:paraId="419D2413"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3.29</w:t>
            </w:r>
          </w:p>
        </w:tc>
        <w:tc>
          <w:tcPr>
            <w:tcW w:w="1325" w:type="dxa"/>
            <w:vMerge/>
          </w:tcPr>
          <w:p w14:paraId="447DCCF6" w14:textId="77777777" w:rsidR="003A1CF0" w:rsidRPr="00DB102B" w:rsidRDefault="003A1CF0" w:rsidP="00155A17">
            <w:pPr>
              <w:ind w:left="0" w:hanging="2"/>
              <w:jc w:val="center"/>
              <w:rPr>
                <w:rFonts w:ascii="Times New Roman" w:hAnsi="Times New Roman" w:cs="Times New Roman"/>
                <w:sz w:val="20"/>
                <w:szCs w:val="20"/>
                <w:lang w:val="es-HN"/>
              </w:rPr>
            </w:pPr>
          </w:p>
        </w:tc>
      </w:tr>
      <w:tr w:rsidR="003A1CF0" w:rsidRPr="00DB102B" w14:paraId="54767B0F" w14:textId="77777777" w:rsidTr="007C3B46">
        <w:tc>
          <w:tcPr>
            <w:tcW w:w="3544" w:type="dxa"/>
          </w:tcPr>
          <w:p w14:paraId="36E632FB" w14:textId="77777777" w:rsidR="003A1CF0" w:rsidRPr="00DB102B" w:rsidRDefault="003A1CF0" w:rsidP="00155A17">
            <w:pPr>
              <w:ind w:left="0" w:hanging="2"/>
              <w:rPr>
                <w:rFonts w:ascii="Times New Roman" w:hAnsi="Times New Roman" w:cs="Times New Roman"/>
                <w:b/>
                <w:sz w:val="20"/>
                <w:szCs w:val="20"/>
                <w:lang w:val="es-HN"/>
              </w:rPr>
            </w:pPr>
            <w:r w:rsidRPr="00DB102B">
              <w:rPr>
                <w:rFonts w:ascii="Times New Roman" w:hAnsi="Times New Roman" w:cs="Times New Roman"/>
                <w:b/>
                <w:sz w:val="20"/>
                <w:szCs w:val="20"/>
                <w:lang w:val="es-HN"/>
              </w:rPr>
              <w:t>Instituto de educación media</w:t>
            </w:r>
          </w:p>
        </w:tc>
        <w:tc>
          <w:tcPr>
            <w:tcW w:w="709" w:type="dxa"/>
          </w:tcPr>
          <w:p w14:paraId="383E8E24" w14:textId="77777777" w:rsidR="003A1CF0" w:rsidRPr="00DB102B" w:rsidRDefault="003A1CF0" w:rsidP="00155A17">
            <w:pPr>
              <w:ind w:left="0" w:hanging="2"/>
              <w:jc w:val="center"/>
              <w:rPr>
                <w:rFonts w:ascii="Times New Roman" w:hAnsi="Times New Roman" w:cs="Times New Roman"/>
                <w:sz w:val="20"/>
                <w:szCs w:val="20"/>
                <w:lang w:val="es-HN"/>
              </w:rPr>
            </w:pPr>
          </w:p>
        </w:tc>
        <w:tc>
          <w:tcPr>
            <w:tcW w:w="731" w:type="dxa"/>
          </w:tcPr>
          <w:p w14:paraId="52DFD571" w14:textId="77777777" w:rsidR="003A1CF0" w:rsidRPr="00DB102B" w:rsidRDefault="003A1CF0" w:rsidP="00155A17">
            <w:pPr>
              <w:ind w:left="0" w:hanging="2"/>
              <w:jc w:val="center"/>
              <w:rPr>
                <w:rFonts w:ascii="Times New Roman" w:hAnsi="Times New Roman" w:cs="Times New Roman"/>
                <w:sz w:val="20"/>
                <w:szCs w:val="20"/>
                <w:lang w:val="es-HN"/>
              </w:rPr>
            </w:pPr>
          </w:p>
        </w:tc>
        <w:tc>
          <w:tcPr>
            <w:tcW w:w="1210" w:type="dxa"/>
          </w:tcPr>
          <w:p w14:paraId="700C2C23" w14:textId="77777777" w:rsidR="003A1CF0" w:rsidRPr="00DB102B" w:rsidRDefault="003A1CF0" w:rsidP="00155A17">
            <w:pPr>
              <w:ind w:left="0" w:hanging="2"/>
              <w:jc w:val="center"/>
              <w:rPr>
                <w:rFonts w:ascii="Times New Roman" w:hAnsi="Times New Roman" w:cs="Times New Roman"/>
                <w:sz w:val="20"/>
                <w:szCs w:val="20"/>
                <w:lang w:val="es-HN"/>
              </w:rPr>
            </w:pPr>
          </w:p>
        </w:tc>
        <w:tc>
          <w:tcPr>
            <w:tcW w:w="1331" w:type="dxa"/>
          </w:tcPr>
          <w:p w14:paraId="1E061D9F" w14:textId="77777777" w:rsidR="003A1CF0" w:rsidRPr="00DB102B" w:rsidRDefault="003A1CF0" w:rsidP="00155A17">
            <w:pPr>
              <w:ind w:left="0" w:hanging="2"/>
              <w:jc w:val="center"/>
              <w:rPr>
                <w:rFonts w:ascii="Times New Roman" w:hAnsi="Times New Roman" w:cs="Times New Roman"/>
                <w:sz w:val="20"/>
                <w:szCs w:val="20"/>
                <w:lang w:val="es-HN"/>
              </w:rPr>
            </w:pPr>
          </w:p>
        </w:tc>
        <w:tc>
          <w:tcPr>
            <w:tcW w:w="1325" w:type="dxa"/>
            <w:vMerge w:val="restart"/>
          </w:tcPr>
          <w:p w14:paraId="6BAB2D9B" w14:textId="77777777" w:rsidR="003A1CF0" w:rsidRPr="00DB102B" w:rsidRDefault="003A1CF0" w:rsidP="00155A17">
            <w:pPr>
              <w:ind w:left="0" w:hanging="2"/>
              <w:jc w:val="center"/>
              <w:rPr>
                <w:rFonts w:ascii="Times New Roman" w:hAnsi="Times New Roman" w:cs="Times New Roman"/>
                <w:sz w:val="20"/>
                <w:szCs w:val="20"/>
                <w:lang w:val="es-HN"/>
              </w:rPr>
            </w:pPr>
          </w:p>
          <w:p w14:paraId="21019323" w14:textId="0B906E74"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0.130</w:t>
            </w:r>
            <w:r w:rsidR="004D233C">
              <w:rPr>
                <w:rFonts w:ascii="Times New Roman" w:hAnsi="Times New Roman" w:cs="Times New Roman"/>
                <w:sz w:val="20"/>
                <w:szCs w:val="20"/>
                <w:lang w:val="es-HN"/>
              </w:rPr>
              <w:t>*</w:t>
            </w:r>
          </w:p>
        </w:tc>
      </w:tr>
      <w:tr w:rsidR="003A1CF0" w:rsidRPr="00DB102B" w14:paraId="4658EEAB" w14:textId="77777777" w:rsidTr="007C3B46">
        <w:tc>
          <w:tcPr>
            <w:tcW w:w="3544" w:type="dxa"/>
          </w:tcPr>
          <w:p w14:paraId="605BC404" w14:textId="77777777" w:rsidR="003A1CF0" w:rsidRPr="00DB102B" w:rsidRDefault="003A1CF0" w:rsidP="00155A17">
            <w:pPr>
              <w:ind w:left="0" w:hanging="2"/>
              <w:rPr>
                <w:rFonts w:ascii="Times New Roman" w:hAnsi="Times New Roman" w:cs="Times New Roman"/>
                <w:sz w:val="20"/>
                <w:szCs w:val="20"/>
                <w:lang w:val="es-HN"/>
              </w:rPr>
            </w:pPr>
            <w:r w:rsidRPr="00DB102B">
              <w:rPr>
                <w:rFonts w:ascii="Times New Roman" w:hAnsi="Times New Roman" w:cs="Times New Roman"/>
                <w:sz w:val="20"/>
                <w:szCs w:val="20"/>
                <w:lang w:val="es-HN"/>
              </w:rPr>
              <w:t>Público</w:t>
            </w:r>
          </w:p>
        </w:tc>
        <w:tc>
          <w:tcPr>
            <w:tcW w:w="709" w:type="dxa"/>
          </w:tcPr>
          <w:p w14:paraId="3B7BB7ED"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348</w:t>
            </w:r>
          </w:p>
        </w:tc>
        <w:tc>
          <w:tcPr>
            <w:tcW w:w="731" w:type="dxa"/>
          </w:tcPr>
          <w:p w14:paraId="144BDD36"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53.3%</w:t>
            </w:r>
          </w:p>
        </w:tc>
        <w:tc>
          <w:tcPr>
            <w:tcW w:w="1210" w:type="dxa"/>
          </w:tcPr>
          <w:p w14:paraId="3D72197D"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7.38</w:t>
            </w:r>
          </w:p>
        </w:tc>
        <w:tc>
          <w:tcPr>
            <w:tcW w:w="1331" w:type="dxa"/>
          </w:tcPr>
          <w:p w14:paraId="5D48A514"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3.26</w:t>
            </w:r>
          </w:p>
        </w:tc>
        <w:tc>
          <w:tcPr>
            <w:tcW w:w="1325" w:type="dxa"/>
            <w:vMerge/>
          </w:tcPr>
          <w:p w14:paraId="46F1D3D8" w14:textId="77777777" w:rsidR="003A1CF0" w:rsidRPr="00DB102B" w:rsidRDefault="003A1CF0" w:rsidP="00155A17">
            <w:pPr>
              <w:ind w:left="0" w:hanging="2"/>
              <w:jc w:val="center"/>
              <w:rPr>
                <w:rFonts w:ascii="Times New Roman" w:hAnsi="Times New Roman" w:cs="Times New Roman"/>
                <w:sz w:val="20"/>
                <w:szCs w:val="20"/>
                <w:lang w:val="es-HN"/>
              </w:rPr>
            </w:pPr>
          </w:p>
        </w:tc>
      </w:tr>
      <w:tr w:rsidR="003A1CF0" w:rsidRPr="00DB102B" w14:paraId="7631591F" w14:textId="77777777" w:rsidTr="007C3B46">
        <w:tc>
          <w:tcPr>
            <w:tcW w:w="3544" w:type="dxa"/>
          </w:tcPr>
          <w:p w14:paraId="5CC8F0DC" w14:textId="77777777" w:rsidR="003A1CF0" w:rsidRPr="00DB102B" w:rsidRDefault="003A1CF0" w:rsidP="00155A17">
            <w:pPr>
              <w:ind w:left="0" w:hanging="2"/>
              <w:rPr>
                <w:rFonts w:ascii="Times New Roman" w:hAnsi="Times New Roman" w:cs="Times New Roman"/>
                <w:sz w:val="20"/>
                <w:szCs w:val="20"/>
                <w:lang w:val="es-HN"/>
              </w:rPr>
            </w:pPr>
            <w:r w:rsidRPr="00DB102B">
              <w:rPr>
                <w:rFonts w:ascii="Times New Roman" w:hAnsi="Times New Roman" w:cs="Times New Roman"/>
                <w:sz w:val="20"/>
                <w:szCs w:val="20"/>
                <w:lang w:val="es-HN"/>
              </w:rPr>
              <w:t>Privado</w:t>
            </w:r>
          </w:p>
        </w:tc>
        <w:tc>
          <w:tcPr>
            <w:tcW w:w="709" w:type="dxa"/>
          </w:tcPr>
          <w:p w14:paraId="23CD007D"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305</w:t>
            </w:r>
          </w:p>
        </w:tc>
        <w:tc>
          <w:tcPr>
            <w:tcW w:w="731" w:type="dxa"/>
          </w:tcPr>
          <w:p w14:paraId="0A9889B7"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46.7%</w:t>
            </w:r>
          </w:p>
        </w:tc>
        <w:tc>
          <w:tcPr>
            <w:tcW w:w="1210" w:type="dxa"/>
          </w:tcPr>
          <w:p w14:paraId="18E7DDD7"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7.08</w:t>
            </w:r>
          </w:p>
        </w:tc>
        <w:tc>
          <w:tcPr>
            <w:tcW w:w="1331" w:type="dxa"/>
          </w:tcPr>
          <w:p w14:paraId="123648F7"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3.33</w:t>
            </w:r>
          </w:p>
        </w:tc>
        <w:tc>
          <w:tcPr>
            <w:tcW w:w="1325" w:type="dxa"/>
            <w:vMerge/>
          </w:tcPr>
          <w:p w14:paraId="4799E6A0" w14:textId="77777777" w:rsidR="003A1CF0" w:rsidRPr="00DB102B" w:rsidRDefault="003A1CF0" w:rsidP="00155A17">
            <w:pPr>
              <w:ind w:left="0" w:hanging="2"/>
              <w:jc w:val="center"/>
              <w:rPr>
                <w:rFonts w:ascii="Times New Roman" w:hAnsi="Times New Roman" w:cs="Times New Roman"/>
                <w:sz w:val="20"/>
                <w:szCs w:val="20"/>
                <w:lang w:val="es-HN"/>
              </w:rPr>
            </w:pPr>
          </w:p>
        </w:tc>
      </w:tr>
      <w:tr w:rsidR="003A1CF0" w:rsidRPr="00DB102B" w14:paraId="4B38FC13" w14:textId="77777777" w:rsidTr="007C3B46">
        <w:tc>
          <w:tcPr>
            <w:tcW w:w="3544" w:type="dxa"/>
          </w:tcPr>
          <w:p w14:paraId="5E34E1A9" w14:textId="77777777" w:rsidR="003A1CF0" w:rsidRPr="00DB102B" w:rsidRDefault="003A1CF0" w:rsidP="00155A17">
            <w:pPr>
              <w:ind w:left="0" w:hanging="2"/>
              <w:rPr>
                <w:rFonts w:ascii="Times New Roman" w:hAnsi="Times New Roman" w:cs="Times New Roman"/>
                <w:b/>
                <w:sz w:val="20"/>
                <w:szCs w:val="20"/>
                <w:lang w:val="es-HN"/>
              </w:rPr>
            </w:pPr>
            <w:r w:rsidRPr="00DB102B">
              <w:rPr>
                <w:rFonts w:ascii="Times New Roman" w:hAnsi="Times New Roman" w:cs="Times New Roman"/>
                <w:b/>
                <w:sz w:val="20"/>
                <w:szCs w:val="20"/>
                <w:lang w:val="es-HN"/>
              </w:rPr>
              <w:t>Ocupación actual</w:t>
            </w:r>
          </w:p>
        </w:tc>
        <w:tc>
          <w:tcPr>
            <w:tcW w:w="709" w:type="dxa"/>
          </w:tcPr>
          <w:p w14:paraId="2DC203B6" w14:textId="77777777" w:rsidR="003A1CF0" w:rsidRPr="00DB102B" w:rsidRDefault="003A1CF0" w:rsidP="00155A17">
            <w:pPr>
              <w:ind w:left="0" w:hanging="2"/>
              <w:jc w:val="center"/>
              <w:rPr>
                <w:rFonts w:ascii="Times New Roman" w:hAnsi="Times New Roman" w:cs="Times New Roman"/>
                <w:sz w:val="20"/>
                <w:szCs w:val="20"/>
                <w:lang w:val="es-HN"/>
              </w:rPr>
            </w:pPr>
          </w:p>
        </w:tc>
        <w:tc>
          <w:tcPr>
            <w:tcW w:w="731" w:type="dxa"/>
          </w:tcPr>
          <w:p w14:paraId="07152580" w14:textId="77777777" w:rsidR="003A1CF0" w:rsidRPr="00DB102B" w:rsidRDefault="003A1CF0" w:rsidP="00155A17">
            <w:pPr>
              <w:ind w:left="0" w:hanging="2"/>
              <w:jc w:val="center"/>
              <w:rPr>
                <w:rFonts w:ascii="Times New Roman" w:hAnsi="Times New Roman" w:cs="Times New Roman"/>
                <w:sz w:val="20"/>
                <w:szCs w:val="20"/>
                <w:lang w:val="es-HN"/>
              </w:rPr>
            </w:pPr>
          </w:p>
        </w:tc>
        <w:tc>
          <w:tcPr>
            <w:tcW w:w="1210" w:type="dxa"/>
          </w:tcPr>
          <w:p w14:paraId="514C64CF" w14:textId="77777777" w:rsidR="003A1CF0" w:rsidRPr="00DB102B" w:rsidRDefault="003A1CF0" w:rsidP="00155A17">
            <w:pPr>
              <w:ind w:left="0" w:hanging="2"/>
              <w:jc w:val="center"/>
              <w:rPr>
                <w:rFonts w:ascii="Times New Roman" w:hAnsi="Times New Roman" w:cs="Times New Roman"/>
                <w:sz w:val="20"/>
                <w:szCs w:val="20"/>
                <w:lang w:val="es-HN"/>
              </w:rPr>
            </w:pPr>
          </w:p>
        </w:tc>
        <w:tc>
          <w:tcPr>
            <w:tcW w:w="1331" w:type="dxa"/>
          </w:tcPr>
          <w:p w14:paraId="7AC433B6" w14:textId="77777777" w:rsidR="003A1CF0" w:rsidRPr="00DB102B" w:rsidRDefault="003A1CF0" w:rsidP="00155A17">
            <w:pPr>
              <w:ind w:left="0" w:hanging="2"/>
              <w:jc w:val="center"/>
              <w:rPr>
                <w:rFonts w:ascii="Times New Roman" w:hAnsi="Times New Roman" w:cs="Times New Roman"/>
                <w:sz w:val="20"/>
                <w:szCs w:val="20"/>
                <w:lang w:val="es-HN"/>
              </w:rPr>
            </w:pPr>
          </w:p>
        </w:tc>
        <w:tc>
          <w:tcPr>
            <w:tcW w:w="1325" w:type="dxa"/>
            <w:vMerge w:val="restart"/>
          </w:tcPr>
          <w:p w14:paraId="5400B724" w14:textId="77777777" w:rsidR="003A1CF0" w:rsidRPr="00DB102B" w:rsidRDefault="003A1CF0" w:rsidP="00155A17">
            <w:pPr>
              <w:ind w:left="0" w:hanging="2"/>
              <w:jc w:val="center"/>
              <w:rPr>
                <w:rFonts w:ascii="Times New Roman" w:hAnsi="Times New Roman" w:cs="Times New Roman"/>
                <w:sz w:val="20"/>
                <w:szCs w:val="20"/>
                <w:lang w:val="es-HN"/>
              </w:rPr>
            </w:pPr>
          </w:p>
          <w:p w14:paraId="3A7EBAD1" w14:textId="77777777" w:rsidR="003A1CF0" w:rsidRPr="00DB102B" w:rsidRDefault="003A1CF0" w:rsidP="00155A17">
            <w:pPr>
              <w:ind w:left="0" w:hanging="2"/>
              <w:jc w:val="center"/>
              <w:rPr>
                <w:rFonts w:ascii="Times New Roman" w:hAnsi="Times New Roman" w:cs="Times New Roman"/>
                <w:sz w:val="20"/>
                <w:szCs w:val="20"/>
                <w:lang w:val="es-HN"/>
              </w:rPr>
            </w:pPr>
          </w:p>
          <w:p w14:paraId="2AD1BC7E" w14:textId="319357AE"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0.528</w:t>
            </w:r>
            <w:r w:rsidR="004D233C">
              <w:rPr>
                <w:rFonts w:ascii="Times New Roman" w:hAnsi="Times New Roman" w:cs="Times New Roman"/>
                <w:sz w:val="20"/>
                <w:szCs w:val="20"/>
                <w:lang w:val="es-HN"/>
              </w:rPr>
              <w:t>**</w:t>
            </w:r>
          </w:p>
        </w:tc>
      </w:tr>
      <w:tr w:rsidR="003A1CF0" w:rsidRPr="00DB102B" w14:paraId="6E7E924B" w14:textId="77777777" w:rsidTr="007C3B46">
        <w:tc>
          <w:tcPr>
            <w:tcW w:w="3544" w:type="dxa"/>
          </w:tcPr>
          <w:p w14:paraId="642B379F" w14:textId="77777777" w:rsidR="003A1CF0" w:rsidRPr="00DB102B" w:rsidRDefault="003A1CF0" w:rsidP="00155A17">
            <w:pPr>
              <w:ind w:left="0" w:hanging="2"/>
              <w:rPr>
                <w:rFonts w:ascii="Times New Roman" w:hAnsi="Times New Roman" w:cs="Times New Roman"/>
                <w:sz w:val="20"/>
                <w:szCs w:val="20"/>
                <w:lang w:val="es-HN"/>
              </w:rPr>
            </w:pPr>
            <w:r w:rsidRPr="00DB102B">
              <w:rPr>
                <w:rFonts w:ascii="Times New Roman" w:hAnsi="Times New Roman" w:cs="Times New Roman"/>
                <w:sz w:val="20"/>
                <w:szCs w:val="20"/>
                <w:lang w:val="es-HN"/>
              </w:rPr>
              <w:t>Estudiante medio tiempo (no trabaja)</w:t>
            </w:r>
          </w:p>
        </w:tc>
        <w:tc>
          <w:tcPr>
            <w:tcW w:w="709" w:type="dxa"/>
          </w:tcPr>
          <w:p w14:paraId="6901BCFB"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60</w:t>
            </w:r>
          </w:p>
        </w:tc>
        <w:tc>
          <w:tcPr>
            <w:tcW w:w="731" w:type="dxa"/>
          </w:tcPr>
          <w:p w14:paraId="02BBCA72"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9.2%</w:t>
            </w:r>
          </w:p>
        </w:tc>
        <w:tc>
          <w:tcPr>
            <w:tcW w:w="1210" w:type="dxa"/>
          </w:tcPr>
          <w:p w14:paraId="7952220C"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7.32</w:t>
            </w:r>
          </w:p>
        </w:tc>
        <w:tc>
          <w:tcPr>
            <w:tcW w:w="1331" w:type="dxa"/>
          </w:tcPr>
          <w:p w14:paraId="5EF10DC3"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3.84</w:t>
            </w:r>
          </w:p>
        </w:tc>
        <w:tc>
          <w:tcPr>
            <w:tcW w:w="1325" w:type="dxa"/>
            <w:vMerge/>
          </w:tcPr>
          <w:p w14:paraId="60A9D5DE" w14:textId="77777777" w:rsidR="003A1CF0" w:rsidRPr="00DB102B" w:rsidRDefault="003A1CF0" w:rsidP="00155A17">
            <w:pPr>
              <w:ind w:left="0" w:hanging="2"/>
              <w:jc w:val="center"/>
              <w:rPr>
                <w:rFonts w:ascii="Times New Roman" w:hAnsi="Times New Roman" w:cs="Times New Roman"/>
                <w:sz w:val="20"/>
                <w:szCs w:val="20"/>
                <w:lang w:val="es-HN"/>
              </w:rPr>
            </w:pPr>
          </w:p>
        </w:tc>
      </w:tr>
      <w:tr w:rsidR="003A1CF0" w:rsidRPr="00DB102B" w14:paraId="06336E4F" w14:textId="77777777" w:rsidTr="007C3B46">
        <w:tc>
          <w:tcPr>
            <w:tcW w:w="3544" w:type="dxa"/>
          </w:tcPr>
          <w:p w14:paraId="08BF2FA0" w14:textId="77777777" w:rsidR="003A1CF0" w:rsidRPr="00DB102B" w:rsidRDefault="003A1CF0" w:rsidP="00155A17">
            <w:pPr>
              <w:ind w:left="0" w:hanging="2"/>
              <w:rPr>
                <w:rFonts w:ascii="Times New Roman" w:hAnsi="Times New Roman" w:cs="Times New Roman"/>
                <w:sz w:val="20"/>
                <w:szCs w:val="20"/>
                <w:lang w:val="es-HN"/>
              </w:rPr>
            </w:pPr>
            <w:r w:rsidRPr="00DB102B">
              <w:rPr>
                <w:rFonts w:ascii="Times New Roman" w:hAnsi="Times New Roman" w:cs="Times New Roman"/>
                <w:sz w:val="20"/>
                <w:szCs w:val="20"/>
                <w:lang w:val="es-HN"/>
              </w:rPr>
              <w:t>Estudiante tiempo completo (no trabaja)</w:t>
            </w:r>
          </w:p>
        </w:tc>
        <w:tc>
          <w:tcPr>
            <w:tcW w:w="709" w:type="dxa"/>
          </w:tcPr>
          <w:p w14:paraId="2992C1A7"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530</w:t>
            </w:r>
          </w:p>
        </w:tc>
        <w:tc>
          <w:tcPr>
            <w:tcW w:w="731" w:type="dxa"/>
          </w:tcPr>
          <w:p w14:paraId="7E1BE3CE"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81.2%</w:t>
            </w:r>
          </w:p>
        </w:tc>
        <w:tc>
          <w:tcPr>
            <w:tcW w:w="1210" w:type="dxa"/>
          </w:tcPr>
          <w:p w14:paraId="0EFF4243"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7.14</w:t>
            </w:r>
          </w:p>
        </w:tc>
        <w:tc>
          <w:tcPr>
            <w:tcW w:w="1331" w:type="dxa"/>
          </w:tcPr>
          <w:p w14:paraId="719DB185"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3.15</w:t>
            </w:r>
          </w:p>
        </w:tc>
        <w:tc>
          <w:tcPr>
            <w:tcW w:w="1325" w:type="dxa"/>
            <w:vMerge/>
          </w:tcPr>
          <w:p w14:paraId="49B02976" w14:textId="77777777" w:rsidR="003A1CF0" w:rsidRPr="00DB102B" w:rsidRDefault="003A1CF0" w:rsidP="00155A17">
            <w:pPr>
              <w:ind w:left="0" w:hanging="2"/>
              <w:jc w:val="center"/>
              <w:rPr>
                <w:rFonts w:ascii="Times New Roman" w:hAnsi="Times New Roman" w:cs="Times New Roman"/>
                <w:sz w:val="20"/>
                <w:szCs w:val="20"/>
                <w:lang w:val="es-HN"/>
              </w:rPr>
            </w:pPr>
          </w:p>
        </w:tc>
      </w:tr>
      <w:tr w:rsidR="003A1CF0" w:rsidRPr="00DB102B" w14:paraId="10D9C53A" w14:textId="77777777" w:rsidTr="007C3B46">
        <w:tc>
          <w:tcPr>
            <w:tcW w:w="3544" w:type="dxa"/>
          </w:tcPr>
          <w:p w14:paraId="7E1B8963" w14:textId="77777777" w:rsidR="003A1CF0" w:rsidRPr="00DB102B" w:rsidRDefault="003A1CF0" w:rsidP="00155A17">
            <w:pPr>
              <w:ind w:left="0" w:hanging="2"/>
              <w:rPr>
                <w:rFonts w:ascii="Times New Roman" w:hAnsi="Times New Roman" w:cs="Times New Roman"/>
                <w:sz w:val="20"/>
                <w:szCs w:val="20"/>
                <w:lang w:val="es-HN"/>
              </w:rPr>
            </w:pPr>
            <w:r w:rsidRPr="00DB102B">
              <w:rPr>
                <w:rFonts w:ascii="Times New Roman" w:hAnsi="Times New Roman" w:cs="Times New Roman"/>
                <w:sz w:val="20"/>
                <w:szCs w:val="20"/>
                <w:lang w:val="es-HN"/>
              </w:rPr>
              <w:t>Trabaja medio tiempo</w:t>
            </w:r>
          </w:p>
        </w:tc>
        <w:tc>
          <w:tcPr>
            <w:tcW w:w="709" w:type="dxa"/>
          </w:tcPr>
          <w:p w14:paraId="0172A01E"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32</w:t>
            </w:r>
          </w:p>
        </w:tc>
        <w:tc>
          <w:tcPr>
            <w:tcW w:w="731" w:type="dxa"/>
          </w:tcPr>
          <w:p w14:paraId="257549D6"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4.9%</w:t>
            </w:r>
          </w:p>
        </w:tc>
        <w:tc>
          <w:tcPr>
            <w:tcW w:w="1210" w:type="dxa"/>
          </w:tcPr>
          <w:p w14:paraId="1F9E4D4B"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8.06</w:t>
            </w:r>
          </w:p>
        </w:tc>
        <w:tc>
          <w:tcPr>
            <w:tcW w:w="1331" w:type="dxa"/>
          </w:tcPr>
          <w:p w14:paraId="1707FE38"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3.55</w:t>
            </w:r>
          </w:p>
        </w:tc>
        <w:tc>
          <w:tcPr>
            <w:tcW w:w="1325" w:type="dxa"/>
            <w:vMerge/>
          </w:tcPr>
          <w:p w14:paraId="28B05C83" w14:textId="77777777" w:rsidR="003A1CF0" w:rsidRPr="00DB102B" w:rsidRDefault="003A1CF0" w:rsidP="00155A17">
            <w:pPr>
              <w:ind w:left="0" w:hanging="2"/>
              <w:jc w:val="center"/>
              <w:rPr>
                <w:rFonts w:ascii="Times New Roman" w:hAnsi="Times New Roman" w:cs="Times New Roman"/>
                <w:sz w:val="20"/>
                <w:szCs w:val="20"/>
                <w:lang w:val="es-HN"/>
              </w:rPr>
            </w:pPr>
          </w:p>
        </w:tc>
      </w:tr>
      <w:tr w:rsidR="003A1CF0" w:rsidRPr="00DB102B" w14:paraId="35C74009" w14:textId="77777777" w:rsidTr="007C3B46">
        <w:tc>
          <w:tcPr>
            <w:tcW w:w="3544" w:type="dxa"/>
          </w:tcPr>
          <w:p w14:paraId="0D7003AC" w14:textId="77777777" w:rsidR="003A1CF0" w:rsidRPr="00DB102B" w:rsidRDefault="003A1CF0" w:rsidP="00155A17">
            <w:pPr>
              <w:ind w:left="0" w:hanging="2"/>
              <w:rPr>
                <w:rFonts w:ascii="Times New Roman" w:hAnsi="Times New Roman" w:cs="Times New Roman"/>
                <w:sz w:val="20"/>
                <w:szCs w:val="20"/>
                <w:lang w:val="es-HN"/>
              </w:rPr>
            </w:pPr>
            <w:r w:rsidRPr="00DB102B">
              <w:rPr>
                <w:rFonts w:ascii="Times New Roman" w:hAnsi="Times New Roman" w:cs="Times New Roman"/>
                <w:sz w:val="20"/>
                <w:szCs w:val="20"/>
                <w:lang w:val="es-HN"/>
              </w:rPr>
              <w:t>Trabaja a tiempo completo</w:t>
            </w:r>
          </w:p>
        </w:tc>
        <w:tc>
          <w:tcPr>
            <w:tcW w:w="709" w:type="dxa"/>
          </w:tcPr>
          <w:p w14:paraId="1D49A528"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31</w:t>
            </w:r>
          </w:p>
        </w:tc>
        <w:tc>
          <w:tcPr>
            <w:tcW w:w="731" w:type="dxa"/>
          </w:tcPr>
          <w:p w14:paraId="2D51AC30"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4.7%</w:t>
            </w:r>
          </w:p>
        </w:tc>
        <w:tc>
          <w:tcPr>
            <w:tcW w:w="1210" w:type="dxa"/>
          </w:tcPr>
          <w:p w14:paraId="3147758F"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7.84</w:t>
            </w:r>
          </w:p>
        </w:tc>
        <w:tc>
          <w:tcPr>
            <w:tcW w:w="1331" w:type="dxa"/>
          </w:tcPr>
          <w:p w14:paraId="1D75AF0E"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4.08</w:t>
            </w:r>
          </w:p>
        </w:tc>
        <w:tc>
          <w:tcPr>
            <w:tcW w:w="1325" w:type="dxa"/>
            <w:vMerge/>
          </w:tcPr>
          <w:p w14:paraId="46C95B7A" w14:textId="77777777" w:rsidR="003A1CF0" w:rsidRPr="00DB102B" w:rsidRDefault="003A1CF0" w:rsidP="00155A17">
            <w:pPr>
              <w:ind w:left="0" w:hanging="2"/>
              <w:jc w:val="center"/>
              <w:rPr>
                <w:rFonts w:ascii="Times New Roman" w:hAnsi="Times New Roman" w:cs="Times New Roman"/>
                <w:sz w:val="20"/>
                <w:szCs w:val="20"/>
                <w:lang w:val="es-HN"/>
              </w:rPr>
            </w:pPr>
          </w:p>
        </w:tc>
      </w:tr>
      <w:tr w:rsidR="003A1CF0" w:rsidRPr="00DB102B" w14:paraId="53D4472A" w14:textId="77777777" w:rsidTr="007C3B46">
        <w:tc>
          <w:tcPr>
            <w:tcW w:w="3544" w:type="dxa"/>
          </w:tcPr>
          <w:p w14:paraId="37F059DC" w14:textId="77777777" w:rsidR="003A1CF0" w:rsidRPr="00DB102B" w:rsidRDefault="003A1CF0" w:rsidP="00155A17">
            <w:pPr>
              <w:ind w:left="0" w:hanging="2"/>
              <w:rPr>
                <w:rFonts w:ascii="Times New Roman" w:hAnsi="Times New Roman" w:cs="Times New Roman"/>
                <w:b/>
                <w:sz w:val="20"/>
                <w:szCs w:val="20"/>
                <w:lang w:val="es-HN"/>
              </w:rPr>
            </w:pPr>
            <w:r w:rsidRPr="00DB102B">
              <w:rPr>
                <w:rFonts w:ascii="Times New Roman" w:hAnsi="Times New Roman" w:cs="Times New Roman"/>
                <w:b/>
                <w:sz w:val="20"/>
                <w:szCs w:val="20"/>
                <w:lang w:val="es-HN"/>
              </w:rPr>
              <w:t>Ingreso mensual en núcleo familiar</w:t>
            </w:r>
          </w:p>
        </w:tc>
        <w:tc>
          <w:tcPr>
            <w:tcW w:w="709" w:type="dxa"/>
          </w:tcPr>
          <w:p w14:paraId="1AB4166E" w14:textId="77777777" w:rsidR="003A1CF0" w:rsidRPr="00DB102B" w:rsidRDefault="003A1CF0" w:rsidP="00155A17">
            <w:pPr>
              <w:ind w:left="0" w:hanging="2"/>
              <w:jc w:val="center"/>
              <w:rPr>
                <w:rFonts w:ascii="Times New Roman" w:hAnsi="Times New Roman" w:cs="Times New Roman"/>
                <w:sz w:val="20"/>
                <w:szCs w:val="20"/>
                <w:lang w:val="es-HN"/>
              </w:rPr>
            </w:pPr>
          </w:p>
        </w:tc>
        <w:tc>
          <w:tcPr>
            <w:tcW w:w="731" w:type="dxa"/>
          </w:tcPr>
          <w:p w14:paraId="09CD34B5" w14:textId="77777777" w:rsidR="003A1CF0" w:rsidRPr="00DB102B" w:rsidRDefault="003A1CF0" w:rsidP="00155A17">
            <w:pPr>
              <w:ind w:left="0" w:hanging="2"/>
              <w:jc w:val="center"/>
              <w:rPr>
                <w:rFonts w:ascii="Times New Roman" w:hAnsi="Times New Roman" w:cs="Times New Roman"/>
                <w:sz w:val="20"/>
                <w:szCs w:val="20"/>
                <w:lang w:val="es-HN"/>
              </w:rPr>
            </w:pPr>
          </w:p>
        </w:tc>
        <w:tc>
          <w:tcPr>
            <w:tcW w:w="1210" w:type="dxa"/>
          </w:tcPr>
          <w:p w14:paraId="206BC6D1" w14:textId="77777777" w:rsidR="003A1CF0" w:rsidRPr="00DB102B" w:rsidRDefault="003A1CF0" w:rsidP="00155A17">
            <w:pPr>
              <w:ind w:left="0" w:hanging="2"/>
              <w:jc w:val="center"/>
              <w:rPr>
                <w:rFonts w:ascii="Times New Roman" w:hAnsi="Times New Roman" w:cs="Times New Roman"/>
                <w:sz w:val="20"/>
                <w:szCs w:val="20"/>
                <w:lang w:val="es-HN"/>
              </w:rPr>
            </w:pPr>
          </w:p>
        </w:tc>
        <w:tc>
          <w:tcPr>
            <w:tcW w:w="1331" w:type="dxa"/>
          </w:tcPr>
          <w:p w14:paraId="61B70934" w14:textId="77777777" w:rsidR="003A1CF0" w:rsidRPr="00DB102B" w:rsidRDefault="003A1CF0" w:rsidP="00155A17">
            <w:pPr>
              <w:ind w:left="0" w:hanging="2"/>
              <w:jc w:val="center"/>
              <w:rPr>
                <w:rFonts w:ascii="Times New Roman" w:hAnsi="Times New Roman" w:cs="Times New Roman"/>
                <w:sz w:val="20"/>
                <w:szCs w:val="20"/>
                <w:lang w:val="es-HN"/>
              </w:rPr>
            </w:pPr>
          </w:p>
        </w:tc>
        <w:tc>
          <w:tcPr>
            <w:tcW w:w="1325" w:type="dxa"/>
            <w:vMerge w:val="restart"/>
          </w:tcPr>
          <w:p w14:paraId="45E90275" w14:textId="77777777" w:rsidR="003A1CF0" w:rsidRPr="00DB102B" w:rsidRDefault="003A1CF0" w:rsidP="00155A17">
            <w:pPr>
              <w:ind w:left="0" w:hanging="2"/>
              <w:jc w:val="center"/>
              <w:rPr>
                <w:rFonts w:ascii="Times New Roman" w:hAnsi="Times New Roman" w:cs="Times New Roman"/>
                <w:sz w:val="20"/>
                <w:szCs w:val="20"/>
                <w:lang w:val="es-HN"/>
              </w:rPr>
            </w:pPr>
          </w:p>
          <w:p w14:paraId="171011EE" w14:textId="77777777" w:rsidR="003A1CF0" w:rsidRPr="00DB102B" w:rsidRDefault="003A1CF0" w:rsidP="00155A17">
            <w:pPr>
              <w:ind w:left="0" w:hanging="2"/>
              <w:jc w:val="center"/>
              <w:rPr>
                <w:rFonts w:ascii="Times New Roman" w:hAnsi="Times New Roman" w:cs="Times New Roman"/>
                <w:sz w:val="20"/>
                <w:szCs w:val="20"/>
                <w:lang w:val="es-HN"/>
              </w:rPr>
            </w:pPr>
          </w:p>
          <w:p w14:paraId="5E8C9F9E" w14:textId="5806DD8A"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0.080</w:t>
            </w:r>
            <w:r w:rsidR="004D233C">
              <w:rPr>
                <w:rFonts w:ascii="Times New Roman" w:hAnsi="Times New Roman" w:cs="Times New Roman"/>
                <w:sz w:val="20"/>
                <w:szCs w:val="20"/>
                <w:lang w:val="es-HN"/>
              </w:rPr>
              <w:t>**</w:t>
            </w:r>
          </w:p>
        </w:tc>
      </w:tr>
      <w:tr w:rsidR="003A1CF0" w:rsidRPr="00DB102B" w14:paraId="1B406591" w14:textId="77777777" w:rsidTr="007C3B46">
        <w:tc>
          <w:tcPr>
            <w:tcW w:w="3544" w:type="dxa"/>
          </w:tcPr>
          <w:p w14:paraId="11BAFD23" w14:textId="77777777" w:rsidR="003A1CF0" w:rsidRPr="00DB102B" w:rsidRDefault="003A1CF0" w:rsidP="00155A17">
            <w:pPr>
              <w:ind w:left="0" w:hanging="2"/>
              <w:rPr>
                <w:rFonts w:ascii="Times New Roman" w:hAnsi="Times New Roman" w:cs="Times New Roman"/>
                <w:sz w:val="20"/>
                <w:szCs w:val="20"/>
                <w:lang w:val="es-HN"/>
              </w:rPr>
            </w:pPr>
            <w:r w:rsidRPr="00DB102B">
              <w:rPr>
                <w:rFonts w:ascii="Times New Roman" w:hAnsi="Times New Roman" w:cs="Times New Roman"/>
                <w:sz w:val="20"/>
                <w:szCs w:val="20"/>
                <w:lang w:val="es-HN"/>
              </w:rPr>
              <w:t>Menor a un salario mínimo</w:t>
            </w:r>
          </w:p>
        </w:tc>
        <w:tc>
          <w:tcPr>
            <w:tcW w:w="709" w:type="dxa"/>
          </w:tcPr>
          <w:p w14:paraId="4D8DEA40"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255</w:t>
            </w:r>
          </w:p>
        </w:tc>
        <w:tc>
          <w:tcPr>
            <w:tcW w:w="731" w:type="dxa"/>
          </w:tcPr>
          <w:p w14:paraId="58607E7A"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39.0%</w:t>
            </w:r>
          </w:p>
        </w:tc>
        <w:tc>
          <w:tcPr>
            <w:tcW w:w="1210" w:type="dxa"/>
          </w:tcPr>
          <w:p w14:paraId="08E0F760"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7.66</w:t>
            </w:r>
          </w:p>
        </w:tc>
        <w:tc>
          <w:tcPr>
            <w:tcW w:w="1331" w:type="dxa"/>
          </w:tcPr>
          <w:p w14:paraId="397EC450"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3.32</w:t>
            </w:r>
          </w:p>
        </w:tc>
        <w:tc>
          <w:tcPr>
            <w:tcW w:w="1325" w:type="dxa"/>
            <w:vMerge/>
          </w:tcPr>
          <w:p w14:paraId="4F3E11DF" w14:textId="77777777" w:rsidR="003A1CF0" w:rsidRPr="00DB102B" w:rsidRDefault="003A1CF0" w:rsidP="00155A17">
            <w:pPr>
              <w:ind w:left="0" w:hanging="2"/>
              <w:jc w:val="center"/>
              <w:rPr>
                <w:rFonts w:ascii="Times New Roman" w:hAnsi="Times New Roman" w:cs="Times New Roman"/>
                <w:sz w:val="20"/>
                <w:szCs w:val="20"/>
                <w:lang w:val="es-HN"/>
              </w:rPr>
            </w:pPr>
          </w:p>
        </w:tc>
      </w:tr>
      <w:tr w:rsidR="003A1CF0" w:rsidRPr="00DB102B" w14:paraId="3A5102E6" w14:textId="77777777" w:rsidTr="007C3B46">
        <w:tc>
          <w:tcPr>
            <w:tcW w:w="3544" w:type="dxa"/>
          </w:tcPr>
          <w:p w14:paraId="10851F14" w14:textId="77777777" w:rsidR="003A1CF0" w:rsidRPr="00DB102B" w:rsidRDefault="003A1CF0" w:rsidP="00155A17">
            <w:pPr>
              <w:ind w:left="0" w:hanging="2"/>
              <w:rPr>
                <w:rFonts w:ascii="Times New Roman" w:hAnsi="Times New Roman" w:cs="Times New Roman"/>
                <w:sz w:val="20"/>
                <w:szCs w:val="20"/>
                <w:lang w:val="es-HN"/>
              </w:rPr>
            </w:pPr>
            <w:r w:rsidRPr="00DB102B">
              <w:rPr>
                <w:rFonts w:ascii="Times New Roman" w:hAnsi="Times New Roman" w:cs="Times New Roman"/>
                <w:sz w:val="20"/>
                <w:szCs w:val="20"/>
                <w:lang w:val="es-HN"/>
              </w:rPr>
              <w:t>Un salario mínimo</w:t>
            </w:r>
          </w:p>
        </w:tc>
        <w:tc>
          <w:tcPr>
            <w:tcW w:w="709" w:type="dxa"/>
          </w:tcPr>
          <w:p w14:paraId="5E060CF8"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156</w:t>
            </w:r>
          </w:p>
        </w:tc>
        <w:tc>
          <w:tcPr>
            <w:tcW w:w="731" w:type="dxa"/>
          </w:tcPr>
          <w:p w14:paraId="292C639B"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23.9%</w:t>
            </w:r>
          </w:p>
        </w:tc>
        <w:tc>
          <w:tcPr>
            <w:tcW w:w="1210" w:type="dxa"/>
          </w:tcPr>
          <w:p w14:paraId="26F5FF29"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7.10</w:t>
            </w:r>
          </w:p>
        </w:tc>
        <w:tc>
          <w:tcPr>
            <w:tcW w:w="1331" w:type="dxa"/>
          </w:tcPr>
          <w:p w14:paraId="464A972B"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3.21</w:t>
            </w:r>
          </w:p>
        </w:tc>
        <w:tc>
          <w:tcPr>
            <w:tcW w:w="1325" w:type="dxa"/>
            <w:vMerge/>
          </w:tcPr>
          <w:p w14:paraId="36962D34" w14:textId="77777777" w:rsidR="003A1CF0" w:rsidRPr="00DB102B" w:rsidRDefault="003A1CF0" w:rsidP="00155A17">
            <w:pPr>
              <w:ind w:left="0" w:hanging="2"/>
              <w:jc w:val="center"/>
              <w:rPr>
                <w:rFonts w:ascii="Times New Roman" w:hAnsi="Times New Roman" w:cs="Times New Roman"/>
                <w:sz w:val="20"/>
                <w:szCs w:val="20"/>
                <w:lang w:val="es-HN"/>
              </w:rPr>
            </w:pPr>
          </w:p>
        </w:tc>
      </w:tr>
      <w:tr w:rsidR="003A1CF0" w:rsidRPr="00DB102B" w14:paraId="2C9B4E71" w14:textId="77777777" w:rsidTr="007C3B46">
        <w:tc>
          <w:tcPr>
            <w:tcW w:w="3544" w:type="dxa"/>
          </w:tcPr>
          <w:p w14:paraId="50E917AE" w14:textId="77777777" w:rsidR="003A1CF0" w:rsidRPr="00DB102B" w:rsidRDefault="003A1CF0" w:rsidP="00155A17">
            <w:pPr>
              <w:ind w:left="0" w:hanging="2"/>
              <w:rPr>
                <w:rFonts w:ascii="Times New Roman" w:hAnsi="Times New Roman" w:cs="Times New Roman"/>
                <w:sz w:val="20"/>
                <w:szCs w:val="20"/>
                <w:lang w:val="es-HN"/>
              </w:rPr>
            </w:pPr>
            <w:r w:rsidRPr="00DB102B">
              <w:rPr>
                <w:rFonts w:ascii="Times New Roman" w:hAnsi="Times New Roman" w:cs="Times New Roman"/>
                <w:sz w:val="20"/>
                <w:szCs w:val="20"/>
                <w:lang w:val="es-HN"/>
              </w:rPr>
              <w:t>Dos salarios mínimos</w:t>
            </w:r>
          </w:p>
        </w:tc>
        <w:tc>
          <w:tcPr>
            <w:tcW w:w="709" w:type="dxa"/>
          </w:tcPr>
          <w:p w14:paraId="193E5E28"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158</w:t>
            </w:r>
          </w:p>
        </w:tc>
        <w:tc>
          <w:tcPr>
            <w:tcW w:w="731" w:type="dxa"/>
          </w:tcPr>
          <w:p w14:paraId="08AEE63F"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24.2%</w:t>
            </w:r>
          </w:p>
        </w:tc>
        <w:tc>
          <w:tcPr>
            <w:tcW w:w="1210" w:type="dxa"/>
          </w:tcPr>
          <w:p w14:paraId="38C3BDD4"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6.60</w:t>
            </w:r>
          </w:p>
        </w:tc>
        <w:tc>
          <w:tcPr>
            <w:tcW w:w="1331" w:type="dxa"/>
          </w:tcPr>
          <w:p w14:paraId="485637AC"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2.95</w:t>
            </w:r>
          </w:p>
        </w:tc>
        <w:tc>
          <w:tcPr>
            <w:tcW w:w="1325" w:type="dxa"/>
            <w:vMerge/>
          </w:tcPr>
          <w:p w14:paraId="2EA28A2B" w14:textId="77777777" w:rsidR="003A1CF0" w:rsidRPr="00DB102B" w:rsidRDefault="003A1CF0" w:rsidP="00155A17">
            <w:pPr>
              <w:ind w:left="0" w:hanging="2"/>
              <w:jc w:val="center"/>
              <w:rPr>
                <w:rFonts w:ascii="Times New Roman" w:hAnsi="Times New Roman" w:cs="Times New Roman"/>
                <w:sz w:val="20"/>
                <w:szCs w:val="20"/>
                <w:lang w:val="es-HN"/>
              </w:rPr>
            </w:pPr>
          </w:p>
        </w:tc>
      </w:tr>
      <w:tr w:rsidR="003A1CF0" w:rsidRPr="00DB102B" w14:paraId="371DEBEC" w14:textId="77777777" w:rsidTr="007C3B46">
        <w:tc>
          <w:tcPr>
            <w:tcW w:w="3544" w:type="dxa"/>
          </w:tcPr>
          <w:p w14:paraId="5D1D0F14" w14:textId="77777777" w:rsidR="003A1CF0" w:rsidRPr="00DB102B" w:rsidRDefault="003A1CF0" w:rsidP="00155A17">
            <w:pPr>
              <w:ind w:left="0" w:hanging="2"/>
              <w:rPr>
                <w:rFonts w:ascii="Times New Roman" w:hAnsi="Times New Roman" w:cs="Times New Roman"/>
                <w:sz w:val="20"/>
                <w:szCs w:val="20"/>
                <w:lang w:val="es-HN"/>
              </w:rPr>
            </w:pPr>
            <w:r w:rsidRPr="00DB102B">
              <w:rPr>
                <w:rFonts w:ascii="Times New Roman" w:hAnsi="Times New Roman" w:cs="Times New Roman"/>
                <w:sz w:val="20"/>
                <w:szCs w:val="20"/>
                <w:lang w:val="es-HN"/>
              </w:rPr>
              <w:t>Tres salarios mínimos</w:t>
            </w:r>
          </w:p>
        </w:tc>
        <w:tc>
          <w:tcPr>
            <w:tcW w:w="709" w:type="dxa"/>
          </w:tcPr>
          <w:p w14:paraId="3ED85DCA"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43</w:t>
            </w:r>
          </w:p>
        </w:tc>
        <w:tc>
          <w:tcPr>
            <w:tcW w:w="731" w:type="dxa"/>
          </w:tcPr>
          <w:p w14:paraId="0D92DAF7"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6.6%</w:t>
            </w:r>
          </w:p>
        </w:tc>
        <w:tc>
          <w:tcPr>
            <w:tcW w:w="1210" w:type="dxa"/>
          </w:tcPr>
          <w:p w14:paraId="55E6DB45"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7.83</w:t>
            </w:r>
          </w:p>
        </w:tc>
        <w:tc>
          <w:tcPr>
            <w:tcW w:w="1331" w:type="dxa"/>
          </w:tcPr>
          <w:p w14:paraId="1476BFFC"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3.89</w:t>
            </w:r>
          </w:p>
        </w:tc>
        <w:tc>
          <w:tcPr>
            <w:tcW w:w="1325" w:type="dxa"/>
            <w:vMerge/>
          </w:tcPr>
          <w:p w14:paraId="2AAFD8D3" w14:textId="77777777" w:rsidR="003A1CF0" w:rsidRPr="00DB102B" w:rsidRDefault="003A1CF0" w:rsidP="00155A17">
            <w:pPr>
              <w:ind w:left="0" w:hanging="2"/>
              <w:jc w:val="center"/>
              <w:rPr>
                <w:rFonts w:ascii="Times New Roman" w:hAnsi="Times New Roman" w:cs="Times New Roman"/>
                <w:sz w:val="20"/>
                <w:szCs w:val="20"/>
                <w:lang w:val="es-HN"/>
              </w:rPr>
            </w:pPr>
          </w:p>
        </w:tc>
      </w:tr>
      <w:tr w:rsidR="003A1CF0" w:rsidRPr="00DB102B" w14:paraId="26DF956F" w14:textId="77777777" w:rsidTr="007C3B46">
        <w:tc>
          <w:tcPr>
            <w:tcW w:w="3544" w:type="dxa"/>
          </w:tcPr>
          <w:p w14:paraId="11F08B56" w14:textId="77777777" w:rsidR="003A1CF0" w:rsidRPr="00DB102B" w:rsidRDefault="003A1CF0" w:rsidP="00155A17">
            <w:pPr>
              <w:ind w:left="0" w:hanging="2"/>
              <w:rPr>
                <w:rFonts w:ascii="Times New Roman" w:hAnsi="Times New Roman" w:cs="Times New Roman"/>
                <w:sz w:val="20"/>
                <w:szCs w:val="20"/>
                <w:lang w:val="es-HN"/>
              </w:rPr>
            </w:pPr>
            <w:r w:rsidRPr="00DB102B">
              <w:rPr>
                <w:rFonts w:ascii="Times New Roman" w:hAnsi="Times New Roman" w:cs="Times New Roman"/>
                <w:sz w:val="20"/>
                <w:szCs w:val="20"/>
                <w:lang w:val="es-HN"/>
              </w:rPr>
              <w:t>Más de tres salarios mínimos</w:t>
            </w:r>
          </w:p>
        </w:tc>
        <w:tc>
          <w:tcPr>
            <w:tcW w:w="709" w:type="dxa"/>
          </w:tcPr>
          <w:p w14:paraId="541E2A79"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41</w:t>
            </w:r>
          </w:p>
        </w:tc>
        <w:tc>
          <w:tcPr>
            <w:tcW w:w="731" w:type="dxa"/>
          </w:tcPr>
          <w:p w14:paraId="245041B2"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6.3%</w:t>
            </w:r>
          </w:p>
        </w:tc>
        <w:tc>
          <w:tcPr>
            <w:tcW w:w="1210" w:type="dxa"/>
          </w:tcPr>
          <w:p w14:paraId="35F5060F"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6.98</w:t>
            </w:r>
          </w:p>
        </w:tc>
        <w:tc>
          <w:tcPr>
            <w:tcW w:w="1331" w:type="dxa"/>
          </w:tcPr>
          <w:p w14:paraId="13F6305D"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3.66</w:t>
            </w:r>
          </w:p>
        </w:tc>
        <w:tc>
          <w:tcPr>
            <w:tcW w:w="1325" w:type="dxa"/>
            <w:vMerge/>
          </w:tcPr>
          <w:p w14:paraId="66AA1B20" w14:textId="77777777" w:rsidR="003A1CF0" w:rsidRPr="00DB102B" w:rsidRDefault="003A1CF0" w:rsidP="00155A17">
            <w:pPr>
              <w:ind w:left="0" w:hanging="2"/>
              <w:jc w:val="center"/>
              <w:rPr>
                <w:rFonts w:ascii="Times New Roman" w:hAnsi="Times New Roman" w:cs="Times New Roman"/>
                <w:sz w:val="20"/>
                <w:szCs w:val="20"/>
                <w:lang w:val="es-HN"/>
              </w:rPr>
            </w:pPr>
          </w:p>
        </w:tc>
      </w:tr>
      <w:tr w:rsidR="003A1CF0" w:rsidRPr="00DB102B" w14:paraId="51854BF6" w14:textId="77777777" w:rsidTr="007C3B46">
        <w:tc>
          <w:tcPr>
            <w:tcW w:w="3544" w:type="dxa"/>
          </w:tcPr>
          <w:p w14:paraId="6A7491FF" w14:textId="77777777" w:rsidR="003A1CF0" w:rsidRPr="00DB102B" w:rsidRDefault="003A1CF0" w:rsidP="00155A17">
            <w:pPr>
              <w:ind w:left="0" w:hanging="2"/>
              <w:rPr>
                <w:rFonts w:ascii="Times New Roman" w:hAnsi="Times New Roman" w:cs="Times New Roman"/>
                <w:b/>
                <w:sz w:val="20"/>
                <w:szCs w:val="20"/>
                <w:lang w:val="es-HN"/>
              </w:rPr>
            </w:pPr>
            <w:r w:rsidRPr="00DB102B">
              <w:rPr>
                <w:rFonts w:ascii="Times New Roman" w:hAnsi="Times New Roman" w:cs="Times New Roman"/>
                <w:b/>
                <w:sz w:val="20"/>
                <w:szCs w:val="20"/>
                <w:lang w:val="es-HN"/>
              </w:rPr>
              <w:t>Desempleados en núcleo familiar</w:t>
            </w:r>
          </w:p>
        </w:tc>
        <w:tc>
          <w:tcPr>
            <w:tcW w:w="709" w:type="dxa"/>
          </w:tcPr>
          <w:p w14:paraId="1511D934" w14:textId="77777777" w:rsidR="003A1CF0" w:rsidRPr="00DB102B" w:rsidRDefault="003A1CF0" w:rsidP="00155A17">
            <w:pPr>
              <w:ind w:left="0" w:hanging="2"/>
              <w:jc w:val="center"/>
              <w:rPr>
                <w:rFonts w:ascii="Times New Roman" w:hAnsi="Times New Roman" w:cs="Times New Roman"/>
                <w:sz w:val="20"/>
                <w:szCs w:val="20"/>
                <w:lang w:val="es-HN"/>
              </w:rPr>
            </w:pPr>
          </w:p>
        </w:tc>
        <w:tc>
          <w:tcPr>
            <w:tcW w:w="731" w:type="dxa"/>
          </w:tcPr>
          <w:p w14:paraId="68C65324" w14:textId="77777777" w:rsidR="003A1CF0" w:rsidRPr="00DB102B" w:rsidRDefault="003A1CF0" w:rsidP="00155A17">
            <w:pPr>
              <w:ind w:left="0" w:hanging="2"/>
              <w:jc w:val="center"/>
              <w:rPr>
                <w:rFonts w:ascii="Times New Roman" w:hAnsi="Times New Roman" w:cs="Times New Roman"/>
                <w:sz w:val="20"/>
                <w:szCs w:val="20"/>
                <w:lang w:val="es-HN"/>
              </w:rPr>
            </w:pPr>
          </w:p>
        </w:tc>
        <w:tc>
          <w:tcPr>
            <w:tcW w:w="1210" w:type="dxa"/>
          </w:tcPr>
          <w:p w14:paraId="1B706F36" w14:textId="77777777" w:rsidR="003A1CF0" w:rsidRPr="00DB102B" w:rsidRDefault="003A1CF0" w:rsidP="00155A17">
            <w:pPr>
              <w:ind w:left="0" w:hanging="2"/>
              <w:jc w:val="center"/>
              <w:rPr>
                <w:rFonts w:ascii="Times New Roman" w:hAnsi="Times New Roman" w:cs="Times New Roman"/>
                <w:sz w:val="20"/>
                <w:szCs w:val="20"/>
                <w:lang w:val="es-HN"/>
              </w:rPr>
            </w:pPr>
          </w:p>
        </w:tc>
        <w:tc>
          <w:tcPr>
            <w:tcW w:w="1331" w:type="dxa"/>
          </w:tcPr>
          <w:p w14:paraId="43672A02" w14:textId="77777777" w:rsidR="003A1CF0" w:rsidRPr="00DB102B" w:rsidRDefault="003A1CF0" w:rsidP="00155A17">
            <w:pPr>
              <w:ind w:left="0" w:hanging="2"/>
              <w:jc w:val="center"/>
              <w:rPr>
                <w:rFonts w:ascii="Times New Roman" w:hAnsi="Times New Roman" w:cs="Times New Roman"/>
                <w:sz w:val="20"/>
                <w:szCs w:val="20"/>
                <w:lang w:val="es-HN"/>
              </w:rPr>
            </w:pPr>
          </w:p>
        </w:tc>
        <w:tc>
          <w:tcPr>
            <w:tcW w:w="1325" w:type="dxa"/>
            <w:vMerge w:val="restart"/>
          </w:tcPr>
          <w:p w14:paraId="67C35BD3" w14:textId="77777777" w:rsidR="003A1CF0" w:rsidRPr="00DB102B" w:rsidRDefault="003A1CF0" w:rsidP="00155A17">
            <w:pPr>
              <w:ind w:left="0" w:hanging="2"/>
              <w:jc w:val="center"/>
              <w:rPr>
                <w:rFonts w:ascii="Times New Roman" w:hAnsi="Times New Roman" w:cs="Times New Roman"/>
                <w:sz w:val="20"/>
                <w:szCs w:val="20"/>
                <w:lang w:val="es-HN"/>
              </w:rPr>
            </w:pPr>
          </w:p>
          <w:p w14:paraId="4CA6AA55" w14:textId="77777777" w:rsidR="003A1CF0" w:rsidRPr="00DB102B" w:rsidRDefault="003A1CF0" w:rsidP="00155A17">
            <w:pPr>
              <w:ind w:left="0" w:hanging="2"/>
              <w:jc w:val="center"/>
              <w:rPr>
                <w:rFonts w:ascii="Times New Roman" w:hAnsi="Times New Roman" w:cs="Times New Roman"/>
                <w:sz w:val="20"/>
                <w:szCs w:val="20"/>
                <w:lang w:val="es-HN"/>
              </w:rPr>
            </w:pPr>
          </w:p>
          <w:p w14:paraId="30E1624F" w14:textId="00E2BE8C" w:rsidR="003A1CF0" w:rsidRPr="00DB102B" w:rsidRDefault="003A1CF0" w:rsidP="00155A17">
            <w:pPr>
              <w:ind w:left="0" w:hanging="2"/>
              <w:jc w:val="center"/>
              <w:rPr>
                <w:rFonts w:ascii="Times New Roman" w:hAnsi="Times New Roman" w:cs="Times New Roman"/>
                <w:b/>
                <w:sz w:val="20"/>
                <w:szCs w:val="20"/>
                <w:lang w:val="es-HN"/>
              </w:rPr>
            </w:pPr>
            <w:r w:rsidRPr="00DB102B">
              <w:rPr>
                <w:rFonts w:ascii="Times New Roman" w:hAnsi="Times New Roman" w:cs="Times New Roman"/>
                <w:b/>
                <w:sz w:val="20"/>
                <w:szCs w:val="20"/>
                <w:lang w:val="es-HN"/>
              </w:rPr>
              <w:t>0.032</w:t>
            </w:r>
            <w:r w:rsidR="004D233C">
              <w:rPr>
                <w:rFonts w:ascii="Times New Roman" w:hAnsi="Times New Roman" w:cs="Times New Roman"/>
                <w:b/>
                <w:sz w:val="20"/>
                <w:szCs w:val="20"/>
                <w:lang w:val="es-HN"/>
              </w:rPr>
              <w:t>**</w:t>
            </w:r>
          </w:p>
        </w:tc>
      </w:tr>
      <w:tr w:rsidR="003A1CF0" w:rsidRPr="00DB102B" w14:paraId="118DE484" w14:textId="77777777" w:rsidTr="007C3B46">
        <w:tc>
          <w:tcPr>
            <w:tcW w:w="3544" w:type="dxa"/>
          </w:tcPr>
          <w:p w14:paraId="01BFFF5A" w14:textId="77777777" w:rsidR="003A1CF0" w:rsidRPr="00DB102B" w:rsidRDefault="003A1CF0" w:rsidP="00155A17">
            <w:pPr>
              <w:ind w:left="0" w:hanging="2"/>
              <w:rPr>
                <w:rFonts w:ascii="Times New Roman" w:hAnsi="Times New Roman" w:cs="Times New Roman"/>
                <w:sz w:val="20"/>
                <w:szCs w:val="20"/>
                <w:lang w:val="es-HN"/>
              </w:rPr>
            </w:pPr>
            <w:r w:rsidRPr="00DB102B">
              <w:rPr>
                <w:rFonts w:ascii="Times New Roman" w:hAnsi="Times New Roman" w:cs="Times New Roman"/>
                <w:sz w:val="20"/>
                <w:szCs w:val="20"/>
                <w:lang w:val="es-HN"/>
              </w:rPr>
              <w:t>Ninguno</w:t>
            </w:r>
          </w:p>
        </w:tc>
        <w:tc>
          <w:tcPr>
            <w:tcW w:w="709" w:type="dxa"/>
          </w:tcPr>
          <w:p w14:paraId="3DB3D126"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194</w:t>
            </w:r>
          </w:p>
        </w:tc>
        <w:tc>
          <w:tcPr>
            <w:tcW w:w="731" w:type="dxa"/>
          </w:tcPr>
          <w:p w14:paraId="366B7427"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29.7%</w:t>
            </w:r>
          </w:p>
        </w:tc>
        <w:tc>
          <w:tcPr>
            <w:tcW w:w="1210" w:type="dxa"/>
          </w:tcPr>
          <w:p w14:paraId="5353C260"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6.80</w:t>
            </w:r>
          </w:p>
        </w:tc>
        <w:tc>
          <w:tcPr>
            <w:tcW w:w="1331" w:type="dxa"/>
          </w:tcPr>
          <w:p w14:paraId="4F54BE48"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3.33</w:t>
            </w:r>
          </w:p>
        </w:tc>
        <w:tc>
          <w:tcPr>
            <w:tcW w:w="1325" w:type="dxa"/>
            <w:vMerge/>
          </w:tcPr>
          <w:p w14:paraId="0114AF18" w14:textId="77777777" w:rsidR="003A1CF0" w:rsidRPr="00DB102B" w:rsidRDefault="003A1CF0" w:rsidP="00155A17">
            <w:pPr>
              <w:ind w:left="0" w:hanging="2"/>
              <w:jc w:val="center"/>
              <w:rPr>
                <w:rFonts w:ascii="Times New Roman" w:hAnsi="Times New Roman" w:cs="Times New Roman"/>
                <w:sz w:val="20"/>
                <w:szCs w:val="20"/>
                <w:lang w:val="es-HN"/>
              </w:rPr>
            </w:pPr>
          </w:p>
        </w:tc>
      </w:tr>
      <w:tr w:rsidR="003A1CF0" w:rsidRPr="00DB102B" w14:paraId="2D10767F" w14:textId="77777777" w:rsidTr="007C3B46">
        <w:tc>
          <w:tcPr>
            <w:tcW w:w="3544" w:type="dxa"/>
          </w:tcPr>
          <w:p w14:paraId="0B8469A9" w14:textId="77777777" w:rsidR="003A1CF0" w:rsidRPr="00DB102B" w:rsidRDefault="003A1CF0" w:rsidP="00155A17">
            <w:pPr>
              <w:ind w:left="0" w:hanging="2"/>
              <w:rPr>
                <w:rFonts w:ascii="Times New Roman" w:hAnsi="Times New Roman" w:cs="Times New Roman"/>
                <w:sz w:val="20"/>
                <w:szCs w:val="20"/>
                <w:lang w:val="es-HN"/>
              </w:rPr>
            </w:pPr>
            <w:r w:rsidRPr="00DB102B">
              <w:rPr>
                <w:rFonts w:ascii="Times New Roman" w:hAnsi="Times New Roman" w:cs="Times New Roman"/>
                <w:sz w:val="20"/>
                <w:szCs w:val="20"/>
                <w:lang w:val="es-HN"/>
              </w:rPr>
              <w:t>Un miembro</w:t>
            </w:r>
          </w:p>
        </w:tc>
        <w:tc>
          <w:tcPr>
            <w:tcW w:w="709" w:type="dxa"/>
          </w:tcPr>
          <w:p w14:paraId="71D61EDE"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156</w:t>
            </w:r>
          </w:p>
        </w:tc>
        <w:tc>
          <w:tcPr>
            <w:tcW w:w="731" w:type="dxa"/>
          </w:tcPr>
          <w:p w14:paraId="3E6B221F"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23.9%</w:t>
            </w:r>
          </w:p>
        </w:tc>
        <w:tc>
          <w:tcPr>
            <w:tcW w:w="1210" w:type="dxa"/>
          </w:tcPr>
          <w:p w14:paraId="2F08DE0C"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7.16</w:t>
            </w:r>
          </w:p>
        </w:tc>
        <w:tc>
          <w:tcPr>
            <w:tcW w:w="1331" w:type="dxa"/>
          </w:tcPr>
          <w:p w14:paraId="023B4396"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3.11</w:t>
            </w:r>
          </w:p>
        </w:tc>
        <w:tc>
          <w:tcPr>
            <w:tcW w:w="1325" w:type="dxa"/>
            <w:vMerge/>
          </w:tcPr>
          <w:p w14:paraId="369C8113" w14:textId="77777777" w:rsidR="003A1CF0" w:rsidRPr="00DB102B" w:rsidRDefault="003A1CF0" w:rsidP="00155A17">
            <w:pPr>
              <w:ind w:left="0" w:hanging="2"/>
              <w:jc w:val="center"/>
              <w:rPr>
                <w:rFonts w:ascii="Times New Roman" w:hAnsi="Times New Roman" w:cs="Times New Roman"/>
                <w:sz w:val="20"/>
                <w:szCs w:val="20"/>
                <w:lang w:val="es-HN"/>
              </w:rPr>
            </w:pPr>
          </w:p>
        </w:tc>
      </w:tr>
      <w:tr w:rsidR="003A1CF0" w:rsidRPr="00DB102B" w14:paraId="2317F159" w14:textId="77777777" w:rsidTr="007C3B46">
        <w:tc>
          <w:tcPr>
            <w:tcW w:w="3544" w:type="dxa"/>
          </w:tcPr>
          <w:p w14:paraId="6B9EA047" w14:textId="77777777" w:rsidR="003A1CF0" w:rsidRPr="00DB102B" w:rsidRDefault="003A1CF0" w:rsidP="00155A17">
            <w:pPr>
              <w:ind w:left="0" w:hanging="2"/>
              <w:rPr>
                <w:rFonts w:ascii="Times New Roman" w:hAnsi="Times New Roman" w:cs="Times New Roman"/>
                <w:sz w:val="20"/>
                <w:szCs w:val="20"/>
                <w:lang w:val="es-HN"/>
              </w:rPr>
            </w:pPr>
            <w:r w:rsidRPr="00DB102B">
              <w:rPr>
                <w:rFonts w:ascii="Times New Roman" w:hAnsi="Times New Roman" w:cs="Times New Roman"/>
                <w:sz w:val="20"/>
                <w:szCs w:val="20"/>
                <w:lang w:val="es-HN"/>
              </w:rPr>
              <w:t>Dos miembros</w:t>
            </w:r>
          </w:p>
        </w:tc>
        <w:tc>
          <w:tcPr>
            <w:tcW w:w="709" w:type="dxa"/>
          </w:tcPr>
          <w:p w14:paraId="3F77C233"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154</w:t>
            </w:r>
          </w:p>
        </w:tc>
        <w:tc>
          <w:tcPr>
            <w:tcW w:w="731" w:type="dxa"/>
          </w:tcPr>
          <w:p w14:paraId="7061E27C"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23.6%</w:t>
            </w:r>
          </w:p>
        </w:tc>
        <w:tc>
          <w:tcPr>
            <w:tcW w:w="1210" w:type="dxa"/>
          </w:tcPr>
          <w:p w14:paraId="763AA595"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7.83</w:t>
            </w:r>
          </w:p>
        </w:tc>
        <w:tc>
          <w:tcPr>
            <w:tcW w:w="1331" w:type="dxa"/>
          </w:tcPr>
          <w:p w14:paraId="42EF2CC1"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3.58</w:t>
            </w:r>
          </w:p>
        </w:tc>
        <w:tc>
          <w:tcPr>
            <w:tcW w:w="1325" w:type="dxa"/>
            <w:vMerge/>
          </w:tcPr>
          <w:p w14:paraId="6C94CA0B" w14:textId="77777777" w:rsidR="003A1CF0" w:rsidRPr="00DB102B" w:rsidRDefault="003A1CF0" w:rsidP="00155A17">
            <w:pPr>
              <w:ind w:left="0" w:hanging="2"/>
              <w:jc w:val="center"/>
              <w:rPr>
                <w:rFonts w:ascii="Times New Roman" w:hAnsi="Times New Roman" w:cs="Times New Roman"/>
                <w:sz w:val="20"/>
                <w:szCs w:val="20"/>
                <w:lang w:val="es-HN"/>
              </w:rPr>
            </w:pPr>
          </w:p>
        </w:tc>
      </w:tr>
      <w:tr w:rsidR="003A1CF0" w:rsidRPr="00DB102B" w14:paraId="726FF138" w14:textId="77777777" w:rsidTr="007C3B46">
        <w:tc>
          <w:tcPr>
            <w:tcW w:w="3544" w:type="dxa"/>
          </w:tcPr>
          <w:p w14:paraId="6892A5CB" w14:textId="77777777" w:rsidR="003A1CF0" w:rsidRPr="00DB102B" w:rsidRDefault="003A1CF0" w:rsidP="00155A17">
            <w:pPr>
              <w:ind w:left="0" w:hanging="2"/>
              <w:rPr>
                <w:rFonts w:ascii="Times New Roman" w:hAnsi="Times New Roman" w:cs="Times New Roman"/>
                <w:sz w:val="20"/>
                <w:szCs w:val="20"/>
                <w:lang w:val="es-HN"/>
              </w:rPr>
            </w:pPr>
            <w:r w:rsidRPr="00DB102B">
              <w:rPr>
                <w:rFonts w:ascii="Times New Roman" w:hAnsi="Times New Roman" w:cs="Times New Roman"/>
                <w:sz w:val="20"/>
                <w:szCs w:val="20"/>
                <w:lang w:val="es-HN"/>
              </w:rPr>
              <w:t>Tres miembros</w:t>
            </w:r>
          </w:p>
        </w:tc>
        <w:tc>
          <w:tcPr>
            <w:tcW w:w="709" w:type="dxa"/>
          </w:tcPr>
          <w:p w14:paraId="5CEF3B01"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85</w:t>
            </w:r>
          </w:p>
        </w:tc>
        <w:tc>
          <w:tcPr>
            <w:tcW w:w="731" w:type="dxa"/>
          </w:tcPr>
          <w:p w14:paraId="60B78288"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13.0%</w:t>
            </w:r>
          </w:p>
        </w:tc>
        <w:tc>
          <w:tcPr>
            <w:tcW w:w="1210" w:type="dxa"/>
          </w:tcPr>
          <w:p w14:paraId="7B178E31"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7.19</w:t>
            </w:r>
          </w:p>
        </w:tc>
        <w:tc>
          <w:tcPr>
            <w:tcW w:w="1331" w:type="dxa"/>
          </w:tcPr>
          <w:p w14:paraId="51B6F87E"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2.75</w:t>
            </w:r>
          </w:p>
        </w:tc>
        <w:tc>
          <w:tcPr>
            <w:tcW w:w="1325" w:type="dxa"/>
            <w:vMerge/>
          </w:tcPr>
          <w:p w14:paraId="7367DC00" w14:textId="77777777" w:rsidR="003A1CF0" w:rsidRPr="00DB102B" w:rsidRDefault="003A1CF0" w:rsidP="00155A17">
            <w:pPr>
              <w:ind w:left="0" w:hanging="2"/>
              <w:jc w:val="center"/>
              <w:rPr>
                <w:rFonts w:ascii="Times New Roman" w:hAnsi="Times New Roman" w:cs="Times New Roman"/>
                <w:sz w:val="20"/>
                <w:szCs w:val="20"/>
                <w:lang w:val="es-HN"/>
              </w:rPr>
            </w:pPr>
          </w:p>
        </w:tc>
      </w:tr>
      <w:tr w:rsidR="003A1CF0" w:rsidRPr="00DB102B" w14:paraId="1F453F25" w14:textId="77777777" w:rsidTr="007C3B46">
        <w:tc>
          <w:tcPr>
            <w:tcW w:w="3544" w:type="dxa"/>
            <w:tcBorders>
              <w:bottom w:val="single" w:sz="4" w:space="0" w:color="auto"/>
            </w:tcBorders>
          </w:tcPr>
          <w:p w14:paraId="4B85F00C" w14:textId="77777777" w:rsidR="003A1CF0" w:rsidRPr="00DB102B" w:rsidRDefault="003A1CF0" w:rsidP="00155A17">
            <w:pPr>
              <w:ind w:left="0" w:hanging="2"/>
              <w:rPr>
                <w:rFonts w:ascii="Times New Roman" w:hAnsi="Times New Roman" w:cs="Times New Roman"/>
                <w:sz w:val="20"/>
                <w:szCs w:val="20"/>
                <w:lang w:val="es-HN"/>
              </w:rPr>
            </w:pPr>
            <w:r w:rsidRPr="00DB102B">
              <w:rPr>
                <w:rFonts w:ascii="Times New Roman" w:hAnsi="Times New Roman" w:cs="Times New Roman"/>
                <w:sz w:val="20"/>
                <w:szCs w:val="20"/>
                <w:lang w:val="es-HN"/>
              </w:rPr>
              <w:t>Más de tres miembros</w:t>
            </w:r>
          </w:p>
        </w:tc>
        <w:tc>
          <w:tcPr>
            <w:tcW w:w="709" w:type="dxa"/>
            <w:tcBorders>
              <w:bottom w:val="single" w:sz="4" w:space="0" w:color="auto"/>
            </w:tcBorders>
          </w:tcPr>
          <w:p w14:paraId="6C56DC31"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64</w:t>
            </w:r>
          </w:p>
        </w:tc>
        <w:tc>
          <w:tcPr>
            <w:tcW w:w="731" w:type="dxa"/>
            <w:tcBorders>
              <w:bottom w:val="single" w:sz="4" w:space="0" w:color="auto"/>
            </w:tcBorders>
          </w:tcPr>
          <w:p w14:paraId="5B4A29DA"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9.8%</w:t>
            </w:r>
          </w:p>
        </w:tc>
        <w:tc>
          <w:tcPr>
            <w:tcW w:w="1210" w:type="dxa"/>
            <w:tcBorders>
              <w:bottom w:val="single" w:sz="4" w:space="0" w:color="auto"/>
            </w:tcBorders>
          </w:tcPr>
          <w:p w14:paraId="47347952"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7.38</w:t>
            </w:r>
          </w:p>
        </w:tc>
        <w:tc>
          <w:tcPr>
            <w:tcW w:w="1331" w:type="dxa"/>
            <w:tcBorders>
              <w:bottom w:val="single" w:sz="4" w:space="0" w:color="auto"/>
            </w:tcBorders>
          </w:tcPr>
          <w:p w14:paraId="431F128F" w14:textId="77777777" w:rsidR="003A1CF0" w:rsidRPr="00DB102B" w:rsidRDefault="003A1CF0" w:rsidP="00155A17">
            <w:pPr>
              <w:ind w:left="0" w:hanging="2"/>
              <w:jc w:val="center"/>
              <w:rPr>
                <w:rFonts w:ascii="Times New Roman" w:hAnsi="Times New Roman" w:cs="Times New Roman"/>
                <w:sz w:val="20"/>
                <w:szCs w:val="20"/>
                <w:lang w:val="es-HN"/>
              </w:rPr>
            </w:pPr>
            <w:r w:rsidRPr="00DB102B">
              <w:rPr>
                <w:rFonts w:ascii="Times New Roman" w:hAnsi="Times New Roman" w:cs="Times New Roman"/>
                <w:sz w:val="20"/>
                <w:szCs w:val="20"/>
                <w:lang w:val="es-HN"/>
              </w:rPr>
              <w:t>3.39</w:t>
            </w:r>
          </w:p>
        </w:tc>
        <w:tc>
          <w:tcPr>
            <w:tcW w:w="1325" w:type="dxa"/>
            <w:vMerge/>
            <w:tcBorders>
              <w:bottom w:val="single" w:sz="4" w:space="0" w:color="auto"/>
            </w:tcBorders>
          </w:tcPr>
          <w:p w14:paraId="1A17D4A3" w14:textId="77777777" w:rsidR="003A1CF0" w:rsidRPr="00DB102B" w:rsidRDefault="003A1CF0" w:rsidP="00155A17">
            <w:pPr>
              <w:ind w:left="0" w:hanging="2"/>
              <w:jc w:val="center"/>
              <w:rPr>
                <w:rFonts w:ascii="Times New Roman" w:hAnsi="Times New Roman" w:cs="Times New Roman"/>
                <w:sz w:val="20"/>
                <w:szCs w:val="20"/>
                <w:lang w:val="es-HN"/>
              </w:rPr>
            </w:pPr>
          </w:p>
        </w:tc>
      </w:tr>
      <w:tr w:rsidR="007C3B46" w:rsidRPr="00DB102B" w14:paraId="581CDDF6" w14:textId="77777777" w:rsidTr="003727CF">
        <w:tc>
          <w:tcPr>
            <w:tcW w:w="8850" w:type="dxa"/>
            <w:gridSpan w:val="6"/>
            <w:tcBorders>
              <w:top w:val="single" w:sz="4" w:space="0" w:color="auto"/>
              <w:bottom w:val="nil"/>
            </w:tcBorders>
          </w:tcPr>
          <w:p w14:paraId="10383A2F" w14:textId="1BB010CF" w:rsidR="007C3B46" w:rsidRPr="00461DD7" w:rsidRDefault="00461DD7" w:rsidP="007C3B46">
            <w:pPr>
              <w:ind w:left="0" w:hanging="2"/>
              <w:jc w:val="both"/>
              <w:rPr>
                <w:rFonts w:ascii="Times New Roman" w:hAnsi="Times New Roman" w:cs="Times New Roman"/>
                <w:sz w:val="20"/>
                <w:szCs w:val="20"/>
                <w:lang w:val="es-HN"/>
              </w:rPr>
            </w:pPr>
            <w:r w:rsidRPr="00461DD7">
              <w:rPr>
                <w:rFonts w:ascii="Times New Roman" w:hAnsi="Times New Roman" w:cs="Times New Roman"/>
                <w:sz w:val="20"/>
                <w:szCs w:val="20"/>
                <w:lang w:val="es-HN"/>
              </w:rPr>
              <w:t>M = media, DE = desviación estándar</w:t>
            </w:r>
            <w:r w:rsidR="004D233C">
              <w:rPr>
                <w:rFonts w:ascii="Times New Roman" w:hAnsi="Times New Roman" w:cs="Times New Roman"/>
                <w:sz w:val="20"/>
                <w:szCs w:val="20"/>
                <w:lang w:val="es-HN"/>
              </w:rPr>
              <w:t>, * = T</w:t>
            </w:r>
            <w:r w:rsidR="004D233C" w:rsidRPr="004D233C">
              <w:rPr>
                <w:rFonts w:ascii="Times New Roman" w:hAnsi="Times New Roman" w:cs="Times New Roman"/>
                <w:sz w:val="20"/>
                <w:szCs w:val="20"/>
                <w:lang w:val="es-HN"/>
              </w:rPr>
              <w:t>est de Mann-Whitney</w:t>
            </w:r>
            <w:r w:rsidR="004D233C">
              <w:rPr>
                <w:rFonts w:ascii="Times New Roman" w:hAnsi="Times New Roman" w:cs="Times New Roman"/>
                <w:sz w:val="20"/>
                <w:szCs w:val="20"/>
                <w:lang w:val="es-HN"/>
              </w:rPr>
              <w:t>, ** = T</w:t>
            </w:r>
            <w:r w:rsidR="004D233C" w:rsidRPr="004D233C">
              <w:rPr>
                <w:rFonts w:ascii="Times New Roman" w:hAnsi="Times New Roman" w:cs="Times New Roman"/>
                <w:sz w:val="20"/>
                <w:szCs w:val="20"/>
                <w:lang w:val="es-HN"/>
              </w:rPr>
              <w:t>est de Kruskal-Wallis</w:t>
            </w:r>
          </w:p>
        </w:tc>
      </w:tr>
    </w:tbl>
    <w:p w14:paraId="205C42A9" w14:textId="77777777" w:rsidR="000D3659" w:rsidRDefault="000D3659" w:rsidP="00ED02F2">
      <w:pPr>
        <w:ind w:left="0" w:hanging="2"/>
        <w:rPr>
          <w:color w:val="000000"/>
          <w:sz w:val="24"/>
          <w:szCs w:val="24"/>
        </w:rPr>
      </w:pPr>
    </w:p>
    <w:p w14:paraId="18A3B361" w14:textId="77777777" w:rsidR="007C2C66" w:rsidRDefault="00C50BB2" w:rsidP="00ED02F2">
      <w:pPr>
        <w:ind w:left="0" w:hanging="2"/>
        <w:rPr>
          <w:color w:val="000000"/>
          <w:sz w:val="24"/>
          <w:szCs w:val="24"/>
        </w:rPr>
      </w:pPr>
      <w:r>
        <w:rPr>
          <w:color w:val="000000"/>
          <w:sz w:val="24"/>
          <w:szCs w:val="24"/>
        </w:rPr>
        <w:t>En lo que respect</w:t>
      </w:r>
      <w:r w:rsidR="00675F13">
        <w:rPr>
          <w:color w:val="000000"/>
          <w:sz w:val="24"/>
          <w:szCs w:val="24"/>
        </w:rPr>
        <w:t>a</w:t>
      </w:r>
      <w:r>
        <w:rPr>
          <w:color w:val="000000"/>
          <w:sz w:val="24"/>
          <w:szCs w:val="24"/>
        </w:rPr>
        <w:t xml:space="preserve"> a los análisis bivariados entre las dimensiones de </w:t>
      </w:r>
      <w:r w:rsidR="00675F13">
        <w:rPr>
          <w:color w:val="000000"/>
          <w:sz w:val="24"/>
          <w:szCs w:val="24"/>
        </w:rPr>
        <w:t xml:space="preserve">la variable vivencias académicas e intención de abandono, la Tabla 2 muestra la estadística descriptiva y correlaciones para estas variables. </w:t>
      </w:r>
    </w:p>
    <w:p w14:paraId="58CC20D3" w14:textId="69D38C6B" w:rsidR="00675F13" w:rsidRDefault="00675F13" w:rsidP="00ED02F2">
      <w:pPr>
        <w:ind w:left="0" w:hanging="2"/>
        <w:rPr>
          <w:color w:val="000000"/>
          <w:sz w:val="24"/>
          <w:szCs w:val="24"/>
        </w:rPr>
      </w:pPr>
      <w:r>
        <w:rPr>
          <w:color w:val="000000"/>
          <w:sz w:val="24"/>
          <w:szCs w:val="24"/>
        </w:rPr>
        <w:t>Los resultados indican asociaciones estadísticamente significativas (p &lt; 0.0</w:t>
      </w:r>
      <w:r w:rsidR="00DD1B90">
        <w:rPr>
          <w:color w:val="000000"/>
          <w:sz w:val="24"/>
          <w:szCs w:val="24"/>
        </w:rPr>
        <w:t>1</w:t>
      </w:r>
      <w:r>
        <w:rPr>
          <w:color w:val="000000"/>
          <w:sz w:val="24"/>
          <w:szCs w:val="24"/>
        </w:rPr>
        <w:t xml:space="preserve">) entre todas las variables, evidenciando correlaciones negativas que oscilan entre </w:t>
      </w:r>
      <w:r w:rsidR="001930C9">
        <w:rPr>
          <w:color w:val="000000"/>
          <w:sz w:val="24"/>
          <w:szCs w:val="24"/>
        </w:rPr>
        <w:t xml:space="preserve">-0.22 y -0.61 entre las vivencias académicas y la intención de abandono, es decir, a mayores puntajes de </w:t>
      </w:r>
      <w:r w:rsidR="00C93BCD">
        <w:rPr>
          <w:color w:val="000000"/>
          <w:sz w:val="24"/>
          <w:szCs w:val="24"/>
        </w:rPr>
        <w:t xml:space="preserve">las cinco dimensiones de </w:t>
      </w:r>
      <w:r w:rsidR="001930C9">
        <w:rPr>
          <w:color w:val="000000"/>
          <w:sz w:val="24"/>
          <w:szCs w:val="24"/>
        </w:rPr>
        <w:t>vivencias académicas</w:t>
      </w:r>
      <w:r w:rsidR="00C93BCD">
        <w:rPr>
          <w:color w:val="000000"/>
          <w:sz w:val="24"/>
          <w:szCs w:val="24"/>
        </w:rPr>
        <w:t xml:space="preserve"> (factores personales, interpersonales, carrera, </w:t>
      </w:r>
      <w:r w:rsidR="0037792A">
        <w:rPr>
          <w:color w:val="000000"/>
          <w:sz w:val="24"/>
          <w:szCs w:val="24"/>
        </w:rPr>
        <w:t xml:space="preserve">hábitos de </w:t>
      </w:r>
      <w:r w:rsidR="00C93BCD">
        <w:rPr>
          <w:color w:val="000000"/>
          <w:sz w:val="24"/>
          <w:szCs w:val="24"/>
        </w:rPr>
        <w:t>estudio e institucionales)</w:t>
      </w:r>
      <w:r w:rsidR="001930C9">
        <w:rPr>
          <w:color w:val="000000"/>
          <w:sz w:val="24"/>
          <w:szCs w:val="24"/>
        </w:rPr>
        <w:t xml:space="preserve">, menor serán los puntajes de la intención de abandono. </w:t>
      </w:r>
    </w:p>
    <w:p w14:paraId="5AC7D8FC" w14:textId="66C4C3AD" w:rsidR="003A1CF0" w:rsidRDefault="003A1CF0" w:rsidP="00ED02F2">
      <w:pPr>
        <w:ind w:left="0" w:hanging="2"/>
        <w:rPr>
          <w:color w:val="000000"/>
          <w:sz w:val="24"/>
          <w:szCs w:val="24"/>
        </w:rPr>
      </w:pPr>
    </w:p>
    <w:p w14:paraId="2593B2F8" w14:textId="2E4595E2" w:rsidR="00981E59" w:rsidRDefault="00981E59" w:rsidP="00ED02F2">
      <w:pPr>
        <w:ind w:left="0" w:hanging="2"/>
        <w:rPr>
          <w:color w:val="000000"/>
          <w:sz w:val="24"/>
          <w:szCs w:val="24"/>
        </w:rPr>
      </w:pPr>
    </w:p>
    <w:p w14:paraId="3E93C503" w14:textId="45F9C9A0" w:rsidR="00981E59" w:rsidRDefault="00981E59" w:rsidP="00ED02F2">
      <w:pPr>
        <w:ind w:left="0" w:hanging="2"/>
        <w:rPr>
          <w:color w:val="000000"/>
          <w:sz w:val="24"/>
          <w:szCs w:val="24"/>
        </w:rPr>
      </w:pPr>
    </w:p>
    <w:p w14:paraId="413E9AC5" w14:textId="77777777" w:rsidR="003A1CF0" w:rsidRPr="00DB102B" w:rsidRDefault="003A1CF0" w:rsidP="003A1CF0">
      <w:pPr>
        <w:ind w:left="0" w:hanging="2"/>
        <w:rPr>
          <w:lang w:val="es-HN"/>
        </w:rPr>
      </w:pPr>
      <w:r w:rsidRPr="00DB102B">
        <w:rPr>
          <w:b/>
          <w:lang w:val="es-HN"/>
        </w:rPr>
        <w:lastRenderedPageBreak/>
        <w:t>Tabla 2.</w:t>
      </w:r>
      <w:r w:rsidRPr="00DB102B">
        <w:rPr>
          <w:lang w:val="es-HN"/>
        </w:rPr>
        <w:t xml:space="preserve"> Estadística descriptiva y correlaciones entre las dimensiones de vivencias académicas tempranas e intención de abandono universitario</w:t>
      </w:r>
    </w:p>
    <w:tbl>
      <w:tblPr>
        <w:tblW w:w="5000" w:type="pct"/>
        <w:tblLook w:val="04A0" w:firstRow="1" w:lastRow="0" w:firstColumn="1" w:lastColumn="0" w:noHBand="0" w:noVBand="1"/>
      </w:tblPr>
      <w:tblGrid>
        <w:gridCol w:w="2627"/>
        <w:gridCol w:w="1238"/>
        <w:gridCol w:w="1238"/>
        <w:gridCol w:w="1236"/>
        <w:gridCol w:w="1238"/>
        <w:gridCol w:w="1081"/>
        <w:gridCol w:w="981"/>
      </w:tblGrid>
      <w:tr w:rsidR="003A1CF0" w:rsidRPr="00F03DC9" w14:paraId="1AC68F58" w14:textId="77777777" w:rsidTr="00DD1B90">
        <w:tc>
          <w:tcPr>
            <w:tcW w:w="1363" w:type="pct"/>
            <w:tcBorders>
              <w:top w:val="single" w:sz="4" w:space="0" w:color="auto"/>
              <w:left w:val="nil"/>
              <w:bottom w:val="single" w:sz="4" w:space="0" w:color="auto"/>
              <w:right w:val="nil"/>
            </w:tcBorders>
            <w:shd w:val="clear" w:color="auto" w:fill="FFFFFF" w:themeFill="background1"/>
          </w:tcPr>
          <w:p w14:paraId="19C44AD0" w14:textId="77777777" w:rsidR="003A1CF0" w:rsidRPr="00F03DC9" w:rsidRDefault="003A1CF0" w:rsidP="00155A17">
            <w:pPr>
              <w:spacing w:after="0" w:line="240" w:lineRule="auto"/>
              <w:ind w:left="0" w:hanging="2"/>
              <w:jc w:val="center"/>
              <w:rPr>
                <w:rFonts w:eastAsia="Calibri" w:cs="Arial"/>
                <w:b/>
                <w:bCs/>
                <w:lang w:val="es"/>
              </w:rPr>
            </w:pPr>
            <w:r w:rsidRPr="00F03DC9">
              <w:rPr>
                <w:rFonts w:eastAsia="Calibri" w:cs="Arial"/>
                <w:b/>
                <w:bCs/>
                <w:lang w:val="es"/>
              </w:rPr>
              <w:t>Variable</w:t>
            </w:r>
          </w:p>
        </w:tc>
        <w:tc>
          <w:tcPr>
            <w:tcW w:w="642" w:type="pct"/>
            <w:tcBorders>
              <w:top w:val="single" w:sz="4" w:space="0" w:color="auto"/>
              <w:left w:val="nil"/>
              <w:bottom w:val="single" w:sz="4" w:space="0" w:color="auto"/>
              <w:right w:val="nil"/>
            </w:tcBorders>
            <w:shd w:val="clear" w:color="auto" w:fill="FFFFFF" w:themeFill="background1"/>
          </w:tcPr>
          <w:p w14:paraId="1A76DFD6" w14:textId="77777777" w:rsidR="003A1CF0" w:rsidRPr="00F03DC9" w:rsidRDefault="003A1CF0" w:rsidP="00155A17">
            <w:pPr>
              <w:spacing w:after="0" w:line="240" w:lineRule="auto"/>
              <w:ind w:left="0" w:hanging="2"/>
              <w:jc w:val="center"/>
              <w:rPr>
                <w:rFonts w:eastAsia="Calibri" w:cs="Arial"/>
                <w:b/>
                <w:bCs/>
                <w:lang w:val="es"/>
              </w:rPr>
            </w:pPr>
            <w:r w:rsidRPr="00F03DC9">
              <w:rPr>
                <w:rFonts w:eastAsia="Calibri" w:cs="Arial"/>
                <w:b/>
                <w:bCs/>
                <w:lang w:val="es"/>
              </w:rPr>
              <w:t>1</w:t>
            </w:r>
          </w:p>
        </w:tc>
        <w:tc>
          <w:tcPr>
            <w:tcW w:w="642" w:type="pct"/>
            <w:tcBorders>
              <w:top w:val="single" w:sz="4" w:space="0" w:color="auto"/>
              <w:left w:val="nil"/>
              <w:bottom w:val="single" w:sz="4" w:space="0" w:color="auto"/>
              <w:right w:val="nil"/>
            </w:tcBorders>
            <w:shd w:val="clear" w:color="auto" w:fill="FFFFFF" w:themeFill="background1"/>
          </w:tcPr>
          <w:p w14:paraId="5D75D926" w14:textId="77777777" w:rsidR="003A1CF0" w:rsidRPr="00F03DC9" w:rsidRDefault="003A1CF0" w:rsidP="00155A17">
            <w:pPr>
              <w:spacing w:after="0" w:line="240" w:lineRule="auto"/>
              <w:ind w:left="0" w:hanging="2"/>
              <w:jc w:val="center"/>
              <w:rPr>
                <w:rFonts w:eastAsia="Calibri" w:cs="Arial"/>
                <w:b/>
                <w:bCs/>
                <w:lang w:val="es"/>
              </w:rPr>
            </w:pPr>
            <w:r w:rsidRPr="00F03DC9">
              <w:rPr>
                <w:rFonts w:eastAsia="Calibri" w:cs="Arial"/>
                <w:b/>
                <w:bCs/>
                <w:lang w:val="es"/>
              </w:rPr>
              <w:t>2</w:t>
            </w:r>
          </w:p>
        </w:tc>
        <w:tc>
          <w:tcPr>
            <w:tcW w:w="641" w:type="pct"/>
            <w:tcBorders>
              <w:top w:val="single" w:sz="4" w:space="0" w:color="auto"/>
              <w:left w:val="nil"/>
              <w:bottom w:val="single" w:sz="4" w:space="0" w:color="auto"/>
              <w:right w:val="nil"/>
            </w:tcBorders>
            <w:shd w:val="clear" w:color="auto" w:fill="FFFFFF" w:themeFill="background1"/>
          </w:tcPr>
          <w:p w14:paraId="0D1880CB" w14:textId="77777777" w:rsidR="003A1CF0" w:rsidRPr="00F03DC9" w:rsidRDefault="003A1CF0" w:rsidP="00155A17">
            <w:pPr>
              <w:spacing w:after="0" w:line="240" w:lineRule="auto"/>
              <w:ind w:left="0" w:hanging="2"/>
              <w:jc w:val="center"/>
              <w:rPr>
                <w:rFonts w:eastAsia="Calibri" w:cs="Arial"/>
                <w:b/>
                <w:bCs/>
                <w:lang w:val="es"/>
              </w:rPr>
            </w:pPr>
            <w:r w:rsidRPr="00F03DC9">
              <w:rPr>
                <w:rFonts w:eastAsia="Calibri" w:cs="Arial"/>
                <w:b/>
                <w:bCs/>
                <w:lang w:val="es"/>
              </w:rPr>
              <w:t>3</w:t>
            </w:r>
          </w:p>
        </w:tc>
        <w:tc>
          <w:tcPr>
            <w:tcW w:w="642" w:type="pct"/>
            <w:tcBorders>
              <w:top w:val="single" w:sz="4" w:space="0" w:color="auto"/>
              <w:left w:val="nil"/>
              <w:bottom w:val="single" w:sz="4" w:space="0" w:color="auto"/>
              <w:right w:val="nil"/>
            </w:tcBorders>
            <w:shd w:val="clear" w:color="auto" w:fill="FFFFFF" w:themeFill="background1"/>
          </w:tcPr>
          <w:p w14:paraId="00119423" w14:textId="77777777" w:rsidR="003A1CF0" w:rsidRPr="00F03DC9" w:rsidRDefault="003A1CF0" w:rsidP="00155A17">
            <w:pPr>
              <w:spacing w:after="0" w:line="240" w:lineRule="auto"/>
              <w:ind w:left="0" w:hanging="2"/>
              <w:jc w:val="center"/>
              <w:rPr>
                <w:rFonts w:eastAsia="Calibri" w:cs="Arial"/>
                <w:b/>
                <w:bCs/>
                <w:lang w:val="es"/>
              </w:rPr>
            </w:pPr>
            <w:r w:rsidRPr="00F03DC9">
              <w:rPr>
                <w:rFonts w:eastAsia="Calibri" w:cs="Arial"/>
                <w:b/>
                <w:bCs/>
                <w:lang w:val="es"/>
              </w:rPr>
              <w:t>4</w:t>
            </w:r>
          </w:p>
        </w:tc>
        <w:tc>
          <w:tcPr>
            <w:tcW w:w="561" w:type="pct"/>
            <w:tcBorders>
              <w:top w:val="single" w:sz="4" w:space="0" w:color="auto"/>
              <w:left w:val="nil"/>
              <w:bottom w:val="single" w:sz="4" w:space="0" w:color="auto"/>
              <w:right w:val="nil"/>
            </w:tcBorders>
            <w:shd w:val="clear" w:color="auto" w:fill="FFFFFF" w:themeFill="background1"/>
          </w:tcPr>
          <w:p w14:paraId="3D6CB285" w14:textId="77777777" w:rsidR="003A1CF0" w:rsidRPr="00F03DC9" w:rsidRDefault="003A1CF0" w:rsidP="00155A17">
            <w:pPr>
              <w:spacing w:after="0" w:line="240" w:lineRule="auto"/>
              <w:ind w:left="0" w:hanging="2"/>
              <w:jc w:val="center"/>
              <w:rPr>
                <w:rFonts w:eastAsia="Calibri" w:cs="Arial"/>
                <w:b/>
                <w:bCs/>
                <w:lang w:val="es"/>
              </w:rPr>
            </w:pPr>
            <w:r w:rsidRPr="00F03DC9">
              <w:rPr>
                <w:rFonts w:eastAsia="Calibri" w:cs="Arial"/>
                <w:b/>
                <w:bCs/>
                <w:lang w:val="es"/>
              </w:rPr>
              <w:t>5</w:t>
            </w:r>
          </w:p>
        </w:tc>
        <w:tc>
          <w:tcPr>
            <w:tcW w:w="509" w:type="pct"/>
            <w:tcBorders>
              <w:top w:val="single" w:sz="4" w:space="0" w:color="auto"/>
              <w:left w:val="nil"/>
              <w:bottom w:val="single" w:sz="4" w:space="0" w:color="auto"/>
              <w:right w:val="nil"/>
            </w:tcBorders>
            <w:shd w:val="clear" w:color="auto" w:fill="FFFFFF" w:themeFill="background1"/>
          </w:tcPr>
          <w:p w14:paraId="0E096DD0" w14:textId="77777777" w:rsidR="003A1CF0" w:rsidRPr="00F03DC9" w:rsidRDefault="003A1CF0" w:rsidP="00155A17">
            <w:pPr>
              <w:spacing w:after="0" w:line="240" w:lineRule="auto"/>
              <w:ind w:left="0" w:hanging="2"/>
              <w:jc w:val="center"/>
              <w:rPr>
                <w:rFonts w:eastAsia="Calibri" w:cs="Arial"/>
                <w:b/>
                <w:bCs/>
                <w:lang w:val="es"/>
              </w:rPr>
            </w:pPr>
            <w:r w:rsidRPr="00F03DC9">
              <w:rPr>
                <w:rFonts w:eastAsia="Calibri" w:cs="Arial"/>
                <w:b/>
                <w:bCs/>
                <w:lang w:val="es"/>
              </w:rPr>
              <w:t>6</w:t>
            </w:r>
          </w:p>
        </w:tc>
      </w:tr>
      <w:tr w:rsidR="003A1CF0" w:rsidRPr="00F03DC9" w14:paraId="4479DDD7" w14:textId="77777777" w:rsidTr="00DD1B90">
        <w:tc>
          <w:tcPr>
            <w:tcW w:w="1363" w:type="pct"/>
            <w:shd w:val="clear" w:color="auto" w:fill="FFFFFF" w:themeFill="background1"/>
          </w:tcPr>
          <w:p w14:paraId="4E75E115" w14:textId="77777777" w:rsidR="003A1CF0" w:rsidRPr="008936BC" w:rsidRDefault="003A1CF0" w:rsidP="00155A17">
            <w:pPr>
              <w:spacing w:after="0" w:line="240" w:lineRule="auto"/>
              <w:ind w:left="0" w:hanging="2"/>
              <w:rPr>
                <w:rFonts w:eastAsia="Calibri" w:cs="Arial"/>
                <w:bCs/>
                <w:lang w:val="es"/>
              </w:rPr>
            </w:pPr>
            <w:r w:rsidRPr="008936BC">
              <w:rPr>
                <w:rFonts w:eastAsia="Calibri" w:cs="Arial"/>
                <w:bCs/>
                <w:lang w:val="es"/>
              </w:rPr>
              <w:t>1. Personal</w:t>
            </w:r>
          </w:p>
        </w:tc>
        <w:tc>
          <w:tcPr>
            <w:tcW w:w="642" w:type="pct"/>
            <w:shd w:val="clear" w:color="auto" w:fill="FFFFFF" w:themeFill="background1"/>
          </w:tcPr>
          <w:p w14:paraId="1B48D2B9" w14:textId="77777777" w:rsidR="003A1CF0" w:rsidRPr="00F03DC9" w:rsidRDefault="003A1CF0" w:rsidP="00155A17">
            <w:pPr>
              <w:spacing w:after="0" w:line="240" w:lineRule="auto"/>
              <w:ind w:left="0" w:hanging="2"/>
              <w:jc w:val="center"/>
              <w:rPr>
                <w:rFonts w:eastAsia="Calibri" w:cs="Arial"/>
                <w:lang w:val="en-US"/>
              </w:rPr>
            </w:pPr>
            <w:r>
              <w:rPr>
                <w:rFonts w:eastAsia="Calibri" w:cs="Arial"/>
                <w:lang w:val="en-US"/>
              </w:rPr>
              <w:t>-</w:t>
            </w:r>
          </w:p>
        </w:tc>
        <w:tc>
          <w:tcPr>
            <w:tcW w:w="642" w:type="pct"/>
            <w:shd w:val="clear" w:color="auto" w:fill="FFFFFF" w:themeFill="background1"/>
          </w:tcPr>
          <w:p w14:paraId="53C8D2DB" w14:textId="77777777" w:rsidR="003A1CF0" w:rsidRPr="00F03DC9" w:rsidRDefault="003A1CF0" w:rsidP="00155A17">
            <w:pPr>
              <w:spacing w:after="0" w:line="240" w:lineRule="auto"/>
              <w:ind w:left="0" w:hanging="2"/>
              <w:jc w:val="center"/>
              <w:rPr>
                <w:rFonts w:eastAsia="Calibri" w:cs="Arial"/>
                <w:lang w:val="en-US"/>
              </w:rPr>
            </w:pPr>
          </w:p>
        </w:tc>
        <w:tc>
          <w:tcPr>
            <w:tcW w:w="641" w:type="pct"/>
            <w:shd w:val="clear" w:color="auto" w:fill="FFFFFF" w:themeFill="background1"/>
          </w:tcPr>
          <w:p w14:paraId="5A4DF89E" w14:textId="77777777" w:rsidR="003A1CF0" w:rsidRPr="00F03DC9" w:rsidRDefault="003A1CF0" w:rsidP="00155A17">
            <w:pPr>
              <w:spacing w:after="0" w:line="240" w:lineRule="auto"/>
              <w:ind w:left="0" w:hanging="2"/>
              <w:jc w:val="center"/>
              <w:rPr>
                <w:rFonts w:eastAsia="Calibri" w:cs="Arial"/>
                <w:lang w:val="en-US"/>
              </w:rPr>
            </w:pPr>
          </w:p>
        </w:tc>
        <w:tc>
          <w:tcPr>
            <w:tcW w:w="642" w:type="pct"/>
            <w:shd w:val="clear" w:color="auto" w:fill="FFFFFF" w:themeFill="background1"/>
          </w:tcPr>
          <w:p w14:paraId="7C47B62A" w14:textId="77777777" w:rsidR="003A1CF0" w:rsidRPr="00F03DC9" w:rsidRDefault="003A1CF0" w:rsidP="00155A17">
            <w:pPr>
              <w:spacing w:after="0" w:line="240" w:lineRule="auto"/>
              <w:ind w:left="0" w:hanging="2"/>
              <w:jc w:val="center"/>
              <w:rPr>
                <w:rFonts w:eastAsia="Calibri" w:cs="Arial"/>
                <w:lang w:val="en-US"/>
              </w:rPr>
            </w:pPr>
          </w:p>
        </w:tc>
        <w:tc>
          <w:tcPr>
            <w:tcW w:w="561" w:type="pct"/>
            <w:shd w:val="clear" w:color="auto" w:fill="FFFFFF" w:themeFill="background1"/>
          </w:tcPr>
          <w:p w14:paraId="66245142" w14:textId="77777777" w:rsidR="003A1CF0" w:rsidRPr="00F03DC9" w:rsidRDefault="003A1CF0" w:rsidP="00155A17">
            <w:pPr>
              <w:spacing w:after="0" w:line="240" w:lineRule="auto"/>
              <w:ind w:left="0" w:hanging="2"/>
              <w:jc w:val="center"/>
              <w:rPr>
                <w:rFonts w:eastAsia="Calibri" w:cs="Arial"/>
                <w:lang w:val="en-US"/>
              </w:rPr>
            </w:pPr>
          </w:p>
        </w:tc>
        <w:tc>
          <w:tcPr>
            <w:tcW w:w="509" w:type="pct"/>
            <w:shd w:val="clear" w:color="auto" w:fill="FFFFFF" w:themeFill="background1"/>
          </w:tcPr>
          <w:p w14:paraId="1A4E2F50" w14:textId="77777777" w:rsidR="003A1CF0" w:rsidRPr="00F03DC9" w:rsidRDefault="003A1CF0" w:rsidP="00155A17">
            <w:pPr>
              <w:spacing w:after="0" w:line="240" w:lineRule="auto"/>
              <w:ind w:left="0" w:hanging="2"/>
              <w:jc w:val="center"/>
              <w:rPr>
                <w:rFonts w:eastAsia="Calibri" w:cs="Arial"/>
                <w:lang w:val="en-US"/>
              </w:rPr>
            </w:pPr>
          </w:p>
        </w:tc>
      </w:tr>
      <w:tr w:rsidR="003A1CF0" w:rsidRPr="00F03DC9" w14:paraId="5A8CE1A8" w14:textId="77777777" w:rsidTr="00DD1B90">
        <w:tc>
          <w:tcPr>
            <w:tcW w:w="1363" w:type="pct"/>
            <w:shd w:val="clear" w:color="auto" w:fill="FFFFFF" w:themeFill="background1"/>
          </w:tcPr>
          <w:p w14:paraId="1240496A" w14:textId="77777777" w:rsidR="003A1CF0" w:rsidRPr="008936BC" w:rsidRDefault="003A1CF0" w:rsidP="00155A17">
            <w:pPr>
              <w:spacing w:after="0" w:line="240" w:lineRule="auto"/>
              <w:ind w:left="0" w:hanging="2"/>
              <w:rPr>
                <w:rFonts w:eastAsia="Calibri" w:cs="Arial"/>
                <w:bCs/>
                <w:lang w:val="es"/>
              </w:rPr>
            </w:pPr>
            <w:r w:rsidRPr="008936BC">
              <w:rPr>
                <w:rFonts w:eastAsia="Calibri" w:cs="Arial"/>
                <w:bCs/>
                <w:lang w:val="es"/>
              </w:rPr>
              <w:t>2. Interpersonal</w:t>
            </w:r>
          </w:p>
        </w:tc>
        <w:tc>
          <w:tcPr>
            <w:tcW w:w="642" w:type="pct"/>
            <w:shd w:val="clear" w:color="auto" w:fill="FFFFFF" w:themeFill="background1"/>
          </w:tcPr>
          <w:p w14:paraId="474D25D9" w14:textId="77777777" w:rsidR="003A1CF0" w:rsidRPr="00F03DC9" w:rsidRDefault="003A1CF0" w:rsidP="00155A17">
            <w:pPr>
              <w:spacing w:after="0" w:line="240" w:lineRule="auto"/>
              <w:ind w:left="0" w:hanging="2"/>
              <w:jc w:val="center"/>
              <w:rPr>
                <w:rFonts w:eastAsia="Calibri" w:cs="Arial"/>
                <w:lang w:val="en-US"/>
              </w:rPr>
            </w:pPr>
            <w:r>
              <w:rPr>
                <w:rFonts w:eastAsia="Calibri" w:cs="Arial"/>
                <w:lang w:val="en-US"/>
              </w:rPr>
              <w:t>0.37*</w:t>
            </w:r>
          </w:p>
        </w:tc>
        <w:tc>
          <w:tcPr>
            <w:tcW w:w="642" w:type="pct"/>
            <w:shd w:val="clear" w:color="auto" w:fill="FFFFFF" w:themeFill="background1"/>
          </w:tcPr>
          <w:p w14:paraId="75B1D477" w14:textId="77777777" w:rsidR="003A1CF0" w:rsidRPr="00F03DC9" w:rsidRDefault="003A1CF0" w:rsidP="00155A17">
            <w:pPr>
              <w:spacing w:after="0" w:line="240" w:lineRule="auto"/>
              <w:ind w:left="0" w:hanging="2"/>
              <w:jc w:val="center"/>
              <w:rPr>
                <w:rFonts w:eastAsia="Calibri" w:cs="Arial"/>
                <w:lang w:val="en-US"/>
              </w:rPr>
            </w:pPr>
            <w:r>
              <w:rPr>
                <w:rFonts w:eastAsia="Calibri" w:cs="Arial"/>
                <w:lang w:val="en-US"/>
              </w:rPr>
              <w:t>-</w:t>
            </w:r>
          </w:p>
        </w:tc>
        <w:tc>
          <w:tcPr>
            <w:tcW w:w="641" w:type="pct"/>
            <w:shd w:val="clear" w:color="auto" w:fill="FFFFFF" w:themeFill="background1"/>
          </w:tcPr>
          <w:p w14:paraId="4230C2E1" w14:textId="77777777" w:rsidR="003A1CF0" w:rsidRPr="00F03DC9" w:rsidRDefault="003A1CF0" w:rsidP="00155A17">
            <w:pPr>
              <w:spacing w:after="0" w:line="240" w:lineRule="auto"/>
              <w:ind w:left="0" w:hanging="2"/>
              <w:jc w:val="center"/>
              <w:rPr>
                <w:rFonts w:eastAsia="Calibri" w:cs="Arial"/>
                <w:lang w:val="en-US"/>
              </w:rPr>
            </w:pPr>
          </w:p>
        </w:tc>
        <w:tc>
          <w:tcPr>
            <w:tcW w:w="642" w:type="pct"/>
            <w:shd w:val="clear" w:color="auto" w:fill="FFFFFF" w:themeFill="background1"/>
          </w:tcPr>
          <w:p w14:paraId="63B11012" w14:textId="77777777" w:rsidR="003A1CF0" w:rsidRPr="00F03DC9" w:rsidRDefault="003A1CF0" w:rsidP="00155A17">
            <w:pPr>
              <w:spacing w:after="0" w:line="240" w:lineRule="auto"/>
              <w:ind w:left="0" w:hanging="2"/>
              <w:jc w:val="center"/>
              <w:rPr>
                <w:rFonts w:eastAsia="Calibri" w:cs="Arial"/>
                <w:lang w:val="en-US"/>
              </w:rPr>
            </w:pPr>
          </w:p>
        </w:tc>
        <w:tc>
          <w:tcPr>
            <w:tcW w:w="561" w:type="pct"/>
            <w:shd w:val="clear" w:color="auto" w:fill="FFFFFF" w:themeFill="background1"/>
          </w:tcPr>
          <w:p w14:paraId="1AC276AE" w14:textId="77777777" w:rsidR="003A1CF0" w:rsidRPr="00F03DC9" w:rsidRDefault="003A1CF0" w:rsidP="00155A17">
            <w:pPr>
              <w:spacing w:after="0" w:line="240" w:lineRule="auto"/>
              <w:ind w:left="0" w:hanging="2"/>
              <w:jc w:val="center"/>
              <w:rPr>
                <w:rFonts w:eastAsia="Calibri" w:cs="Arial"/>
                <w:lang w:val="en-US"/>
              </w:rPr>
            </w:pPr>
          </w:p>
        </w:tc>
        <w:tc>
          <w:tcPr>
            <w:tcW w:w="509" w:type="pct"/>
            <w:shd w:val="clear" w:color="auto" w:fill="FFFFFF" w:themeFill="background1"/>
          </w:tcPr>
          <w:p w14:paraId="314FB985" w14:textId="77777777" w:rsidR="003A1CF0" w:rsidRPr="00F03DC9" w:rsidRDefault="003A1CF0" w:rsidP="00155A17">
            <w:pPr>
              <w:spacing w:after="0" w:line="240" w:lineRule="auto"/>
              <w:ind w:left="0" w:hanging="2"/>
              <w:jc w:val="center"/>
              <w:rPr>
                <w:rFonts w:eastAsia="Calibri" w:cs="Arial"/>
                <w:lang w:val="en-US"/>
              </w:rPr>
            </w:pPr>
          </w:p>
        </w:tc>
      </w:tr>
      <w:tr w:rsidR="003A1CF0" w:rsidRPr="00F03DC9" w14:paraId="440A4AC7" w14:textId="77777777" w:rsidTr="00DD1B90">
        <w:tc>
          <w:tcPr>
            <w:tcW w:w="1363" w:type="pct"/>
            <w:shd w:val="clear" w:color="auto" w:fill="FFFFFF" w:themeFill="background1"/>
          </w:tcPr>
          <w:p w14:paraId="69B9C8AA" w14:textId="77777777" w:rsidR="003A1CF0" w:rsidRPr="008936BC" w:rsidRDefault="003A1CF0" w:rsidP="00155A17">
            <w:pPr>
              <w:spacing w:after="0" w:line="240" w:lineRule="auto"/>
              <w:ind w:left="0" w:hanging="2"/>
              <w:rPr>
                <w:rFonts w:eastAsia="Calibri" w:cs="Arial"/>
                <w:bCs/>
                <w:lang w:val="es"/>
              </w:rPr>
            </w:pPr>
            <w:r w:rsidRPr="008936BC">
              <w:rPr>
                <w:rFonts w:eastAsia="Calibri" w:cs="Arial"/>
                <w:bCs/>
                <w:lang w:val="es"/>
              </w:rPr>
              <w:t>3. Carrera</w:t>
            </w:r>
          </w:p>
        </w:tc>
        <w:tc>
          <w:tcPr>
            <w:tcW w:w="642" w:type="pct"/>
            <w:shd w:val="clear" w:color="auto" w:fill="FFFFFF" w:themeFill="background1"/>
          </w:tcPr>
          <w:p w14:paraId="17540B69" w14:textId="77777777" w:rsidR="003A1CF0" w:rsidRPr="00F03DC9" w:rsidRDefault="003A1CF0" w:rsidP="00155A17">
            <w:pPr>
              <w:spacing w:after="0" w:line="240" w:lineRule="auto"/>
              <w:ind w:left="0" w:hanging="2"/>
              <w:jc w:val="center"/>
              <w:rPr>
                <w:rFonts w:eastAsia="Calibri" w:cs="Arial"/>
                <w:lang w:val="en-US"/>
              </w:rPr>
            </w:pPr>
            <w:r>
              <w:rPr>
                <w:rFonts w:eastAsia="Calibri" w:cs="Arial"/>
                <w:lang w:val="en-US"/>
              </w:rPr>
              <w:t>0.37*</w:t>
            </w:r>
          </w:p>
        </w:tc>
        <w:tc>
          <w:tcPr>
            <w:tcW w:w="642" w:type="pct"/>
            <w:shd w:val="clear" w:color="auto" w:fill="FFFFFF" w:themeFill="background1"/>
          </w:tcPr>
          <w:p w14:paraId="0E4672F8" w14:textId="77777777" w:rsidR="003A1CF0" w:rsidRPr="00F03DC9" w:rsidRDefault="003A1CF0" w:rsidP="00155A17">
            <w:pPr>
              <w:spacing w:after="0" w:line="240" w:lineRule="auto"/>
              <w:ind w:left="0" w:hanging="2"/>
              <w:jc w:val="center"/>
              <w:rPr>
                <w:rFonts w:eastAsia="Calibri" w:cs="Arial"/>
                <w:lang w:val="en-US"/>
              </w:rPr>
            </w:pPr>
            <w:r>
              <w:rPr>
                <w:rFonts w:eastAsia="Calibri" w:cs="Arial"/>
                <w:lang w:val="en-US"/>
              </w:rPr>
              <w:t>0.33*</w:t>
            </w:r>
          </w:p>
        </w:tc>
        <w:tc>
          <w:tcPr>
            <w:tcW w:w="641" w:type="pct"/>
            <w:shd w:val="clear" w:color="auto" w:fill="FFFFFF" w:themeFill="background1"/>
          </w:tcPr>
          <w:p w14:paraId="3FB553EF" w14:textId="77777777" w:rsidR="003A1CF0" w:rsidRPr="00F03DC9" w:rsidRDefault="003A1CF0" w:rsidP="00155A17">
            <w:pPr>
              <w:spacing w:after="0" w:line="240" w:lineRule="auto"/>
              <w:ind w:left="0" w:hanging="2"/>
              <w:jc w:val="center"/>
              <w:rPr>
                <w:rFonts w:eastAsia="Calibri" w:cs="Arial"/>
                <w:lang w:val="en-US"/>
              </w:rPr>
            </w:pPr>
            <w:r>
              <w:rPr>
                <w:rFonts w:eastAsia="Calibri" w:cs="Arial"/>
                <w:lang w:val="en-US"/>
              </w:rPr>
              <w:t>-</w:t>
            </w:r>
          </w:p>
        </w:tc>
        <w:tc>
          <w:tcPr>
            <w:tcW w:w="642" w:type="pct"/>
            <w:shd w:val="clear" w:color="auto" w:fill="FFFFFF" w:themeFill="background1"/>
          </w:tcPr>
          <w:p w14:paraId="2A61C860" w14:textId="77777777" w:rsidR="003A1CF0" w:rsidRPr="00F03DC9" w:rsidRDefault="003A1CF0" w:rsidP="00155A17">
            <w:pPr>
              <w:spacing w:after="0" w:line="240" w:lineRule="auto"/>
              <w:ind w:left="0" w:hanging="2"/>
              <w:jc w:val="center"/>
              <w:rPr>
                <w:rFonts w:eastAsia="Calibri" w:cs="Arial"/>
                <w:lang w:val="en-US"/>
              </w:rPr>
            </w:pPr>
          </w:p>
        </w:tc>
        <w:tc>
          <w:tcPr>
            <w:tcW w:w="561" w:type="pct"/>
            <w:shd w:val="clear" w:color="auto" w:fill="FFFFFF" w:themeFill="background1"/>
          </w:tcPr>
          <w:p w14:paraId="0450C878" w14:textId="77777777" w:rsidR="003A1CF0" w:rsidRPr="00F03DC9" w:rsidRDefault="003A1CF0" w:rsidP="00155A17">
            <w:pPr>
              <w:spacing w:after="0" w:line="240" w:lineRule="auto"/>
              <w:ind w:left="0" w:hanging="2"/>
              <w:jc w:val="center"/>
              <w:rPr>
                <w:rFonts w:eastAsia="Calibri" w:cs="Arial"/>
                <w:lang w:val="en-US"/>
              </w:rPr>
            </w:pPr>
          </w:p>
        </w:tc>
        <w:tc>
          <w:tcPr>
            <w:tcW w:w="509" w:type="pct"/>
            <w:shd w:val="clear" w:color="auto" w:fill="FFFFFF" w:themeFill="background1"/>
          </w:tcPr>
          <w:p w14:paraId="2A2762E9" w14:textId="77777777" w:rsidR="003A1CF0" w:rsidRPr="00F03DC9" w:rsidRDefault="003A1CF0" w:rsidP="00155A17">
            <w:pPr>
              <w:spacing w:after="0" w:line="240" w:lineRule="auto"/>
              <w:ind w:left="0" w:hanging="2"/>
              <w:jc w:val="center"/>
              <w:rPr>
                <w:rFonts w:eastAsia="Calibri" w:cs="Arial"/>
                <w:lang w:val="en-US"/>
              </w:rPr>
            </w:pPr>
          </w:p>
        </w:tc>
      </w:tr>
      <w:tr w:rsidR="003A1CF0" w:rsidRPr="00F03DC9" w14:paraId="4DF4BB94" w14:textId="77777777" w:rsidTr="00DD1B90">
        <w:tc>
          <w:tcPr>
            <w:tcW w:w="1363" w:type="pct"/>
            <w:shd w:val="clear" w:color="auto" w:fill="FFFFFF" w:themeFill="background1"/>
          </w:tcPr>
          <w:p w14:paraId="59E38EBB" w14:textId="0AC40145" w:rsidR="003A1CF0" w:rsidRPr="008936BC" w:rsidRDefault="003A1CF0" w:rsidP="00155A17">
            <w:pPr>
              <w:spacing w:after="0" w:line="240" w:lineRule="auto"/>
              <w:ind w:left="0" w:hanging="2"/>
              <w:rPr>
                <w:rFonts w:eastAsia="Calibri" w:cs="Arial"/>
                <w:bCs/>
                <w:lang w:val="es"/>
              </w:rPr>
            </w:pPr>
            <w:r w:rsidRPr="008936BC">
              <w:rPr>
                <w:rFonts w:eastAsia="Calibri" w:cs="Arial"/>
                <w:bCs/>
                <w:lang w:val="es"/>
              </w:rPr>
              <w:t xml:space="preserve">4. </w:t>
            </w:r>
            <w:r w:rsidR="003B514E">
              <w:rPr>
                <w:rFonts w:eastAsia="Calibri" w:cs="Arial"/>
                <w:bCs/>
                <w:lang w:val="es"/>
              </w:rPr>
              <w:t xml:space="preserve">Hábitos de </w:t>
            </w:r>
            <w:r w:rsidRPr="008936BC">
              <w:rPr>
                <w:rFonts w:eastAsia="Calibri" w:cs="Arial"/>
                <w:bCs/>
                <w:lang w:val="es"/>
              </w:rPr>
              <w:t>Estudio</w:t>
            </w:r>
          </w:p>
        </w:tc>
        <w:tc>
          <w:tcPr>
            <w:tcW w:w="642" w:type="pct"/>
            <w:shd w:val="clear" w:color="auto" w:fill="FFFFFF" w:themeFill="background1"/>
          </w:tcPr>
          <w:p w14:paraId="09E77EFE" w14:textId="77777777" w:rsidR="003A1CF0" w:rsidRPr="00F03DC9" w:rsidRDefault="003A1CF0" w:rsidP="00155A17">
            <w:pPr>
              <w:spacing w:after="0" w:line="240" w:lineRule="auto"/>
              <w:ind w:left="0" w:hanging="2"/>
              <w:jc w:val="center"/>
              <w:rPr>
                <w:rFonts w:eastAsia="Calibri" w:cs="Arial"/>
                <w:lang w:val="en-US"/>
              </w:rPr>
            </w:pPr>
            <w:r>
              <w:rPr>
                <w:rFonts w:eastAsia="Calibri" w:cs="Arial"/>
                <w:lang w:val="en-US"/>
              </w:rPr>
              <w:t>0.56*</w:t>
            </w:r>
          </w:p>
        </w:tc>
        <w:tc>
          <w:tcPr>
            <w:tcW w:w="642" w:type="pct"/>
            <w:shd w:val="clear" w:color="auto" w:fill="FFFFFF" w:themeFill="background1"/>
          </w:tcPr>
          <w:p w14:paraId="10FF8EB3" w14:textId="77777777" w:rsidR="003A1CF0" w:rsidRPr="00F03DC9" w:rsidRDefault="003A1CF0" w:rsidP="00155A17">
            <w:pPr>
              <w:spacing w:after="0" w:line="240" w:lineRule="auto"/>
              <w:ind w:left="0" w:hanging="2"/>
              <w:jc w:val="center"/>
              <w:rPr>
                <w:rFonts w:eastAsia="Calibri" w:cs="Arial"/>
                <w:lang w:val="en-US"/>
              </w:rPr>
            </w:pPr>
            <w:r>
              <w:rPr>
                <w:rFonts w:eastAsia="Calibri" w:cs="Arial"/>
                <w:lang w:val="en-US"/>
              </w:rPr>
              <w:t>0.40*</w:t>
            </w:r>
          </w:p>
        </w:tc>
        <w:tc>
          <w:tcPr>
            <w:tcW w:w="641" w:type="pct"/>
            <w:shd w:val="clear" w:color="auto" w:fill="FFFFFF" w:themeFill="background1"/>
          </w:tcPr>
          <w:p w14:paraId="371213E3" w14:textId="77777777" w:rsidR="003A1CF0" w:rsidRPr="00F03DC9" w:rsidRDefault="003A1CF0" w:rsidP="00155A17">
            <w:pPr>
              <w:spacing w:after="0" w:line="240" w:lineRule="auto"/>
              <w:ind w:left="0" w:hanging="2"/>
              <w:jc w:val="center"/>
              <w:rPr>
                <w:rFonts w:eastAsia="Calibri" w:cs="Arial"/>
                <w:lang w:val="en-US"/>
              </w:rPr>
            </w:pPr>
            <w:r>
              <w:rPr>
                <w:rFonts w:eastAsia="Calibri" w:cs="Arial"/>
                <w:lang w:val="en-US"/>
              </w:rPr>
              <w:t>0.38*</w:t>
            </w:r>
          </w:p>
        </w:tc>
        <w:tc>
          <w:tcPr>
            <w:tcW w:w="642" w:type="pct"/>
            <w:shd w:val="clear" w:color="auto" w:fill="FFFFFF" w:themeFill="background1"/>
          </w:tcPr>
          <w:p w14:paraId="4B91C168" w14:textId="77777777" w:rsidR="003A1CF0" w:rsidRPr="00F03DC9" w:rsidRDefault="003A1CF0" w:rsidP="00155A17">
            <w:pPr>
              <w:spacing w:after="0" w:line="240" w:lineRule="auto"/>
              <w:ind w:left="0" w:hanging="2"/>
              <w:jc w:val="center"/>
              <w:rPr>
                <w:rFonts w:eastAsia="Calibri" w:cs="Arial"/>
                <w:lang w:val="en-US"/>
              </w:rPr>
            </w:pPr>
            <w:r>
              <w:rPr>
                <w:rFonts w:eastAsia="Calibri" w:cs="Arial"/>
                <w:lang w:val="en-US"/>
              </w:rPr>
              <w:t>-</w:t>
            </w:r>
          </w:p>
        </w:tc>
        <w:tc>
          <w:tcPr>
            <w:tcW w:w="561" w:type="pct"/>
            <w:shd w:val="clear" w:color="auto" w:fill="FFFFFF" w:themeFill="background1"/>
          </w:tcPr>
          <w:p w14:paraId="31B599BC" w14:textId="77777777" w:rsidR="003A1CF0" w:rsidRPr="00F03DC9" w:rsidRDefault="003A1CF0" w:rsidP="00155A17">
            <w:pPr>
              <w:spacing w:after="0" w:line="240" w:lineRule="auto"/>
              <w:ind w:left="0" w:hanging="2"/>
              <w:jc w:val="center"/>
              <w:rPr>
                <w:rFonts w:eastAsia="Calibri" w:cs="Arial"/>
                <w:lang w:val="en-US"/>
              </w:rPr>
            </w:pPr>
          </w:p>
        </w:tc>
        <w:tc>
          <w:tcPr>
            <w:tcW w:w="509" w:type="pct"/>
            <w:shd w:val="clear" w:color="auto" w:fill="FFFFFF" w:themeFill="background1"/>
          </w:tcPr>
          <w:p w14:paraId="1ED78ACE" w14:textId="77777777" w:rsidR="003A1CF0" w:rsidRPr="00F03DC9" w:rsidRDefault="003A1CF0" w:rsidP="00155A17">
            <w:pPr>
              <w:spacing w:after="0" w:line="240" w:lineRule="auto"/>
              <w:ind w:left="0" w:hanging="2"/>
              <w:jc w:val="center"/>
              <w:rPr>
                <w:rFonts w:eastAsia="Calibri" w:cs="Arial"/>
                <w:lang w:val="en-US"/>
              </w:rPr>
            </w:pPr>
          </w:p>
        </w:tc>
      </w:tr>
      <w:tr w:rsidR="003A1CF0" w:rsidRPr="00F03DC9" w14:paraId="765D2704" w14:textId="77777777" w:rsidTr="00DD1B90">
        <w:tc>
          <w:tcPr>
            <w:tcW w:w="1363" w:type="pct"/>
            <w:tcBorders>
              <w:left w:val="nil"/>
              <w:right w:val="nil"/>
            </w:tcBorders>
            <w:shd w:val="clear" w:color="auto" w:fill="FFFFFF" w:themeFill="background1"/>
          </w:tcPr>
          <w:p w14:paraId="40CD0631" w14:textId="77777777" w:rsidR="003A1CF0" w:rsidRPr="008936BC" w:rsidRDefault="003A1CF0" w:rsidP="00155A17">
            <w:pPr>
              <w:spacing w:after="0" w:line="240" w:lineRule="auto"/>
              <w:ind w:left="0" w:hanging="2"/>
              <w:rPr>
                <w:rFonts w:eastAsia="Calibri" w:cs="Arial"/>
                <w:bCs/>
                <w:lang w:val="es"/>
              </w:rPr>
            </w:pPr>
            <w:r w:rsidRPr="008936BC">
              <w:rPr>
                <w:rFonts w:eastAsia="Calibri" w:cs="Arial"/>
                <w:bCs/>
                <w:lang w:val="es"/>
              </w:rPr>
              <w:t>5. Institucional</w:t>
            </w:r>
          </w:p>
        </w:tc>
        <w:tc>
          <w:tcPr>
            <w:tcW w:w="642" w:type="pct"/>
            <w:tcBorders>
              <w:left w:val="nil"/>
              <w:right w:val="nil"/>
            </w:tcBorders>
            <w:shd w:val="clear" w:color="auto" w:fill="FFFFFF" w:themeFill="background1"/>
          </w:tcPr>
          <w:p w14:paraId="14734F15" w14:textId="77777777" w:rsidR="003A1CF0" w:rsidRPr="00F03DC9" w:rsidRDefault="003A1CF0" w:rsidP="00155A17">
            <w:pPr>
              <w:spacing w:after="0" w:line="240" w:lineRule="auto"/>
              <w:ind w:left="0" w:hanging="2"/>
              <w:jc w:val="center"/>
              <w:rPr>
                <w:rFonts w:eastAsia="Calibri" w:cs="Arial"/>
                <w:lang w:val="en-US"/>
              </w:rPr>
            </w:pPr>
            <w:r>
              <w:rPr>
                <w:rFonts w:eastAsia="Calibri" w:cs="Arial"/>
                <w:lang w:val="en-US"/>
              </w:rPr>
              <w:t>0.32*</w:t>
            </w:r>
          </w:p>
        </w:tc>
        <w:tc>
          <w:tcPr>
            <w:tcW w:w="642" w:type="pct"/>
            <w:tcBorders>
              <w:left w:val="nil"/>
              <w:right w:val="nil"/>
            </w:tcBorders>
            <w:shd w:val="clear" w:color="auto" w:fill="FFFFFF" w:themeFill="background1"/>
          </w:tcPr>
          <w:p w14:paraId="26ADA4D5" w14:textId="77777777" w:rsidR="003A1CF0" w:rsidRPr="00F03DC9" w:rsidRDefault="003A1CF0" w:rsidP="00155A17">
            <w:pPr>
              <w:spacing w:after="0" w:line="240" w:lineRule="auto"/>
              <w:ind w:left="0" w:hanging="2"/>
              <w:jc w:val="center"/>
              <w:rPr>
                <w:rFonts w:eastAsia="Calibri" w:cs="Arial"/>
                <w:lang w:val="en-US"/>
              </w:rPr>
            </w:pPr>
            <w:r>
              <w:rPr>
                <w:rFonts w:eastAsia="Calibri" w:cs="Arial"/>
                <w:lang w:val="en-US"/>
              </w:rPr>
              <w:t>0.32*</w:t>
            </w:r>
          </w:p>
        </w:tc>
        <w:tc>
          <w:tcPr>
            <w:tcW w:w="641" w:type="pct"/>
            <w:tcBorders>
              <w:left w:val="nil"/>
              <w:right w:val="nil"/>
            </w:tcBorders>
            <w:shd w:val="clear" w:color="auto" w:fill="FFFFFF" w:themeFill="background1"/>
          </w:tcPr>
          <w:p w14:paraId="6E994ECD" w14:textId="77777777" w:rsidR="003A1CF0" w:rsidRPr="00F03DC9" w:rsidRDefault="003A1CF0" w:rsidP="00155A17">
            <w:pPr>
              <w:spacing w:after="0" w:line="240" w:lineRule="auto"/>
              <w:ind w:left="0" w:hanging="2"/>
              <w:jc w:val="center"/>
              <w:rPr>
                <w:rFonts w:eastAsia="Calibri" w:cs="Arial"/>
                <w:lang w:val="en-US"/>
              </w:rPr>
            </w:pPr>
            <w:r>
              <w:rPr>
                <w:rFonts w:eastAsia="Calibri" w:cs="Arial"/>
                <w:lang w:val="en-US"/>
              </w:rPr>
              <w:t>0.39*</w:t>
            </w:r>
          </w:p>
        </w:tc>
        <w:tc>
          <w:tcPr>
            <w:tcW w:w="642" w:type="pct"/>
            <w:tcBorders>
              <w:left w:val="nil"/>
              <w:right w:val="nil"/>
            </w:tcBorders>
            <w:shd w:val="clear" w:color="auto" w:fill="FFFFFF" w:themeFill="background1"/>
          </w:tcPr>
          <w:p w14:paraId="0A70FCFF" w14:textId="77777777" w:rsidR="003A1CF0" w:rsidRPr="00F03DC9" w:rsidRDefault="003A1CF0" w:rsidP="00155A17">
            <w:pPr>
              <w:spacing w:after="0" w:line="240" w:lineRule="auto"/>
              <w:ind w:left="0" w:hanging="2"/>
              <w:jc w:val="center"/>
              <w:rPr>
                <w:rFonts w:eastAsia="Calibri" w:cs="Arial"/>
                <w:lang w:val="en-US"/>
              </w:rPr>
            </w:pPr>
            <w:r>
              <w:rPr>
                <w:rFonts w:eastAsia="Calibri" w:cs="Arial"/>
                <w:lang w:val="en-US"/>
              </w:rPr>
              <w:t>0.46*</w:t>
            </w:r>
          </w:p>
        </w:tc>
        <w:tc>
          <w:tcPr>
            <w:tcW w:w="561" w:type="pct"/>
            <w:tcBorders>
              <w:left w:val="nil"/>
              <w:right w:val="nil"/>
            </w:tcBorders>
            <w:shd w:val="clear" w:color="auto" w:fill="FFFFFF" w:themeFill="background1"/>
          </w:tcPr>
          <w:p w14:paraId="2BA6731E" w14:textId="77777777" w:rsidR="003A1CF0" w:rsidRPr="00F03DC9" w:rsidRDefault="003A1CF0" w:rsidP="00155A17">
            <w:pPr>
              <w:spacing w:after="0" w:line="240" w:lineRule="auto"/>
              <w:ind w:left="0" w:hanging="2"/>
              <w:jc w:val="center"/>
              <w:rPr>
                <w:rFonts w:eastAsia="Calibri" w:cs="Arial"/>
                <w:lang w:val="en-US"/>
              </w:rPr>
            </w:pPr>
            <w:r>
              <w:rPr>
                <w:rFonts w:eastAsia="Calibri" w:cs="Arial"/>
                <w:lang w:val="en-US"/>
              </w:rPr>
              <w:t>-</w:t>
            </w:r>
          </w:p>
        </w:tc>
        <w:tc>
          <w:tcPr>
            <w:tcW w:w="509" w:type="pct"/>
            <w:tcBorders>
              <w:left w:val="nil"/>
              <w:right w:val="nil"/>
            </w:tcBorders>
            <w:shd w:val="clear" w:color="auto" w:fill="FFFFFF" w:themeFill="background1"/>
          </w:tcPr>
          <w:p w14:paraId="2B9B0D62" w14:textId="77777777" w:rsidR="003A1CF0" w:rsidRPr="00F03DC9" w:rsidRDefault="003A1CF0" w:rsidP="00155A17">
            <w:pPr>
              <w:spacing w:after="0" w:line="240" w:lineRule="auto"/>
              <w:ind w:left="0" w:hanging="2"/>
              <w:jc w:val="center"/>
              <w:rPr>
                <w:rFonts w:eastAsia="Calibri" w:cs="Arial"/>
                <w:lang w:val="en-US"/>
              </w:rPr>
            </w:pPr>
          </w:p>
        </w:tc>
      </w:tr>
      <w:tr w:rsidR="003A1CF0" w:rsidRPr="00F03DC9" w14:paraId="38E60849" w14:textId="77777777" w:rsidTr="00DD1B90">
        <w:tc>
          <w:tcPr>
            <w:tcW w:w="1363" w:type="pct"/>
            <w:tcBorders>
              <w:left w:val="nil"/>
              <w:right w:val="nil"/>
            </w:tcBorders>
            <w:shd w:val="clear" w:color="auto" w:fill="FFFFFF" w:themeFill="background1"/>
          </w:tcPr>
          <w:p w14:paraId="6EAEAA0E" w14:textId="77777777" w:rsidR="003A1CF0" w:rsidRPr="008936BC" w:rsidRDefault="003A1CF0" w:rsidP="00155A17">
            <w:pPr>
              <w:spacing w:after="0" w:line="240" w:lineRule="auto"/>
              <w:ind w:left="0" w:hanging="2"/>
              <w:rPr>
                <w:rFonts w:eastAsia="Calibri" w:cs="Arial"/>
                <w:bCs/>
                <w:lang w:val="es"/>
              </w:rPr>
            </w:pPr>
            <w:r w:rsidRPr="008936BC">
              <w:rPr>
                <w:rFonts w:eastAsia="Calibri" w:cs="Arial"/>
                <w:bCs/>
                <w:lang w:val="es"/>
              </w:rPr>
              <w:t>6. Intención de abandono</w:t>
            </w:r>
          </w:p>
        </w:tc>
        <w:tc>
          <w:tcPr>
            <w:tcW w:w="642" w:type="pct"/>
            <w:tcBorders>
              <w:left w:val="nil"/>
              <w:right w:val="nil"/>
            </w:tcBorders>
            <w:shd w:val="clear" w:color="auto" w:fill="FFFFFF" w:themeFill="background1"/>
          </w:tcPr>
          <w:p w14:paraId="3DBEC09D" w14:textId="77777777" w:rsidR="003A1CF0" w:rsidRPr="00F03DC9" w:rsidRDefault="003A1CF0" w:rsidP="00155A17">
            <w:pPr>
              <w:spacing w:after="0" w:line="240" w:lineRule="auto"/>
              <w:ind w:left="0" w:hanging="2"/>
              <w:jc w:val="center"/>
              <w:rPr>
                <w:rFonts w:eastAsia="Calibri" w:cs="Arial"/>
                <w:lang w:val="en-US"/>
              </w:rPr>
            </w:pPr>
            <w:r>
              <w:rPr>
                <w:rFonts w:eastAsia="Calibri" w:cs="Arial"/>
                <w:lang w:val="en-US"/>
              </w:rPr>
              <w:t>-0.37*</w:t>
            </w:r>
          </w:p>
        </w:tc>
        <w:tc>
          <w:tcPr>
            <w:tcW w:w="642" w:type="pct"/>
            <w:tcBorders>
              <w:left w:val="nil"/>
              <w:right w:val="nil"/>
            </w:tcBorders>
            <w:shd w:val="clear" w:color="auto" w:fill="FFFFFF" w:themeFill="background1"/>
          </w:tcPr>
          <w:p w14:paraId="59F025AB" w14:textId="77777777" w:rsidR="003A1CF0" w:rsidRPr="00F03DC9" w:rsidRDefault="003A1CF0" w:rsidP="00155A17">
            <w:pPr>
              <w:spacing w:after="0" w:line="240" w:lineRule="auto"/>
              <w:ind w:left="0" w:hanging="2"/>
              <w:jc w:val="center"/>
              <w:rPr>
                <w:rFonts w:eastAsia="Calibri" w:cs="Arial"/>
                <w:lang w:val="en-US"/>
              </w:rPr>
            </w:pPr>
            <w:r>
              <w:rPr>
                <w:rFonts w:eastAsia="Calibri" w:cs="Arial"/>
                <w:lang w:val="en-US"/>
              </w:rPr>
              <w:t>-0.22*</w:t>
            </w:r>
          </w:p>
        </w:tc>
        <w:tc>
          <w:tcPr>
            <w:tcW w:w="641" w:type="pct"/>
            <w:tcBorders>
              <w:left w:val="nil"/>
              <w:right w:val="nil"/>
            </w:tcBorders>
            <w:shd w:val="clear" w:color="auto" w:fill="FFFFFF" w:themeFill="background1"/>
          </w:tcPr>
          <w:p w14:paraId="6CE1FAC4" w14:textId="77777777" w:rsidR="003A1CF0" w:rsidRPr="00F03DC9" w:rsidRDefault="003A1CF0" w:rsidP="00155A17">
            <w:pPr>
              <w:spacing w:after="0" w:line="240" w:lineRule="auto"/>
              <w:ind w:left="0" w:hanging="2"/>
              <w:jc w:val="center"/>
              <w:rPr>
                <w:rFonts w:eastAsia="Calibri" w:cs="Arial"/>
                <w:lang w:val="en-US"/>
              </w:rPr>
            </w:pPr>
            <w:r>
              <w:rPr>
                <w:rFonts w:eastAsia="Calibri" w:cs="Arial"/>
                <w:lang w:val="en-US"/>
              </w:rPr>
              <w:t>-0.61*</w:t>
            </w:r>
          </w:p>
        </w:tc>
        <w:tc>
          <w:tcPr>
            <w:tcW w:w="642" w:type="pct"/>
            <w:tcBorders>
              <w:left w:val="nil"/>
              <w:right w:val="nil"/>
            </w:tcBorders>
            <w:shd w:val="clear" w:color="auto" w:fill="FFFFFF" w:themeFill="background1"/>
          </w:tcPr>
          <w:p w14:paraId="345E35C1" w14:textId="77777777" w:rsidR="003A1CF0" w:rsidRPr="00F03DC9" w:rsidRDefault="003A1CF0" w:rsidP="00155A17">
            <w:pPr>
              <w:spacing w:after="0" w:line="240" w:lineRule="auto"/>
              <w:ind w:left="0" w:hanging="2"/>
              <w:jc w:val="center"/>
              <w:rPr>
                <w:rFonts w:eastAsia="Calibri" w:cs="Arial"/>
                <w:lang w:val="en-US"/>
              </w:rPr>
            </w:pPr>
            <w:r>
              <w:rPr>
                <w:rFonts w:eastAsia="Calibri" w:cs="Arial"/>
                <w:lang w:val="en-US"/>
              </w:rPr>
              <w:t>-0.31*</w:t>
            </w:r>
          </w:p>
        </w:tc>
        <w:tc>
          <w:tcPr>
            <w:tcW w:w="561" w:type="pct"/>
            <w:tcBorders>
              <w:left w:val="nil"/>
              <w:right w:val="nil"/>
            </w:tcBorders>
            <w:shd w:val="clear" w:color="auto" w:fill="FFFFFF" w:themeFill="background1"/>
          </w:tcPr>
          <w:p w14:paraId="1D40ED08" w14:textId="77777777" w:rsidR="003A1CF0" w:rsidRPr="00F03DC9" w:rsidRDefault="003A1CF0" w:rsidP="00155A17">
            <w:pPr>
              <w:spacing w:after="0" w:line="240" w:lineRule="auto"/>
              <w:ind w:left="0" w:hanging="2"/>
              <w:jc w:val="center"/>
              <w:rPr>
                <w:rFonts w:eastAsia="Calibri" w:cs="Arial"/>
                <w:lang w:val="en-US"/>
              </w:rPr>
            </w:pPr>
            <w:r>
              <w:rPr>
                <w:rFonts w:eastAsia="Calibri" w:cs="Arial"/>
                <w:lang w:val="en-US"/>
              </w:rPr>
              <w:t>-0.35*</w:t>
            </w:r>
          </w:p>
        </w:tc>
        <w:tc>
          <w:tcPr>
            <w:tcW w:w="509" w:type="pct"/>
            <w:tcBorders>
              <w:left w:val="nil"/>
              <w:right w:val="nil"/>
            </w:tcBorders>
            <w:shd w:val="clear" w:color="auto" w:fill="FFFFFF" w:themeFill="background1"/>
          </w:tcPr>
          <w:p w14:paraId="5ED1FD0F" w14:textId="77777777" w:rsidR="003A1CF0" w:rsidRPr="00F03DC9" w:rsidRDefault="003A1CF0" w:rsidP="00155A17">
            <w:pPr>
              <w:spacing w:after="0" w:line="240" w:lineRule="auto"/>
              <w:ind w:left="0" w:hanging="2"/>
              <w:jc w:val="center"/>
              <w:rPr>
                <w:rFonts w:eastAsia="Calibri" w:cs="Arial"/>
                <w:lang w:val="en-US"/>
              </w:rPr>
            </w:pPr>
            <w:r>
              <w:rPr>
                <w:rFonts w:eastAsia="Calibri" w:cs="Arial"/>
                <w:lang w:val="en-US"/>
              </w:rPr>
              <w:t>-</w:t>
            </w:r>
          </w:p>
        </w:tc>
      </w:tr>
      <w:tr w:rsidR="003A1CF0" w:rsidRPr="00F03DC9" w14:paraId="76698F10" w14:textId="77777777" w:rsidTr="00DD1B90">
        <w:tc>
          <w:tcPr>
            <w:tcW w:w="1363" w:type="pct"/>
            <w:tcBorders>
              <w:left w:val="nil"/>
              <w:right w:val="nil"/>
            </w:tcBorders>
            <w:shd w:val="clear" w:color="auto" w:fill="FFFFFF" w:themeFill="background1"/>
          </w:tcPr>
          <w:p w14:paraId="6BD89835" w14:textId="77777777" w:rsidR="003A1CF0" w:rsidRPr="00C82B67" w:rsidRDefault="003A1CF0" w:rsidP="00155A17">
            <w:pPr>
              <w:spacing w:after="0" w:line="240" w:lineRule="auto"/>
              <w:ind w:left="0" w:hanging="2"/>
              <w:rPr>
                <w:rFonts w:eastAsia="Calibri" w:cs="Arial"/>
                <w:b/>
                <w:bCs/>
                <w:lang w:val="es"/>
              </w:rPr>
            </w:pPr>
            <w:r w:rsidRPr="00C82B67">
              <w:rPr>
                <w:rFonts w:eastAsia="Calibri" w:cs="Arial"/>
                <w:b/>
                <w:bCs/>
                <w:lang w:val="es"/>
              </w:rPr>
              <w:t>Estadística descriptiva</w:t>
            </w:r>
          </w:p>
        </w:tc>
        <w:tc>
          <w:tcPr>
            <w:tcW w:w="642" w:type="pct"/>
            <w:tcBorders>
              <w:left w:val="nil"/>
              <w:right w:val="nil"/>
            </w:tcBorders>
            <w:shd w:val="clear" w:color="auto" w:fill="FFFFFF" w:themeFill="background1"/>
          </w:tcPr>
          <w:p w14:paraId="6F54123A" w14:textId="77777777" w:rsidR="003A1CF0" w:rsidRDefault="003A1CF0" w:rsidP="00155A17">
            <w:pPr>
              <w:spacing w:after="0" w:line="240" w:lineRule="auto"/>
              <w:ind w:left="0" w:hanging="2"/>
              <w:jc w:val="center"/>
              <w:rPr>
                <w:rFonts w:eastAsia="Calibri" w:cs="Arial"/>
                <w:lang w:val="en-US"/>
              </w:rPr>
            </w:pPr>
          </w:p>
        </w:tc>
        <w:tc>
          <w:tcPr>
            <w:tcW w:w="642" w:type="pct"/>
            <w:tcBorders>
              <w:left w:val="nil"/>
              <w:right w:val="nil"/>
            </w:tcBorders>
            <w:shd w:val="clear" w:color="auto" w:fill="FFFFFF" w:themeFill="background1"/>
          </w:tcPr>
          <w:p w14:paraId="074C2758" w14:textId="77777777" w:rsidR="003A1CF0" w:rsidRDefault="003A1CF0" w:rsidP="00155A17">
            <w:pPr>
              <w:spacing w:after="0" w:line="240" w:lineRule="auto"/>
              <w:ind w:left="0" w:hanging="2"/>
              <w:jc w:val="center"/>
              <w:rPr>
                <w:rFonts w:eastAsia="Calibri" w:cs="Arial"/>
                <w:lang w:val="en-US"/>
              </w:rPr>
            </w:pPr>
          </w:p>
        </w:tc>
        <w:tc>
          <w:tcPr>
            <w:tcW w:w="641" w:type="pct"/>
            <w:tcBorders>
              <w:left w:val="nil"/>
              <w:right w:val="nil"/>
            </w:tcBorders>
            <w:shd w:val="clear" w:color="auto" w:fill="FFFFFF" w:themeFill="background1"/>
          </w:tcPr>
          <w:p w14:paraId="0F8E2095" w14:textId="77777777" w:rsidR="003A1CF0" w:rsidRDefault="003A1CF0" w:rsidP="00155A17">
            <w:pPr>
              <w:spacing w:after="0" w:line="240" w:lineRule="auto"/>
              <w:ind w:left="0" w:hanging="2"/>
              <w:jc w:val="center"/>
              <w:rPr>
                <w:rFonts w:eastAsia="Calibri" w:cs="Arial"/>
                <w:lang w:val="en-US"/>
              </w:rPr>
            </w:pPr>
          </w:p>
        </w:tc>
        <w:tc>
          <w:tcPr>
            <w:tcW w:w="642" w:type="pct"/>
            <w:tcBorders>
              <w:left w:val="nil"/>
              <w:right w:val="nil"/>
            </w:tcBorders>
            <w:shd w:val="clear" w:color="auto" w:fill="FFFFFF" w:themeFill="background1"/>
          </w:tcPr>
          <w:p w14:paraId="5A849DCA" w14:textId="77777777" w:rsidR="003A1CF0" w:rsidRDefault="003A1CF0" w:rsidP="00155A17">
            <w:pPr>
              <w:spacing w:after="0" w:line="240" w:lineRule="auto"/>
              <w:ind w:left="0" w:hanging="2"/>
              <w:jc w:val="center"/>
              <w:rPr>
                <w:rFonts w:eastAsia="Calibri" w:cs="Arial"/>
                <w:lang w:val="en-US"/>
              </w:rPr>
            </w:pPr>
          </w:p>
        </w:tc>
        <w:tc>
          <w:tcPr>
            <w:tcW w:w="561" w:type="pct"/>
            <w:tcBorders>
              <w:left w:val="nil"/>
              <w:right w:val="nil"/>
            </w:tcBorders>
            <w:shd w:val="clear" w:color="auto" w:fill="FFFFFF" w:themeFill="background1"/>
          </w:tcPr>
          <w:p w14:paraId="2CA627EC" w14:textId="77777777" w:rsidR="003A1CF0" w:rsidRDefault="003A1CF0" w:rsidP="00155A17">
            <w:pPr>
              <w:spacing w:after="0" w:line="240" w:lineRule="auto"/>
              <w:ind w:left="0" w:hanging="2"/>
              <w:jc w:val="center"/>
              <w:rPr>
                <w:rFonts w:eastAsia="Calibri" w:cs="Arial"/>
                <w:lang w:val="en-US"/>
              </w:rPr>
            </w:pPr>
          </w:p>
        </w:tc>
        <w:tc>
          <w:tcPr>
            <w:tcW w:w="509" w:type="pct"/>
            <w:tcBorders>
              <w:left w:val="nil"/>
              <w:right w:val="nil"/>
            </w:tcBorders>
            <w:shd w:val="clear" w:color="auto" w:fill="FFFFFF" w:themeFill="background1"/>
          </w:tcPr>
          <w:p w14:paraId="7D5664E5" w14:textId="77777777" w:rsidR="003A1CF0" w:rsidRDefault="003A1CF0" w:rsidP="00155A17">
            <w:pPr>
              <w:spacing w:after="0" w:line="240" w:lineRule="auto"/>
              <w:ind w:left="0" w:hanging="2"/>
              <w:jc w:val="center"/>
              <w:rPr>
                <w:rFonts w:eastAsia="Calibri" w:cs="Arial"/>
                <w:lang w:val="en-US"/>
              </w:rPr>
            </w:pPr>
          </w:p>
        </w:tc>
      </w:tr>
      <w:tr w:rsidR="003A1CF0" w:rsidRPr="00F03DC9" w14:paraId="2F26EE45" w14:textId="77777777" w:rsidTr="00DD1B90">
        <w:tc>
          <w:tcPr>
            <w:tcW w:w="1363" w:type="pct"/>
            <w:tcBorders>
              <w:left w:val="nil"/>
              <w:right w:val="nil"/>
            </w:tcBorders>
            <w:shd w:val="clear" w:color="auto" w:fill="FFFFFF" w:themeFill="background1"/>
          </w:tcPr>
          <w:p w14:paraId="4AA24BFA" w14:textId="77777777" w:rsidR="003A1CF0" w:rsidRPr="008936BC" w:rsidRDefault="003A1CF0" w:rsidP="00155A17">
            <w:pPr>
              <w:spacing w:after="0" w:line="240" w:lineRule="auto"/>
              <w:ind w:left="0" w:hanging="2"/>
              <w:rPr>
                <w:rFonts w:eastAsia="Calibri" w:cs="Arial"/>
                <w:bCs/>
                <w:lang w:val="es"/>
              </w:rPr>
            </w:pPr>
            <w:r>
              <w:rPr>
                <w:rFonts w:eastAsia="Calibri" w:cs="Arial"/>
                <w:bCs/>
                <w:lang w:val="es"/>
              </w:rPr>
              <w:t>Media</w:t>
            </w:r>
          </w:p>
        </w:tc>
        <w:tc>
          <w:tcPr>
            <w:tcW w:w="642" w:type="pct"/>
            <w:tcBorders>
              <w:left w:val="nil"/>
              <w:right w:val="nil"/>
            </w:tcBorders>
            <w:shd w:val="clear" w:color="auto" w:fill="FFFFFF" w:themeFill="background1"/>
          </w:tcPr>
          <w:p w14:paraId="4F4996B4" w14:textId="77777777" w:rsidR="003A1CF0" w:rsidRDefault="003A1CF0" w:rsidP="00155A17">
            <w:pPr>
              <w:spacing w:after="0" w:line="240" w:lineRule="auto"/>
              <w:ind w:left="0" w:hanging="2"/>
              <w:jc w:val="center"/>
              <w:rPr>
                <w:rFonts w:eastAsia="Calibri" w:cs="Arial"/>
                <w:lang w:val="en-US"/>
              </w:rPr>
            </w:pPr>
            <w:r>
              <w:rPr>
                <w:rFonts w:eastAsia="Calibri" w:cs="Arial"/>
                <w:lang w:val="en-US"/>
              </w:rPr>
              <w:t>40.11</w:t>
            </w:r>
          </w:p>
        </w:tc>
        <w:tc>
          <w:tcPr>
            <w:tcW w:w="642" w:type="pct"/>
            <w:tcBorders>
              <w:left w:val="nil"/>
              <w:right w:val="nil"/>
            </w:tcBorders>
            <w:shd w:val="clear" w:color="auto" w:fill="FFFFFF" w:themeFill="background1"/>
          </w:tcPr>
          <w:p w14:paraId="55274BE9" w14:textId="77777777" w:rsidR="003A1CF0" w:rsidRDefault="003A1CF0" w:rsidP="00155A17">
            <w:pPr>
              <w:spacing w:after="0" w:line="240" w:lineRule="auto"/>
              <w:ind w:left="0" w:hanging="2"/>
              <w:jc w:val="center"/>
              <w:rPr>
                <w:rFonts w:eastAsia="Calibri" w:cs="Arial"/>
                <w:lang w:val="en-US"/>
              </w:rPr>
            </w:pPr>
            <w:r>
              <w:rPr>
                <w:rFonts w:eastAsia="Calibri" w:cs="Arial"/>
                <w:lang w:val="en-US"/>
              </w:rPr>
              <w:t>41.80</w:t>
            </w:r>
          </w:p>
        </w:tc>
        <w:tc>
          <w:tcPr>
            <w:tcW w:w="641" w:type="pct"/>
            <w:tcBorders>
              <w:left w:val="nil"/>
              <w:right w:val="nil"/>
            </w:tcBorders>
            <w:shd w:val="clear" w:color="auto" w:fill="FFFFFF" w:themeFill="background1"/>
          </w:tcPr>
          <w:p w14:paraId="5F97FF49" w14:textId="77777777" w:rsidR="003A1CF0" w:rsidRDefault="003A1CF0" w:rsidP="00155A17">
            <w:pPr>
              <w:spacing w:after="0" w:line="240" w:lineRule="auto"/>
              <w:ind w:left="0" w:hanging="2"/>
              <w:jc w:val="center"/>
              <w:rPr>
                <w:rFonts w:eastAsia="Calibri" w:cs="Arial"/>
                <w:lang w:val="en-US"/>
              </w:rPr>
            </w:pPr>
            <w:r>
              <w:rPr>
                <w:rFonts w:eastAsia="Calibri" w:cs="Arial"/>
                <w:lang w:val="en-US"/>
              </w:rPr>
              <w:t>49.34</w:t>
            </w:r>
          </w:p>
        </w:tc>
        <w:tc>
          <w:tcPr>
            <w:tcW w:w="642" w:type="pct"/>
            <w:tcBorders>
              <w:left w:val="nil"/>
              <w:right w:val="nil"/>
            </w:tcBorders>
            <w:shd w:val="clear" w:color="auto" w:fill="FFFFFF" w:themeFill="background1"/>
          </w:tcPr>
          <w:p w14:paraId="652984F6" w14:textId="77777777" w:rsidR="003A1CF0" w:rsidRDefault="003A1CF0" w:rsidP="00155A17">
            <w:pPr>
              <w:spacing w:after="0" w:line="240" w:lineRule="auto"/>
              <w:ind w:left="0" w:hanging="2"/>
              <w:jc w:val="center"/>
              <w:rPr>
                <w:rFonts w:eastAsia="Calibri" w:cs="Arial"/>
                <w:lang w:val="en-US"/>
              </w:rPr>
            </w:pPr>
            <w:r>
              <w:rPr>
                <w:rFonts w:eastAsia="Calibri" w:cs="Arial"/>
                <w:lang w:val="en-US"/>
              </w:rPr>
              <w:t>46.79</w:t>
            </w:r>
          </w:p>
        </w:tc>
        <w:tc>
          <w:tcPr>
            <w:tcW w:w="561" w:type="pct"/>
            <w:tcBorders>
              <w:left w:val="nil"/>
              <w:right w:val="nil"/>
            </w:tcBorders>
            <w:shd w:val="clear" w:color="auto" w:fill="FFFFFF" w:themeFill="background1"/>
          </w:tcPr>
          <w:p w14:paraId="04DEAB5C" w14:textId="77777777" w:rsidR="003A1CF0" w:rsidRDefault="003A1CF0" w:rsidP="00155A17">
            <w:pPr>
              <w:spacing w:after="0" w:line="240" w:lineRule="auto"/>
              <w:ind w:left="0" w:hanging="2"/>
              <w:jc w:val="center"/>
              <w:rPr>
                <w:rFonts w:eastAsia="Calibri" w:cs="Arial"/>
                <w:lang w:val="en-US"/>
              </w:rPr>
            </w:pPr>
            <w:r>
              <w:rPr>
                <w:rFonts w:eastAsia="Calibri" w:cs="Arial"/>
                <w:lang w:val="en-US"/>
              </w:rPr>
              <w:t>30.68</w:t>
            </w:r>
          </w:p>
        </w:tc>
        <w:tc>
          <w:tcPr>
            <w:tcW w:w="509" w:type="pct"/>
            <w:tcBorders>
              <w:left w:val="nil"/>
              <w:right w:val="nil"/>
            </w:tcBorders>
            <w:shd w:val="clear" w:color="auto" w:fill="FFFFFF" w:themeFill="background1"/>
          </w:tcPr>
          <w:p w14:paraId="6D60A1AA" w14:textId="77777777" w:rsidR="003A1CF0" w:rsidRDefault="003A1CF0" w:rsidP="00155A17">
            <w:pPr>
              <w:spacing w:after="0" w:line="240" w:lineRule="auto"/>
              <w:ind w:left="0" w:hanging="2"/>
              <w:jc w:val="center"/>
              <w:rPr>
                <w:rFonts w:eastAsia="Calibri" w:cs="Arial"/>
                <w:lang w:val="en-US"/>
              </w:rPr>
            </w:pPr>
            <w:r>
              <w:rPr>
                <w:rFonts w:eastAsia="Calibri" w:cs="Arial"/>
                <w:lang w:val="en-US"/>
              </w:rPr>
              <w:t>7.24</w:t>
            </w:r>
          </w:p>
        </w:tc>
      </w:tr>
      <w:tr w:rsidR="003A1CF0" w:rsidRPr="00F03DC9" w14:paraId="5C693182" w14:textId="77777777" w:rsidTr="00DD1B90">
        <w:tc>
          <w:tcPr>
            <w:tcW w:w="1363" w:type="pct"/>
            <w:tcBorders>
              <w:left w:val="nil"/>
              <w:right w:val="nil"/>
            </w:tcBorders>
            <w:shd w:val="clear" w:color="auto" w:fill="FFFFFF" w:themeFill="background1"/>
          </w:tcPr>
          <w:p w14:paraId="038F9C1F" w14:textId="77777777" w:rsidR="003A1CF0" w:rsidRPr="008936BC" w:rsidRDefault="003A1CF0" w:rsidP="00155A17">
            <w:pPr>
              <w:spacing w:after="0" w:line="240" w:lineRule="auto"/>
              <w:ind w:left="0" w:hanging="2"/>
              <w:rPr>
                <w:rFonts w:eastAsia="Calibri" w:cs="Arial"/>
                <w:bCs/>
                <w:lang w:val="es"/>
              </w:rPr>
            </w:pPr>
            <w:r>
              <w:rPr>
                <w:rFonts w:eastAsia="Calibri" w:cs="Arial"/>
                <w:bCs/>
                <w:lang w:val="es"/>
              </w:rPr>
              <w:t>Desviación estándar</w:t>
            </w:r>
          </w:p>
        </w:tc>
        <w:tc>
          <w:tcPr>
            <w:tcW w:w="642" w:type="pct"/>
            <w:tcBorders>
              <w:left w:val="nil"/>
              <w:right w:val="nil"/>
            </w:tcBorders>
            <w:shd w:val="clear" w:color="auto" w:fill="FFFFFF" w:themeFill="background1"/>
          </w:tcPr>
          <w:p w14:paraId="3764F694" w14:textId="77777777" w:rsidR="003A1CF0" w:rsidRDefault="003A1CF0" w:rsidP="00155A17">
            <w:pPr>
              <w:spacing w:after="0" w:line="240" w:lineRule="auto"/>
              <w:ind w:left="0" w:hanging="2"/>
              <w:jc w:val="center"/>
              <w:rPr>
                <w:rFonts w:eastAsia="Calibri" w:cs="Arial"/>
                <w:lang w:val="en-US"/>
              </w:rPr>
            </w:pPr>
            <w:r>
              <w:rPr>
                <w:rFonts w:eastAsia="Calibri" w:cs="Arial"/>
                <w:lang w:val="en-US"/>
              </w:rPr>
              <w:t>10.83</w:t>
            </w:r>
          </w:p>
        </w:tc>
        <w:tc>
          <w:tcPr>
            <w:tcW w:w="642" w:type="pct"/>
            <w:tcBorders>
              <w:left w:val="nil"/>
              <w:right w:val="nil"/>
            </w:tcBorders>
            <w:shd w:val="clear" w:color="auto" w:fill="FFFFFF" w:themeFill="background1"/>
          </w:tcPr>
          <w:p w14:paraId="375450C7" w14:textId="77777777" w:rsidR="003A1CF0" w:rsidRDefault="003A1CF0" w:rsidP="00155A17">
            <w:pPr>
              <w:spacing w:after="0" w:line="240" w:lineRule="auto"/>
              <w:ind w:left="0" w:hanging="2"/>
              <w:jc w:val="center"/>
              <w:rPr>
                <w:rFonts w:eastAsia="Calibri" w:cs="Arial"/>
                <w:lang w:val="en-US"/>
              </w:rPr>
            </w:pPr>
            <w:r>
              <w:rPr>
                <w:rFonts w:eastAsia="Calibri" w:cs="Arial"/>
                <w:lang w:val="en-US"/>
              </w:rPr>
              <w:t>9.46</w:t>
            </w:r>
          </w:p>
        </w:tc>
        <w:tc>
          <w:tcPr>
            <w:tcW w:w="641" w:type="pct"/>
            <w:tcBorders>
              <w:left w:val="nil"/>
              <w:right w:val="nil"/>
            </w:tcBorders>
            <w:shd w:val="clear" w:color="auto" w:fill="FFFFFF" w:themeFill="background1"/>
          </w:tcPr>
          <w:p w14:paraId="38ABA0EF" w14:textId="77777777" w:rsidR="003A1CF0" w:rsidRDefault="003A1CF0" w:rsidP="00155A17">
            <w:pPr>
              <w:spacing w:after="0" w:line="240" w:lineRule="auto"/>
              <w:ind w:left="0" w:hanging="2"/>
              <w:jc w:val="center"/>
              <w:rPr>
                <w:rFonts w:eastAsia="Calibri" w:cs="Arial"/>
                <w:lang w:val="en-US"/>
              </w:rPr>
            </w:pPr>
            <w:r>
              <w:rPr>
                <w:rFonts w:eastAsia="Calibri" w:cs="Arial"/>
                <w:lang w:val="en-US"/>
              </w:rPr>
              <w:t>9.02</w:t>
            </w:r>
          </w:p>
        </w:tc>
        <w:tc>
          <w:tcPr>
            <w:tcW w:w="642" w:type="pct"/>
            <w:tcBorders>
              <w:left w:val="nil"/>
              <w:right w:val="nil"/>
            </w:tcBorders>
            <w:shd w:val="clear" w:color="auto" w:fill="FFFFFF" w:themeFill="background1"/>
          </w:tcPr>
          <w:p w14:paraId="2B49C4F8" w14:textId="77777777" w:rsidR="003A1CF0" w:rsidRDefault="003A1CF0" w:rsidP="00155A17">
            <w:pPr>
              <w:spacing w:after="0" w:line="240" w:lineRule="auto"/>
              <w:ind w:left="0" w:hanging="2"/>
              <w:jc w:val="center"/>
              <w:rPr>
                <w:rFonts w:eastAsia="Calibri" w:cs="Arial"/>
                <w:lang w:val="en-US"/>
              </w:rPr>
            </w:pPr>
            <w:r>
              <w:rPr>
                <w:rFonts w:eastAsia="Calibri" w:cs="Arial"/>
                <w:lang w:val="en-US"/>
              </w:rPr>
              <w:t>6.97</w:t>
            </w:r>
          </w:p>
        </w:tc>
        <w:tc>
          <w:tcPr>
            <w:tcW w:w="561" w:type="pct"/>
            <w:tcBorders>
              <w:left w:val="nil"/>
              <w:right w:val="nil"/>
            </w:tcBorders>
            <w:shd w:val="clear" w:color="auto" w:fill="FFFFFF" w:themeFill="background1"/>
          </w:tcPr>
          <w:p w14:paraId="48163742" w14:textId="77777777" w:rsidR="003A1CF0" w:rsidRDefault="003A1CF0" w:rsidP="00155A17">
            <w:pPr>
              <w:spacing w:after="0" w:line="240" w:lineRule="auto"/>
              <w:ind w:left="0" w:hanging="2"/>
              <w:jc w:val="center"/>
              <w:rPr>
                <w:rFonts w:eastAsia="Calibri" w:cs="Arial"/>
                <w:lang w:val="en-US"/>
              </w:rPr>
            </w:pPr>
            <w:r>
              <w:rPr>
                <w:rFonts w:eastAsia="Calibri" w:cs="Arial"/>
                <w:lang w:val="en-US"/>
              </w:rPr>
              <w:t>4.26</w:t>
            </w:r>
          </w:p>
        </w:tc>
        <w:tc>
          <w:tcPr>
            <w:tcW w:w="509" w:type="pct"/>
            <w:tcBorders>
              <w:left w:val="nil"/>
              <w:right w:val="nil"/>
            </w:tcBorders>
            <w:shd w:val="clear" w:color="auto" w:fill="FFFFFF" w:themeFill="background1"/>
          </w:tcPr>
          <w:p w14:paraId="1752BEAA" w14:textId="77777777" w:rsidR="003A1CF0" w:rsidRDefault="003A1CF0" w:rsidP="00155A17">
            <w:pPr>
              <w:spacing w:after="0" w:line="240" w:lineRule="auto"/>
              <w:ind w:left="0" w:hanging="2"/>
              <w:jc w:val="center"/>
              <w:rPr>
                <w:rFonts w:eastAsia="Calibri" w:cs="Arial"/>
                <w:lang w:val="en-US"/>
              </w:rPr>
            </w:pPr>
            <w:r>
              <w:rPr>
                <w:rFonts w:eastAsia="Calibri" w:cs="Arial"/>
                <w:lang w:val="en-US"/>
              </w:rPr>
              <w:t>3.29</w:t>
            </w:r>
          </w:p>
        </w:tc>
      </w:tr>
      <w:tr w:rsidR="003A1CF0" w:rsidRPr="00F03DC9" w14:paraId="213861B4" w14:textId="77777777" w:rsidTr="00DD1B90">
        <w:tc>
          <w:tcPr>
            <w:tcW w:w="1363" w:type="pct"/>
            <w:tcBorders>
              <w:left w:val="nil"/>
              <w:bottom w:val="single" w:sz="4" w:space="0" w:color="auto"/>
              <w:right w:val="nil"/>
            </w:tcBorders>
            <w:shd w:val="clear" w:color="auto" w:fill="FFFFFF" w:themeFill="background1"/>
          </w:tcPr>
          <w:p w14:paraId="4A9D3971" w14:textId="77777777" w:rsidR="003A1CF0" w:rsidRPr="008936BC" w:rsidRDefault="003A1CF0" w:rsidP="00155A17">
            <w:pPr>
              <w:spacing w:after="0" w:line="240" w:lineRule="auto"/>
              <w:ind w:left="0" w:hanging="2"/>
              <w:rPr>
                <w:rFonts w:eastAsia="Calibri" w:cs="Arial"/>
                <w:bCs/>
                <w:lang w:val="es"/>
              </w:rPr>
            </w:pPr>
            <w:r>
              <w:rPr>
                <w:rFonts w:eastAsia="Calibri" w:cs="Arial"/>
                <w:bCs/>
                <w:lang w:val="es"/>
              </w:rPr>
              <w:t>Valores mínimo - Máximo</w:t>
            </w:r>
          </w:p>
        </w:tc>
        <w:tc>
          <w:tcPr>
            <w:tcW w:w="642" w:type="pct"/>
            <w:tcBorders>
              <w:left w:val="nil"/>
              <w:bottom w:val="single" w:sz="4" w:space="0" w:color="auto"/>
              <w:right w:val="nil"/>
            </w:tcBorders>
            <w:shd w:val="clear" w:color="auto" w:fill="FFFFFF" w:themeFill="background1"/>
          </w:tcPr>
          <w:p w14:paraId="0CB18F80" w14:textId="77777777" w:rsidR="003A1CF0" w:rsidRDefault="003A1CF0" w:rsidP="00155A17">
            <w:pPr>
              <w:spacing w:after="0" w:line="240" w:lineRule="auto"/>
              <w:ind w:left="0" w:hanging="2"/>
              <w:jc w:val="center"/>
              <w:rPr>
                <w:rFonts w:eastAsia="Calibri" w:cs="Arial"/>
                <w:lang w:val="en-US"/>
              </w:rPr>
            </w:pPr>
            <w:r>
              <w:rPr>
                <w:rFonts w:eastAsia="Calibri" w:cs="Arial"/>
                <w:lang w:val="en-US"/>
              </w:rPr>
              <w:t>13 - 60</w:t>
            </w:r>
          </w:p>
        </w:tc>
        <w:tc>
          <w:tcPr>
            <w:tcW w:w="642" w:type="pct"/>
            <w:tcBorders>
              <w:left w:val="nil"/>
              <w:bottom w:val="single" w:sz="4" w:space="0" w:color="auto"/>
              <w:right w:val="nil"/>
            </w:tcBorders>
            <w:shd w:val="clear" w:color="auto" w:fill="FFFFFF" w:themeFill="background1"/>
          </w:tcPr>
          <w:p w14:paraId="12DAE71D" w14:textId="77777777" w:rsidR="003A1CF0" w:rsidRDefault="003A1CF0" w:rsidP="00155A17">
            <w:pPr>
              <w:spacing w:after="0" w:line="240" w:lineRule="auto"/>
              <w:ind w:left="0" w:hanging="2"/>
              <w:jc w:val="center"/>
              <w:rPr>
                <w:rFonts w:eastAsia="Calibri" w:cs="Arial"/>
                <w:lang w:val="en-US"/>
              </w:rPr>
            </w:pPr>
            <w:r>
              <w:rPr>
                <w:rFonts w:eastAsia="Calibri" w:cs="Arial"/>
                <w:lang w:val="en-US"/>
              </w:rPr>
              <w:t>15 - 64</w:t>
            </w:r>
          </w:p>
        </w:tc>
        <w:tc>
          <w:tcPr>
            <w:tcW w:w="641" w:type="pct"/>
            <w:tcBorders>
              <w:left w:val="nil"/>
              <w:bottom w:val="single" w:sz="4" w:space="0" w:color="auto"/>
              <w:right w:val="nil"/>
            </w:tcBorders>
            <w:shd w:val="clear" w:color="auto" w:fill="FFFFFF" w:themeFill="background1"/>
          </w:tcPr>
          <w:p w14:paraId="72E0ED31" w14:textId="77777777" w:rsidR="003A1CF0" w:rsidRDefault="003A1CF0" w:rsidP="00155A17">
            <w:pPr>
              <w:spacing w:after="0" w:line="240" w:lineRule="auto"/>
              <w:ind w:left="0" w:hanging="2"/>
              <w:jc w:val="center"/>
              <w:rPr>
                <w:rFonts w:eastAsia="Calibri" w:cs="Arial"/>
                <w:lang w:val="en-US"/>
              </w:rPr>
            </w:pPr>
            <w:r>
              <w:rPr>
                <w:rFonts w:eastAsia="Calibri" w:cs="Arial"/>
                <w:lang w:val="en-US"/>
              </w:rPr>
              <w:t>16 - 65</w:t>
            </w:r>
          </w:p>
        </w:tc>
        <w:tc>
          <w:tcPr>
            <w:tcW w:w="642" w:type="pct"/>
            <w:tcBorders>
              <w:left w:val="nil"/>
              <w:bottom w:val="single" w:sz="4" w:space="0" w:color="auto"/>
              <w:right w:val="nil"/>
            </w:tcBorders>
            <w:shd w:val="clear" w:color="auto" w:fill="FFFFFF" w:themeFill="background1"/>
          </w:tcPr>
          <w:p w14:paraId="39F870B4" w14:textId="77777777" w:rsidR="003A1CF0" w:rsidRDefault="003A1CF0" w:rsidP="00155A17">
            <w:pPr>
              <w:spacing w:after="0" w:line="240" w:lineRule="auto"/>
              <w:ind w:left="0" w:hanging="2"/>
              <w:jc w:val="center"/>
              <w:rPr>
                <w:rFonts w:eastAsia="Calibri" w:cs="Arial"/>
                <w:lang w:val="en-US"/>
              </w:rPr>
            </w:pPr>
            <w:r>
              <w:rPr>
                <w:rFonts w:eastAsia="Calibri" w:cs="Arial"/>
                <w:lang w:val="en-US"/>
              </w:rPr>
              <w:t>14 - 65</w:t>
            </w:r>
          </w:p>
        </w:tc>
        <w:tc>
          <w:tcPr>
            <w:tcW w:w="561" w:type="pct"/>
            <w:tcBorders>
              <w:left w:val="nil"/>
              <w:bottom w:val="single" w:sz="4" w:space="0" w:color="auto"/>
              <w:right w:val="nil"/>
            </w:tcBorders>
            <w:shd w:val="clear" w:color="auto" w:fill="FFFFFF" w:themeFill="background1"/>
          </w:tcPr>
          <w:p w14:paraId="0B0885A2" w14:textId="77777777" w:rsidR="003A1CF0" w:rsidRDefault="003A1CF0" w:rsidP="00155A17">
            <w:pPr>
              <w:spacing w:after="0" w:line="240" w:lineRule="auto"/>
              <w:ind w:left="0" w:hanging="2"/>
              <w:jc w:val="center"/>
              <w:rPr>
                <w:rFonts w:eastAsia="Calibri" w:cs="Arial"/>
                <w:lang w:val="en-US"/>
              </w:rPr>
            </w:pPr>
            <w:r>
              <w:rPr>
                <w:rFonts w:eastAsia="Calibri" w:cs="Arial"/>
                <w:lang w:val="en-US"/>
              </w:rPr>
              <w:t>17 - 40</w:t>
            </w:r>
          </w:p>
        </w:tc>
        <w:tc>
          <w:tcPr>
            <w:tcW w:w="509" w:type="pct"/>
            <w:tcBorders>
              <w:left w:val="nil"/>
              <w:bottom w:val="single" w:sz="4" w:space="0" w:color="auto"/>
              <w:right w:val="nil"/>
            </w:tcBorders>
            <w:shd w:val="clear" w:color="auto" w:fill="FFFFFF" w:themeFill="background1"/>
          </w:tcPr>
          <w:p w14:paraId="60FB3BF7" w14:textId="77777777" w:rsidR="003A1CF0" w:rsidRDefault="003A1CF0" w:rsidP="00155A17">
            <w:pPr>
              <w:spacing w:after="0" w:line="240" w:lineRule="auto"/>
              <w:ind w:left="0" w:hanging="2"/>
              <w:jc w:val="center"/>
              <w:rPr>
                <w:rFonts w:eastAsia="Calibri" w:cs="Arial"/>
                <w:lang w:val="en-US"/>
              </w:rPr>
            </w:pPr>
            <w:r>
              <w:rPr>
                <w:rFonts w:eastAsia="Calibri" w:cs="Arial"/>
                <w:lang w:val="en-US"/>
              </w:rPr>
              <w:t>4 - 20</w:t>
            </w:r>
          </w:p>
        </w:tc>
      </w:tr>
      <w:tr w:rsidR="00DD1B90" w:rsidRPr="00F03DC9" w14:paraId="7C6BB2D6" w14:textId="77777777" w:rsidTr="00DD1B90">
        <w:tc>
          <w:tcPr>
            <w:tcW w:w="5000" w:type="pct"/>
            <w:gridSpan w:val="7"/>
            <w:tcBorders>
              <w:top w:val="single" w:sz="4" w:space="0" w:color="auto"/>
              <w:left w:val="nil"/>
              <w:right w:val="nil"/>
            </w:tcBorders>
            <w:shd w:val="clear" w:color="auto" w:fill="FFFFFF" w:themeFill="background1"/>
          </w:tcPr>
          <w:p w14:paraId="2E2C815E" w14:textId="4D269312" w:rsidR="00DD1B90" w:rsidRDefault="00DD1B90" w:rsidP="00DD1B90">
            <w:pPr>
              <w:spacing w:after="0" w:line="240" w:lineRule="auto"/>
              <w:ind w:left="0" w:hanging="2"/>
              <w:rPr>
                <w:rFonts w:eastAsia="Calibri" w:cs="Arial"/>
                <w:lang w:val="en-US"/>
              </w:rPr>
            </w:pPr>
            <w:r>
              <w:rPr>
                <w:rFonts w:eastAsia="Calibri" w:cs="Arial"/>
                <w:bCs/>
                <w:lang w:val="es"/>
              </w:rPr>
              <w:t xml:space="preserve">* = </w:t>
            </w:r>
            <w:r w:rsidRPr="00DD1B90">
              <w:rPr>
                <w:rFonts w:eastAsia="Calibri" w:cs="Arial"/>
                <w:bCs/>
                <w:lang w:val="es"/>
              </w:rPr>
              <w:t>p &lt; .001</w:t>
            </w:r>
          </w:p>
        </w:tc>
      </w:tr>
    </w:tbl>
    <w:p w14:paraId="7B9FEC71" w14:textId="77777777" w:rsidR="003A1CF0" w:rsidRDefault="003A1CF0" w:rsidP="00ED02F2">
      <w:pPr>
        <w:ind w:left="0" w:hanging="2"/>
        <w:rPr>
          <w:color w:val="000000"/>
          <w:sz w:val="24"/>
          <w:szCs w:val="24"/>
        </w:rPr>
      </w:pPr>
    </w:p>
    <w:p w14:paraId="54255F6D" w14:textId="4EA34250" w:rsidR="00ED02F2" w:rsidRDefault="0083361B" w:rsidP="00ED02F2">
      <w:pPr>
        <w:ind w:left="0" w:hanging="2"/>
        <w:rPr>
          <w:color w:val="000000"/>
          <w:sz w:val="24"/>
          <w:szCs w:val="24"/>
        </w:rPr>
      </w:pPr>
      <w:r w:rsidRPr="0083361B">
        <w:rPr>
          <w:b/>
          <w:i/>
          <w:color w:val="000000"/>
          <w:sz w:val="24"/>
          <w:szCs w:val="24"/>
        </w:rPr>
        <w:t>Análisis multivariado (modelo predictivo)</w:t>
      </w:r>
      <w:r w:rsidR="00BC300B">
        <w:rPr>
          <w:b/>
          <w:i/>
          <w:color w:val="000000"/>
          <w:sz w:val="24"/>
          <w:szCs w:val="24"/>
        </w:rPr>
        <w:t xml:space="preserve">. </w:t>
      </w:r>
      <w:r w:rsidR="00ED02F2">
        <w:rPr>
          <w:color w:val="000000"/>
          <w:sz w:val="24"/>
          <w:szCs w:val="24"/>
        </w:rPr>
        <w:t>En la segunda fase, al analizar el modelo estructural predictivo integrado, los hallazgos indican un buen ajuste del modelo testado (CFI = 0.95, RMSEA = 0.07)</w:t>
      </w:r>
      <w:r>
        <w:rPr>
          <w:color w:val="000000"/>
          <w:sz w:val="24"/>
          <w:szCs w:val="24"/>
        </w:rPr>
        <w:t>. La Figura 2 indica</w:t>
      </w:r>
      <w:r w:rsidR="0037792A">
        <w:rPr>
          <w:color w:val="000000"/>
          <w:sz w:val="24"/>
          <w:szCs w:val="24"/>
        </w:rPr>
        <w:t xml:space="preserve"> los betas estandarizados (</w:t>
      </w:r>
      <w:r w:rsidR="0037792A" w:rsidRPr="000A3651">
        <w:rPr>
          <w:color w:val="000000"/>
          <w:sz w:val="24"/>
          <w:szCs w:val="24"/>
        </w:rPr>
        <w:t>β</w:t>
      </w:r>
      <w:r w:rsidR="0037792A">
        <w:rPr>
          <w:color w:val="000000"/>
          <w:sz w:val="24"/>
          <w:szCs w:val="24"/>
        </w:rPr>
        <w:t>)</w:t>
      </w:r>
      <w:r w:rsidR="006F71C4">
        <w:rPr>
          <w:color w:val="000000"/>
          <w:sz w:val="24"/>
          <w:szCs w:val="24"/>
        </w:rPr>
        <w:t xml:space="preserve"> </w:t>
      </w:r>
      <w:r w:rsidR="0037792A">
        <w:rPr>
          <w:color w:val="000000"/>
          <w:sz w:val="24"/>
          <w:szCs w:val="24"/>
        </w:rPr>
        <w:t xml:space="preserve">respecto a </w:t>
      </w:r>
      <w:r w:rsidR="00802646">
        <w:rPr>
          <w:color w:val="000000"/>
          <w:sz w:val="24"/>
          <w:szCs w:val="24"/>
        </w:rPr>
        <w:t xml:space="preserve">las predicciones del modelo. </w:t>
      </w:r>
      <w:r w:rsidR="006F71C4">
        <w:rPr>
          <w:color w:val="000000"/>
          <w:sz w:val="24"/>
          <w:szCs w:val="24"/>
        </w:rPr>
        <w:t>Los hallazgos evidencian</w:t>
      </w:r>
      <w:r w:rsidR="00ED02F2">
        <w:rPr>
          <w:color w:val="000000"/>
          <w:sz w:val="24"/>
          <w:szCs w:val="24"/>
        </w:rPr>
        <w:t xml:space="preserve"> predicciones estadísticamente significativas </w:t>
      </w:r>
      <w:r w:rsidR="00E86DA6">
        <w:rPr>
          <w:color w:val="000000"/>
          <w:sz w:val="24"/>
          <w:szCs w:val="24"/>
        </w:rPr>
        <w:t>(p &lt; 0</w:t>
      </w:r>
      <w:r w:rsidR="00E86DA6">
        <w:rPr>
          <w:color w:val="000000"/>
          <w:sz w:val="24"/>
          <w:szCs w:val="24"/>
          <w:lang w:val="es-HN"/>
        </w:rPr>
        <w:t>.05</w:t>
      </w:r>
      <w:r w:rsidR="00E86DA6">
        <w:rPr>
          <w:color w:val="000000"/>
          <w:sz w:val="24"/>
          <w:szCs w:val="24"/>
        </w:rPr>
        <w:t xml:space="preserve">) </w:t>
      </w:r>
      <w:r w:rsidR="00ED02F2">
        <w:rPr>
          <w:color w:val="000000"/>
          <w:sz w:val="24"/>
          <w:szCs w:val="24"/>
        </w:rPr>
        <w:t xml:space="preserve">sobre la intención de abandono por parte de las vivencias tempranas en la dimensión personal </w:t>
      </w:r>
      <w:r w:rsidR="00ED02F2" w:rsidRPr="000A3651">
        <w:rPr>
          <w:color w:val="000000"/>
          <w:sz w:val="24"/>
          <w:szCs w:val="24"/>
        </w:rPr>
        <w:t xml:space="preserve">(β = </w:t>
      </w:r>
      <w:r w:rsidR="00ED02F2">
        <w:rPr>
          <w:color w:val="000000"/>
          <w:sz w:val="24"/>
          <w:szCs w:val="24"/>
        </w:rPr>
        <w:t>- 0.21</w:t>
      </w:r>
      <w:r w:rsidR="00ED02F2" w:rsidRPr="000A3651">
        <w:rPr>
          <w:color w:val="000000"/>
          <w:sz w:val="24"/>
          <w:szCs w:val="24"/>
        </w:rPr>
        <w:t>)</w:t>
      </w:r>
      <w:r w:rsidR="00ED02F2">
        <w:rPr>
          <w:color w:val="000000"/>
          <w:sz w:val="24"/>
          <w:szCs w:val="24"/>
        </w:rPr>
        <w:t>, interpersonal (</w:t>
      </w:r>
      <w:r w:rsidR="00ED02F2" w:rsidRPr="000A3651">
        <w:rPr>
          <w:color w:val="000000"/>
          <w:sz w:val="24"/>
          <w:szCs w:val="24"/>
        </w:rPr>
        <w:t xml:space="preserve">β = </w:t>
      </w:r>
      <w:r w:rsidR="00ED02F2">
        <w:rPr>
          <w:color w:val="000000"/>
          <w:sz w:val="24"/>
          <w:szCs w:val="24"/>
        </w:rPr>
        <w:t>- 0.13), carrera (</w:t>
      </w:r>
      <w:r w:rsidR="00ED02F2" w:rsidRPr="000A3651">
        <w:rPr>
          <w:color w:val="000000"/>
          <w:sz w:val="24"/>
          <w:szCs w:val="24"/>
        </w:rPr>
        <w:t xml:space="preserve">β = </w:t>
      </w:r>
      <w:r w:rsidR="00ED02F2">
        <w:rPr>
          <w:color w:val="000000"/>
          <w:sz w:val="24"/>
          <w:szCs w:val="24"/>
        </w:rPr>
        <w:t>- 0.51), institucional (</w:t>
      </w:r>
      <w:r w:rsidR="00ED02F2" w:rsidRPr="000A3651">
        <w:rPr>
          <w:color w:val="000000"/>
          <w:sz w:val="24"/>
          <w:szCs w:val="24"/>
        </w:rPr>
        <w:t xml:space="preserve">β = </w:t>
      </w:r>
      <w:r w:rsidR="00ED02F2">
        <w:rPr>
          <w:color w:val="000000"/>
          <w:sz w:val="24"/>
          <w:szCs w:val="24"/>
        </w:rPr>
        <w:t>- 0.28) y la opción de carrera en admisión (</w:t>
      </w:r>
      <w:r w:rsidR="00ED02F2" w:rsidRPr="000A3651">
        <w:rPr>
          <w:color w:val="000000"/>
          <w:sz w:val="24"/>
          <w:szCs w:val="24"/>
        </w:rPr>
        <w:t xml:space="preserve">β = </w:t>
      </w:r>
      <w:r w:rsidR="00ED02F2">
        <w:rPr>
          <w:color w:val="000000"/>
          <w:sz w:val="24"/>
          <w:szCs w:val="24"/>
        </w:rPr>
        <w:t xml:space="preserve">0.17). No obstante, en esta segunda fase de análisis, la dimensión de </w:t>
      </w:r>
      <w:r w:rsidR="003B514E">
        <w:rPr>
          <w:color w:val="000000"/>
          <w:sz w:val="24"/>
          <w:szCs w:val="24"/>
        </w:rPr>
        <w:t xml:space="preserve">hábitos de </w:t>
      </w:r>
      <w:r w:rsidR="00ED02F2">
        <w:rPr>
          <w:color w:val="000000"/>
          <w:sz w:val="24"/>
          <w:szCs w:val="24"/>
        </w:rPr>
        <w:t>estudio, el área de conocimiento y el desempleo en núcleo familiar pierden significancia predictiva (</w:t>
      </w:r>
      <w:r w:rsidR="00ED02F2" w:rsidRPr="00734DDA">
        <w:rPr>
          <w:i/>
          <w:color w:val="000000"/>
          <w:sz w:val="24"/>
          <w:szCs w:val="24"/>
        </w:rPr>
        <w:t>p</w:t>
      </w:r>
      <w:r w:rsidR="00ED02F2">
        <w:rPr>
          <w:color w:val="000000"/>
          <w:sz w:val="24"/>
          <w:szCs w:val="24"/>
        </w:rPr>
        <w:t xml:space="preserve"> </w:t>
      </w:r>
      <w:r w:rsidR="00ED02F2" w:rsidRPr="002B2189">
        <w:rPr>
          <w:color w:val="000000"/>
          <w:sz w:val="24"/>
          <w:szCs w:val="24"/>
          <w:lang w:val="es-MX"/>
        </w:rPr>
        <w:t>&gt;</w:t>
      </w:r>
      <w:r w:rsidR="00ED02F2">
        <w:rPr>
          <w:color w:val="000000"/>
          <w:sz w:val="24"/>
          <w:szCs w:val="24"/>
        </w:rPr>
        <w:t xml:space="preserve"> 0.05). </w:t>
      </w:r>
    </w:p>
    <w:p w14:paraId="6F42D84A" w14:textId="24C75B25" w:rsidR="000B1EC4" w:rsidRDefault="000B1EC4" w:rsidP="00ED02F2">
      <w:pPr>
        <w:ind w:left="0" w:hanging="2"/>
        <w:rPr>
          <w:color w:val="000000"/>
          <w:sz w:val="24"/>
          <w:szCs w:val="24"/>
        </w:rPr>
      </w:pPr>
      <w:r>
        <w:rPr>
          <w:noProof/>
        </w:rPr>
        <w:drawing>
          <wp:anchor distT="0" distB="0" distL="114300" distR="114300" simplePos="0" relativeHeight="251662336" behindDoc="0" locked="0" layoutInCell="1" allowOverlap="1" wp14:anchorId="780713FC" wp14:editId="281DC275">
            <wp:simplePos x="0" y="0"/>
            <wp:positionH relativeFrom="margin">
              <wp:align>left</wp:align>
            </wp:positionH>
            <wp:positionV relativeFrom="paragraph">
              <wp:posOffset>245306</wp:posOffset>
            </wp:positionV>
            <wp:extent cx="3695054" cy="2088000"/>
            <wp:effectExtent l="0" t="0" r="1270" b="7620"/>
            <wp:wrapNone/>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95054" cy="2088000"/>
                    </a:xfrm>
                    <a:prstGeom prst="rect">
                      <a:avLst/>
                    </a:prstGeom>
                    <a:noFill/>
                  </pic:spPr>
                </pic:pic>
              </a:graphicData>
            </a:graphic>
            <wp14:sizeRelH relativeFrom="page">
              <wp14:pctWidth>0</wp14:pctWidth>
            </wp14:sizeRelH>
            <wp14:sizeRelV relativeFrom="page">
              <wp14:pctHeight>0</wp14:pctHeight>
            </wp14:sizeRelV>
          </wp:anchor>
        </w:drawing>
      </w:r>
    </w:p>
    <w:p w14:paraId="09E7C0D7" w14:textId="13A7BB41" w:rsidR="00192DC8" w:rsidRPr="007A7BD9" w:rsidRDefault="00192DC8" w:rsidP="00192DC8">
      <w:pPr>
        <w:ind w:left="0" w:hanging="2"/>
        <w:rPr>
          <w:b/>
        </w:rPr>
      </w:pPr>
    </w:p>
    <w:p w14:paraId="1ADDAF8E" w14:textId="77777777" w:rsidR="00192DC8" w:rsidRDefault="00192DC8" w:rsidP="00192DC8">
      <w:pPr>
        <w:suppressAutoHyphens w:val="0"/>
        <w:spacing w:line="240" w:lineRule="auto"/>
        <w:ind w:leftChars="0" w:left="0" w:firstLineChars="0" w:firstLine="0"/>
        <w:textDirection w:val="lrTb"/>
        <w:textAlignment w:val="auto"/>
        <w:outlineLvl w:val="9"/>
        <w:rPr>
          <w:color w:val="000000"/>
          <w:sz w:val="24"/>
          <w:szCs w:val="24"/>
        </w:rPr>
      </w:pPr>
    </w:p>
    <w:p w14:paraId="45A49DF2" w14:textId="77777777" w:rsidR="00192DC8" w:rsidRPr="00416BAC" w:rsidRDefault="00192DC8" w:rsidP="00192DC8">
      <w:pPr>
        <w:ind w:left="0" w:hanging="2"/>
        <w:rPr>
          <w:sz w:val="24"/>
          <w:szCs w:val="24"/>
        </w:rPr>
      </w:pPr>
    </w:p>
    <w:p w14:paraId="574C3211" w14:textId="77777777" w:rsidR="00192DC8" w:rsidRPr="00416BAC" w:rsidRDefault="00192DC8" w:rsidP="00192DC8">
      <w:pPr>
        <w:ind w:left="0" w:hanging="2"/>
        <w:rPr>
          <w:sz w:val="24"/>
          <w:szCs w:val="24"/>
        </w:rPr>
      </w:pPr>
    </w:p>
    <w:p w14:paraId="21299842" w14:textId="77777777" w:rsidR="00192DC8" w:rsidRPr="00416BAC" w:rsidRDefault="00192DC8" w:rsidP="00192DC8">
      <w:pPr>
        <w:ind w:left="0" w:hanging="2"/>
        <w:rPr>
          <w:sz w:val="24"/>
          <w:szCs w:val="24"/>
        </w:rPr>
      </w:pPr>
    </w:p>
    <w:p w14:paraId="53C2ECE6" w14:textId="77777777" w:rsidR="00192DC8" w:rsidRPr="00416BAC" w:rsidRDefault="00192DC8" w:rsidP="00192DC8">
      <w:pPr>
        <w:ind w:left="0" w:hanging="2"/>
        <w:rPr>
          <w:sz w:val="24"/>
          <w:szCs w:val="24"/>
        </w:rPr>
      </w:pPr>
    </w:p>
    <w:p w14:paraId="741E941F" w14:textId="77777777" w:rsidR="00ED02F2" w:rsidRPr="00950FA0" w:rsidRDefault="00ED02F2" w:rsidP="00CF19CE">
      <w:pPr>
        <w:ind w:left="0" w:hanging="2"/>
        <w:rPr>
          <w:b/>
          <w:color w:val="000000"/>
          <w:sz w:val="24"/>
          <w:szCs w:val="24"/>
        </w:rPr>
      </w:pPr>
    </w:p>
    <w:p w14:paraId="08FEDA15" w14:textId="77777777" w:rsidR="001B021D" w:rsidRDefault="001B021D" w:rsidP="00CF19CE">
      <w:pPr>
        <w:ind w:left="0" w:hanging="2"/>
        <w:rPr>
          <w:b/>
          <w:color w:val="000000"/>
          <w:sz w:val="24"/>
          <w:szCs w:val="24"/>
        </w:rPr>
      </w:pPr>
    </w:p>
    <w:p w14:paraId="2BF0DD08" w14:textId="77777777" w:rsidR="000B1EC4" w:rsidRDefault="000B1EC4" w:rsidP="000B1EC4">
      <w:pPr>
        <w:spacing w:after="0"/>
        <w:ind w:left="0" w:hanging="2"/>
        <w:rPr>
          <w:b/>
        </w:rPr>
      </w:pPr>
    </w:p>
    <w:p w14:paraId="4CE6F918" w14:textId="18B9D36E" w:rsidR="00BC300B" w:rsidRDefault="00BC300B" w:rsidP="000B1EC4">
      <w:pPr>
        <w:spacing w:after="0"/>
        <w:ind w:left="0" w:hanging="2"/>
      </w:pPr>
      <w:r w:rsidRPr="00C30655">
        <w:rPr>
          <w:b/>
        </w:rPr>
        <w:t xml:space="preserve">Figura 2. </w:t>
      </w:r>
      <w:r w:rsidRPr="00C30655">
        <w:t>Modelo integrado de perfil de ingreso y vivencias académicas iniciales implicadas en la predicción de la intención de abandono en educación superior</w:t>
      </w:r>
      <w:r w:rsidR="000B1EC4">
        <w:t>.</w:t>
      </w:r>
    </w:p>
    <w:p w14:paraId="206C0EDB" w14:textId="29102897" w:rsidR="000B1EC4" w:rsidRPr="000B1EC4" w:rsidRDefault="000B1EC4" w:rsidP="000B1EC4">
      <w:pPr>
        <w:spacing w:after="0"/>
        <w:ind w:left="0" w:hanging="2"/>
        <w:rPr>
          <w:lang w:val="es-HN"/>
        </w:rPr>
      </w:pPr>
      <w:r>
        <w:t xml:space="preserve">* = p </w:t>
      </w:r>
      <w:r w:rsidRPr="0042122A">
        <w:rPr>
          <w:lang w:val="es-MX"/>
        </w:rPr>
        <w:t>&lt; 0</w:t>
      </w:r>
      <w:r>
        <w:rPr>
          <w:lang w:val="es-HN"/>
        </w:rPr>
        <w:t>.05</w:t>
      </w:r>
    </w:p>
    <w:p w14:paraId="790F79DD" w14:textId="77777777" w:rsidR="001B021D" w:rsidRDefault="001B021D" w:rsidP="00CF19CE">
      <w:pPr>
        <w:ind w:left="0" w:hanging="2"/>
        <w:rPr>
          <w:b/>
          <w:color w:val="000000"/>
          <w:sz w:val="24"/>
          <w:szCs w:val="24"/>
        </w:rPr>
      </w:pPr>
    </w:p>
    <w:p w14:paraId="05344CF4" w14:textId="2F33ED51" w:rsidR="00245952" w:rsidRPr="00950FA0" w:rsidRDefault="00245952" w:rsidP="00CF19CE">
      <w:pPr>
        <w:ind w:left="0" w:hanging="2"/>
        <w:rPr>
          <w:b/>
          <w:color w:val="000000"/>
          <w:sz w:val="24"/>
          <w:szCs w:val="24"/>
        </w:rPr>
      </w:pPr>
      <w:r w:rsidRPr="00950FA0">
        <w:rPr>
          <w:b/>
          <w:color w:val="000000"/>
          <w:sz w:val="24"/>
          <w:szCs w:val="24"/>
        </w:rPr>
        <w:t>Conclusiones</w:t>
      </w:r>
    </w:p>
    <w:p w14:paraId="11F3DB4D" w14:textId="29B4CC92" w:rsidR="0083361B" w:rsidRDefault="00667085">
      <w:pPr>
        <w:suppressAutoHyphens w:val="0"/>
        <w:spacing w:line="240" w:lineRule="auto"/>
        <w:ind w:leftChars="0" w:left="0" w:firstLineChars="0" w:firstLine="0"/>
        <w:textDirection w:val="lrTb"/>
        <w:textAlignment w:val="auto"/>
        <w:outlineLvl w:val="9"/>
        <w:rPr>
          <w:sz w:val="24"/>
          <w:szCs w:val="24"/>
        </w:rPr>
      </w:pPr>
      <w:r>
        <w:rPr>
          <w:sz w:val="24"/>
          <w:szCs w:val="24"/>
        </w:rPr>
        <w:t>Este</w:t>
      </w:r>
      <w:r w:rsidR="00E01B76">
        <w:rPr>
          <w:sz w:val="24"/>
          <w:szCs w:val="24"/>
        </w:rPr>
        <w:t xml:space="preserve"> </w:t>
      </w:r>
      <w:r>
        <w:rPr>
          <w:sz w:val="24"/>
          <w:szCs w:val="24"/>
        </w:rPr>
        <w:t xml:space="preserve">trabajo tuvo como objetivo </w:t>
      </w:r>
      <w:r w:rsidRPr="00667085">
        <w:rPr>
          <w:sz w:val="24"/>
          <w:szCs w:val="24"/>
        </w:rPr>
        <w:t>analizar la influencia del perfil estudiantil socioeconómico/académico de ingreso y las vivencias académicas tempranas como variables predictoras de la intención de abandono en un contexto de educación superior hondureño</w:t>
      </w:r>
      <w:r w:rsidR="001B53CB">
        <w:rPr>
          <w:sz w:val="24"/>
          <w:szCs w:val="24"/>
        </w:rPr>
        <w:t xml:space="preserve">. Los principales resultados indican que </w:t>
      </w:r>
      <w:r w:rsidR="001B53CB" w:rsidRPr="00667085">
        <w:rPr>
          <w:sz w:val="24"/>
          <w:szCs w:val="24"/>
        </w:rPr>
        <w:t>las vivencias académicas vinculadas con carrera y el orden de prioridad de elección de la misma, vivencias institucionales (ej. servicios estudiantiles) y las vivencias de desarrollo psicosocial (dimensiones personal e interpersonal) tienen papel importante en la predicción de la intención de abandono en educación superior.</w:t>
      </w:r>
    </w:p>
    <w:p w14:paraId="079459FB" w14:textId="48D8F86E" w:rsidR="002723F7" w:rsidRDefault="002723F7" w:rsidP="002723F7">
      <w:pPr>
        <w:suppressAutoHyphens w:val="0"/>
        <w:spacing w:line="240" w:lineRule="auto"/>
        <w:ind w:leftChars="0" w:left="0" w:firstLineChars="0" w:firstLine="0"/>
        <w:textDirection w:val="lrTb"/>
        <w:textAlignment w:val="auto"/>
        <w:outlineLvl w:val="9"/>
        <w:rPr>
          <w:sz w:val="24"/>
          <w:szCs w:val="24"/>
        </w:rPr>
      </w:pPr>
      <w:r w:rsidRPr="005F1D37">
        <w:rPr>
          <w:sz w:val="24"/>
          <w:szCs w:val="24"/>
        </w:rPr>
        <w:t xml:space="preserve">Los hallazgos de esta investigación ofrecen información relevante para identificar preventivamente </w:t>
      </w:r>
      <w:r w:rsidR="00BD0002">
        <w:rPr>
          <w:sz w:val="24"/>
          <w:szCs w:val="24"/>
        </w:rPr>
        <w:t>factores</w:t>
      </w:r>
      <w:r w:rsidRPr="005F1D37">
        <w:rPr>
          <w:sz w:val="24"/>
          <w:szCs w:val="24"/>
        </w:rPr>
        <w:t xml:space="preserve"> protector</w:t>
      </w:r>
      <w:r w:rsidR="00BD0002">
        <w:rPr>
          <w:sz w:val="24"/>
          <w:szCs w:val="24"/>
        </w:rPr>
        <w:t>e</w:t>
      </w:r>
      <w:r w:rsidRPr="005F1D37">
        <w:rPr>
          <w:sz w:val="24"/>
          <w:szCs w:val="24"/>
        </w:rPr>
        <w:t xml:space="preserve">s y de riesgo </w:t>
      </w:r>
      <w:r>
        <w:rPr>
          <w:sz w:val="24"/>
          <w:szCs w:val="24"/>
        </w:rPr>
        <w:t xml:space="preserve">que inciden en </w:t>
      </w:r>
      <w:r w:rsidRPr="005F1D37">
        <w:rPr>
          <w:sz w:val="24"/>
          <w:szCs w:val="24"/>
        </w:rPr>
        <w:t>la intención de abandono</w:t>
      </w:r>
      <w:r w:rsidR="006E1EE9">
        <w:rPr>
          <w:sz w:val="24"/>
          <w:szCs w:val="24"/>
        </w:rPr>
        <w:t xml:space="preserve"> universitario en la UNAH</w:t>
      </w:r>
      <w:r>
        <w:rPr>
          <w:sz w:val="24"/>
          <w:szCs w:val="24"/>
        </w:rPr>
        <w:t xml:space="preserve">. </w:t>
      </w:r>
      <w:r>
        <w:rPr>
          <w:sz w:val="24"/>
          <w:szCs w:val="24"/>
        </w:rPr>
        <w:lastRenderedPageBreak/>
        <w:t xml:space="preserve">Sumado a ello, este trabajo brinda </w:t>
      </w:r>
      <w:r w:rsidRPr="005F1D37">
        <w:rPr>
          <w:sz w:val="24"/>
          <w:szCs w:val="24"/>
        </w:rPr>
        <w:t>evidencias inéditas sobre esta temática en contexto universitario hondureño</w:t>
      </w:r>
      <w:r>
        <w:rPr>
          <w:sz w:val="24"/>
          <w:szCs w:val="24"/>
        </w:rPr>
        <w:t xml:space="preserve"> y abre la posibilidad del desarrollo de trabajos de investigación, intervenciones o generaciones de políticas que mitiguen los riesgos de abandono en educación superior. </w:t>
      </w:r>
    </w:p>
    <w:p w14:paraId="00D93A7D" w14:textId="71A27347" w:rsidR="00E8494F" w:rsidRDefault="00E8494F">
      <w:pPr>
        <w:suppressAutoHyphens w:val="0"/>
        <w:spacing w:line="240" w:lineRule="auto"/>
        <w:ind w:leftChars="0" w:left="0" w:firstLineChars="0" w:firstLine="0"/>
        <w:textDirection w:val="lrTb"/>
        <w:textAlignment w:val="auto"/>
        <w:outlineLvl w:val="9"/>
        <w:rPr>
          <w:sz w:val="24"/>
          <w:szCs w:val="24"/>
        </w:rPr>
      </w:pPr>
      <w:r>
        <w:rPr>
          <w:sz w:val="24"/>
          <w:szCs w:val="24"/>
        </w:rPr>
        <w:t>Considerando que la adaptación a la carrera y</w:t>
      </w:r>
      <w:r w:rsidR="002723F7">
        <w:rPr>
          <w:sz w:val="24"/>
          <w:szCs w:val="24"/>
        </w:rPr>
        <w:t xml:space="preserve"> su selección como primera opción de estudios se consideran factores protectores ante la intención de abandono universitario</w:t>
      </w:r>
      <w:r>
        <w:rPr>
          <w:sz w:val="24"/>
          <w:szCs w:val="24"/>
        </w:rPr>
        <w:t xml:space="preserve">, se </w:t>
      </w:r>
      <w:r w:rsidR="002723F7">
        <w:rPr>
          <w:sz w:val="24"/>
          <w:szCs w:val="24"/>
        </w:rPr>
        <w:t xml:space="preserve">estima </w:t>
      </w:r>
      <w:r>
        <w:rPr>
          <w:sz w:val="24"/>
          <w:szCs w:val="24"/>
        </w:rPr>
        <w:t>necesario la implementación de políticas de ingreso</w:t>
      </w:r>
      <w:r w:rsidR="002723F7">
        <w:rPr>
          <w:sz w:val="24"/>
          <w:szCs w:val="24"/>
        </w:rPr>
        <w:t xml:space="preserve"> integrales</w:t>
      </w:r>
      <w:r>
        <w:rPr>
          <w:sz w:val="24"/>
          <w:szCs w:val="24"/>
        </w:rPr>
        <w:t xml:space="preserve"> que potencialicen aspectos </w:t>
      </w:r>
      <w:r w:rsidR="00C862F4">
        <w:rPr>
          <w:sz w:val="24"/>
          <w:szCs w:val="24"/>
        </w:rPr>
        <w:t xml:space="preserve">y prácticas </w:t>
      </w:r>
      <w:r>
        <w:rPr>
          <w:sz w:val="24"/>
          <w:szCs w:val="24"/>
        </w:rPr>
        <w:t>de orientación vocacional</w:t>
      </w:r>
      <w:r w:rsidR="002723F7">
        <w:rPr>
          <w:sz w:val="24"/>
          <w:szCs w:val="24"/>
        </w:rPr>
        <w:t xml:space="preserve"> para la acertada </w:t>
      </w:r>
      <w:r w:rsidR="00C862F4">
        <w:rPr>
          <w:sz w:val="24"/>
          <w:szCs w:val="24"/>
        </w:rPr>
        <w:t>selección</w:t>
      </w:r>
      <w:r w:rsidR="002723F7">
        <w:rPr>
          <w:sz w:val="24"/>
          <w:szCs w:val="24"/>
        </w:rPr>
        <w:t xml:space="preserve"> de una carrera universitaria. </w:t>
      </w:r>
    </w:p>
    <w:p w14:paraId="5D660461" w14:textId="4AEC503F" w:rsidR="006E1EE9" w:rsidRDefault="00272547">
      <w:pPr>
        <w:suppressAutoHyphens w:val="0"/>
        <w:spacing w:line="240" w:lineRule="auto"/>
        <w:ind w:leftChars="0" w:left="0" w:firstLineChars="0" w:firstLine="0"/>
        <w:textDirection w:val="lrTb"/>
        <w:textAlignment w:val="auto"/>
        <w:outlineLvl w:val="9"/>
        <w:rPr>
          <w:sz w:val="24"/>
          <w:szCs w:val="24"/>
        </w:rPr>
      </w:pPr>
      <w:r>
        <w:rPr>
          <w:sz w:val="24"/>
          <w:szCs w:val="24"/>
        </w:rPr>
        <w:t>Esta</w:t>
      </w:r>
      <w:r w:rsidR="00C862F4">
        <w:rPr>
          <w:sz w:val="24"/>
          <w:szCs w:val="24"/>
        </w:rPr>
        <w:t xml:space="preserve"> investigación</w:t>
      </w:r>
      <w:r>
        <w:rPr>
          <w:sz w:val="24"/>
          <w:szCs w:val="24"/>
        </w:rPr>
        <w:t xml:space="preserve"> no pretende brindar </w:t>
      </w:r>
      <w:r w:rsidR="00BD0002">
        <w:rPr>
          <w:sz w:val="24"/>
          <w:szCs w:val="24"/>
        </w:rPr>
        <w:t>datos</w:t>
      </w:r>
      <w:r w:rsidR="00C862F4">
        <w:rPr>
          <w:sz w:val="24"/>
          <w:szCs w:val="24"/>
        </w:rPr>
        <w:t xml:space="preserve"> totalmente conclusiv</w:t>
      </w:r>
      <w:r w:rsidR="00BD0002">
        <w:rPr>
          <w:sz w:val="24"/>
          <w:szCs w:val="24"/>
        </w:rPr>
        <w:t>os</w:t>
      </w:r>
      <w:r w:rsidR="00C862F4">
        <w:rPr>
          <w:sz w:val="24"/>
          <w:szCs w:val="24"/>
        </w:rPr>
        <w:t xml:space="preserve">, </w:t>
      </w:r>
      <w:r>
        <w:rPr>
          <w:sz w:val="24"/>
          <w:szCs w:val="24"/>
        </w:rPr>
        <w:t xml:space="preserve">por lo contrario, </w:t>
      </w:r>
      <w:r w:rsidR="00C862F4">
        <w:rPr>
          <w:sz w:val="24"/>
          <w:szCs w:val="24"/>
        </w:rPr>
        <w:t>abre la</w:t>
      </w:r>
      <w:r w:rsidR="000A3F70">
        <w:rPr>
          <w:sz w:val="24"/>
          <w:szCs w:val="24"/>
        </w:rPr>
        <w:t xml:space="preserve"> </w:t>
      </w:r>
      <w:r w:rsidR="00C862F4">
        <w:rPr>
          <w:sz w:val="24"/>
          <w:szCs w:val="24"/>
        </w:rPr>
        <w:t>posibilidad para</w:t>
      </w:r>
      <w:r w:rsidR="000A3F70">
        <w:rPr>
          <w:sz w:val="24"/>
          <w:szCs w:val="24"/>
        </w:rPr>
        <w:t xml:space="preserve"> continuar con el desarrollo de líneas de investigación y estudios derivados sobre</w:t>
      </w:r>
      <w:r w:rsidR="00C862F4">
        <w:rPr>
          <w:sz w:val="24"/>
          <w:szCs w:val="24"/>
        </w:rPr>
        <w:t xml:space="preserve"> la temática</w:t>
      </w:r>
      <w:r>
        <w:rPr>
          <w:sz w:val="24"/>
          <w:szCs w:val="24"/>
        </w:rPr>
        <w:t xml:space="preserve"> de </w:t>
      </w:r>
      <w:r w:rsidR="000A3F70">
        <w:rPr>
          <w:sz w:val="24"/>
          <w:szCs w:val="24"/>
        </w:rPr>
        <w:t>abandono</w:t>
      </w:r>
      <w:r w:rsidR="00C862F4">
        <w:rPr>
          <w:sz w:val="24"/>
          <w:szCs w:val="24"/>
        </w:rPr>
        <w:t xml:space="preserve"> en contexto de educación superior hondureño. Se sugiere que futuras investigaciones adopten una perspectiva longitudinal</w:t>
      </w:r>
      <w:r w:rsidR="00181C9E">
        <w:rPr>
          <w:sz w:val="24"/>
          <w:szCs w:val="24"/>
        </w:rPr>
        <w:t xml:space="preserve"> e incluyan otras variables predictivas (por ejemplo, aspectos de salud mental, aspectos curriculares y trayectorias académicas universitarias de los estudiantes). De igual forma</w:t>
      </w:r>
      <w:r>
        <w:rPr>
          <w:sz w:val="24"/>
          <w:szCs w:val="24"/>
        </w:rPr>
        <w:t>,</w:t>
      </w:r>
      <w:r w:rsidR="00181C9E">
        <w:rPr>
          <w:sz w:val="24"/>
          <w:szCs w:val="24"/>
        </w:rPr>
        <w:t xml:space="preserve"> se considera necesario la ejecución de estudios que </w:t>
      </w:r>
      <w:r w:rsidR="000A3F70">
        <w:rPr>
          <w:sz w:val="24"/>
          <w:szCs w:val="24"/>
        </w:rPr>
        <w:t>analicen si la intención de abandono se materializó en abandono real.</w:t>
      </w:r>
    </w:p>
    <w:p w14:paraId="4F7FD8F4" w14:textId="0AE5CC14" w:rsidR="00443A11" w:rsidRDefault="00BD0002">
      <w:pPr>
        <w:suppressAutoHyphens w:val="0"/>
        <w:spacing w:line="240" w:lineRule="auto"/>
        <w:ind w:leftChars="0" w:left="0" w:firstLineChars="0" w:firstLine="0"/>
        <w:textDirection w:val="lrTb"/>
        <w:textAlignment w:val="auto"/>
        <w:outlineLvl w:val="9"/>
        <w:rPr>
          <w:sz w:val="24"/>
          <w:szCs w:val="24"/>
        </w:rPr>
      </w:pPr>
      <w:r>
        <w:rPr>
          <w:sz w:val="24"/>
          <w:szCs w:val="24"/>
        </w:rPr>
        <w:t>Finalmente, l</w:t>
      </w:r>
      <w:r w:rsidR="00443A11">
        <w:rPr>
          <w:sz w:val="24"/>
          <w:szCs w:val="24"/>
        </w:rPr>
        <w:t xml:space="preserve">a implementación de prácticas y políticas educacionales, basadas en evidencia científica, </w:t>
      </w:r>
      <w:r w:rsidR="00E8494F">
        <w:rPr>
          <w:sz w:val="24"/>
          <w:szCs w:val="24"/>
        </w:rPr>
        <w:t xml:space="preserve">debe ser una prioridad en los esquemas de gestión administrativa y académica de las instituciones de educación superior. </w:t>
      </w:r>
      <w:r w:rsidR="000A3F70">
        <w:rPr>
          <w:sz w:val="24"/>
          <w:szCs w:val="24"/>
        </w:rPr>
        <w:t>El quehacer académico de las universidades</w:t>
      </w:r>
      <w:r w:rsidR="00181C9E">
        <w:rPr>
          <w:sz w:val="24"/>
          <w:szCs w:val="24"/>
        </w:rPr>
        <w:t>,</w:t>
      </w:r>
      <w:r w:rsidR="000A3F70">
        <w:rPr>
          <w:sz w:val="24"/>
          <w:szCs w:val="24"/>
        </w:rPr>
        <w:t xml:space="preserve"> </w:t>
      </w:r>
      <w:r w:rsidR="00181C9E">
        <w:rPr>
          <w:sz w:val="24"/>
          <w:szCs w:val="24"/>
        </w:rPr>
        <w:t xml:space="preserve">contenido en sus </w:t>
      </w:r>
      <w:r w:rsidR="000A3F70">
        <w:rPr>
          <w:sz w:val="24"/>
          <w:szCs w:val="24"/>
        </w:rPr>
        <w:t>funciones sustantivas de docencia, investigación y vinculación</w:t>
      </w:r>
      <w:r w:rsidR="00181C9E">
        <w:rPr>
          <w:sz w:val="24"/>
          <w:szCs w:val="24"/>
        </w:rPr>
        <w:t>,</w:t>
      </w:r>
      <w:r w:rsidR="000A3F70">
        <w:rPr>
          <w:sz w:val="24"/>
          <w:szCs w:val="24"/>
        </w:rPr>
        <w:t xml:space="preserve"> deben guiar el accionar</w:t>
      </w:r>
      <w:r w:rsidR="00181C9E">
        <w:rPr>
          <w:sz w:val="24"/>
          <w:szCs w:val="24"/>
        </w:rPr>
        <w:t xml:space="preserve"> de generación de conocimientos y propuesta de soluciones </w:t>
      </w:r>
      <w:r w:rsidR="00272547">
        <w:rPr>
          <w:sz w:val="24"/>
          <w:szCs w:val="24"/>
        </w:rPr>
        <w:t xml:space="preserve">no solo en </w:t>
      </w:r>
      <w:r w:rsidR="00181C9E">
        <w:rPr>
          <w:sz w:val="24"/>
          <w:szCs w:val="24"/>
        </w:rPr>
        <w:t>temáticas de realidad nacional, sino también</w:t>
      </w:r>
      <w:r w:rsidR="00272547">
        <w:rPr>
          <w:sz w:val="24"/>
          <w:szCs w:val="24"/>
        </w:rPr>
        <w:t xml:space="preserve"> girar la mirada a </w:t>
      </w:r>
      <w:r>
        <w:rPr>
          <w:sz w:val="24"/>
          <w:szCs w:val="24"/>
        </w:rPr>
        <w:t xml:space="preserve">problemáticas y </w:t>
      </w:r>
      <w:r w:rsidR="00272547">
        <w:rPr>
          <w:sz w:val="24"/>
          <w:szCs w:val="24"/>
        </w:rPr>
        <w:t xml:space="preserve">aspectos internos de las propias </w:t>
      </w:r>
      <w:r w:rsidR="00142798">
        <w:rPr>
          <w:sz w:val="24"/>
          <w:szCs w:val="24"/>
        </w:rPr>
        <w:t>universidades</w:t>
      </w:r>
      <w:r w:rsidR="00272547">
        <w:rPr>
          <w:sz w:val="24"/>
          <w:szCs w:val="24"/>
        </w:rPr>
        <w:t xml:space="preserve">. </w:t>
      </w:r>
      <w:r w:rsidR="00534CEE">
        <w:rPr>
          <w:sz w:val="24"/>
          <w:szCs w:val="24"/>
        </w:rPr>
        <w:t>El estudio de la problemática de abandono en educación superior y</w:t>
      </w:r>
      <w:r w:rsidR="008C777F">
        <w:rPr>
          <w:sz w:val="24"/>
          <w:szCs w:val="24"/>
        </w:rPr>
        <w:t xml:space="preserve"> </w:t>
      </w:r>
      <w:r w:rsidR="00A01C6D">
        <w:rPr>
          <w:sz w:val="24"/>
          <w:szCs w:val="24"/>
        </w:rPr>
        <w:t xml:space="preserve">de </w:t>
      </w:r>
      <w:r w:rsidR="008C777F">
        <w:rPr>
          <w:sz w:val="24"/>
          <w:szCs w:val="24"/>
        </w:rPr>
        <w:t xml:space="preserve">las estrategias que </w:t>
      </w:r>
      <w:r w:rsidR="008C777F" w:rsidRPr="008C777F">
        <w:rPr>
          <w:sz w:val="24"/>
          <w:szCs w:val="24"/>
        </w:rPr>
        <w:t>foment</w:t>
      </w:r>
      <w:r w:rsidR="008C777F">
        <w:rPr>
          <w:sz w:val="24"/>
          <w:szCs w:val="24"/>
        </w:rPr>
        <w:t>a</w:t>
      </w:r>
      <w:r w:rsidR="008C777F" w:rsidRPr="008C777F">
        <w:rPr>
          <w:sz w:val="24"/>
          <w:szCs w:val="24"/>
        </w:rPr>
        <w:t xml:space="preserve">n la permanencia y promoción estudiantil en </w:t>
      </w:r>
      <w:r w:rsidR="008C777F">
        <w:rPr>
          <w:sz w:val="24"/>
          <w:szCs w:val="24"/>
        </w:rPr>
        <w:t>este nivel</w:t>
      </w:r>
      <w:r w:rsidR="00A01C6D">
        <w:rPr>
          <w:sz w:val="24"/>
          <w:szCs w:val="24"/>
        </w:rPr>
        <w:t xml:space="preserve"> </w:t>
      </w:r>
      <w:r w:rsidR="008C777F">
        <w:rPr>
          <w:sz w:val="24"/>
          <w:szCs w:val="24"/>
        </w:rPr>
        <w:t>son temas</w:t>
      </w:r>
      <w:r w:rsidR="00A01C6D">
        <w:rPr>
          <w:sz w:val="24"/>
          <w:szCs w:val="24"/>
        </w:rPr>
        <w:t xml:space="preserve"> educacionales</w:t>
      </w:r>
      <w:r w:rsidR="008C777F">
        <w:rPr>
          <w:sz w:val="24"/>
          <w:szCs w:val="24"/>
        </w:rPr>
        <w:t xml:space="preserve"> de prioridad nacional, regional y mundial</w:t>
      </w:r>
      <w:r w:rsidR="008C777F" w:rsidRPr="008C777F">
        <w:rPr>
          <w:sz w:val="24"/>
          <w:szCs w:val="24"/>
        </w:rPr>
        <w:t>.</w:t>
      </w:r>
    </w:p>
    <w:p w14:paraId="30E499AD" w14:textId="77777777" w:rsidR="001B53CB" w:rsidRDefault="001B53CB">
      <w:pPr>
        <w:suppressAutoHyphens w:val="0"/>
        <w:spacing w:line="240" w:lineRule="auto"/>
        <w:ind w:leftChars="0" w:left="0" w:firstLineChars="0" w:firstLine="0"/>
        <w:textDirection w:val="lrTb"/>
        <w:textAlignment w:val="auto"/>
        <w:outlineLvl w:val="9"/>
        <w:rPr>
          <w:color w:val="000000"/>
          <w:sz w:val="24"/>
          <w:szCs w:val="24"/>
        </w:rPr>
      </w:pPr>
    </w:p>
    <w:p w14:paraId="341C47C1" w14:textId="77777777" w:rsidR="0083361B" w:rsidRPr="00F5278C" w:rsidRDefault="0083361B" w:rsidP="0083361B">
      <w:pPr>
        <w:suppressAutoHyphens w:val="0"/>
        <w:spacing w:line="240" w:lineRule="auto"/>
        <w:ind w:leftChars="0" w:left="0" w:firstLineChars="0" w:firstLine="0"/>
        <w:textDirection w:val="lrTb"/>
        <w:textAlignment w:val="auto"/>
        <w:outlineLvl w:val="9"/>
        <w:rPr>
          <w:b/>
          <w:sz w:val="24"/>
          <w:szCs w:val="24"/>
          <w:lang w:val="pt-BR"/>
        </w:rPr>
      </w:pPr>
      <w:r w:rsidRPr="00F5278C">
        <w:rPr>
          <w:b/>
          <w:sz w:val="24"/>
          <w:szCs w:val="24"/>
          <w:lang w:val="pt-BR"/>
        </w:rPr>
        <w:t>Refer</w:t>
      </w:r>
      <w:bookmarkStart w:id="1" w:name="_GoBack"/>
      <w:bookmarkEnd w:id="1"/>
      <w:r w:rsidRPr="00F5278C">
        <w:rPr>
          <w:b/>
          <w:sz w:val="24"/>
          <w:szCs w:val="24"/>
          <w:lang w:val="pt-BR"/>
        </w:rPr>
        <w:t>encias</w:t>
      </w:r>
    </w:p>
    <w:p w14:paraId="3CB304C0" w14:textId="7818CB69" w:rsidR="00CF1A0C" w:rsidRPr="0042122A" w:rsidRDefault="00CF1A0C" w:rsidP="0083361B">
      <w:pPr>
        <w:suppressAutoHyphens w:val="0"/>
        <w:spacing w:line="240" w:lineRule="auto"/>
        <w:ind w:leftChars="0" w:left="0" w:firstLineChars="0" w:firstLine="0"/>
        <w:textDirection w:val="lrTb"/>
        <w:textAlignment w:val="auto"/>
        <w:outlineLvl w:val="9"/>
        <w:rPr>
          <w:color w:val="000000"/>
          <w:sz w:val="24"/>
          <w:szCs w:val="24"/>
          <w:lang w:val="pt-BR"/>
        </w:rPr>
      </w:pPr>
      <w:r w:rsidRPr="0042122A">
        <w:rPr>
          <w:color w:val="000000"/>
          <w:sz w:val="24"/>
          <w:szCs w:val="24"/>
          <w:lang w:val="pt-BR"/>
        </w:rPr>
        <w:t xml:space="preserve">Almeida, L., Ferreira, J., y Soares, A. (1999). Apresentação do Questionário de Vivências Académicas (QVA). </w:t>
      </w:r>
      <w:r w:rsidRPr="0042122A">
        <w:rPr>
          <w:i/>
          <w:color w:val="000000"/>
          <w:sz w:val="24"/>
          <w:szCs w:val="24"/>
          <w:lang w:val="pt-BR"/>
        </w:rPr>
        <w:t>Psicologia, 19</w:t>
      </w:r>
      <w:r w:rsidRPr="0042122A">
        <w:rPr>
          <w:color w:val="000000"/>
          <w:sz w:val="24"/>
          <w:szCs w:val="24"/>
          <w:lang w:val="pt-BR"/>
        </w:rPr>
        <w:t>(2), 149–160.</w:t>
      </w:r>
    </w:p>
    <w:p w14:paraId="3A9DB89D" w14:textId="261860E1" w:rsidR="00535DB4" w:rsidRPr="0042122A" w:rsidRDefault="005A6427" w:rsidP="0083361B">
      <w:pPr>
        <w:suppressAutoHyphens w:val="0"/>
        <w:spacing w:line="240" w:lineRule="auto"/>
        <w:ind w:leftChars="0" w:left="0" w:firstLineChars="0" w:firstLine="0"/>
        <w:textDirection w:val="lrTb"/>
        <w:textAlignment w:val="auto"/>
        <w:outlineLvl w:val="9"/>
        <w:rPr>
          <w:color w:val="000000"/>
          <w:sz w:val="24"/>
          <w:szCs w:val="24"/>
          <w:lang w:val="en-US"/>
        </w:rPr>
      </w:pPr>
      <w:r w:rsidRPr="0042122A">
        <w:rPr>
          <w:color w:val="000000"/>
          <w:sz w:val="24"/>
          <w:szCs w:val="24"/>
          <w:lang w:val="pt-BR"/>
        </w:rPr>
        <w:t xml:space="preserve">Barroso, P. C. F., Oliveira, R. M., Noronha-Sousa, D., Noronha, A., Mateus, C. C., </w:t>
      </w:r>
      <w:proofErr w:type="spellStart"/>
      <w:r w:rsidRPr="0042122A">
        <w:rPr>
          <w:color w:val="000000"/>
          <w:sz w:val="24"/>
          <w:szCs w:val="24"/>
          <w:lang w:val="pt-BR"/>
        </w:rPr>
        <w:t>Vázquez</w:t>
      </w:r>
      <w:proofErr w:type="spellEnd"/>
      <w:r w:rsidRPr="0042122A">
        <w:rPr>
          <w:color w:val="000000"/>
          <w:sz w:val="24"/>
          <w:szCs w:val="24"/>
          <w:lang w:val="pt-BR"/>
        </w:rPr>
        <w:t xml:space="preserve">-Justo, E. &amp; Costa-Lobo, C. (2022). </w:t>
      </w:r>
      <w:r w:rsidRPr="0042122A">
        <w:rPr>
          <w:color w:val="000000"/>
          <w:sz w:val="24"/>
          <w:szCs w:val="24"/>
          <w:lang w:val="en-US"/>
        </w:rPr>
        <w:t xml:space="preserve">Dropout factors in higher education: a literature review. </w:t>
      </w:r>
      <w:proofErr w:type="spellStart"/>
      <w:r w:rsidRPr="0042122A">
        <w:rPr>
          <w:i/>
          <w:color w:val="000000"/>
          <w:sz w:val="24"/>
          <w:szCs w:val="24"/>
          <w:lang w:val="en-US"/>
        </w:rPr>
        <w:t>Psicologia</w:t>
      </w:r>
      <w:proofErr w:type="spellEnd"/>
      <w:r w:rsidRPr="0042122A">
        <w:rPr>
          <w:i/>
          <w:color w:val="000000"/>
          <w:sz w:val="24"/>
          <w:szCs w:val="24"/>
          <w:lang w:val="en-US"/>
        </w:rPr>
        <w:t xml:space="preserve"> Escolar e </w:t>
      </w:r>
      <w:proofErr w:type="spellStart"/>
      <w:r w:rsidRPr="0042122A">
        <w:rPr>
          <w:i/>
          <w:color w:val="000000"/>
          <w:sz w:val="24"/>
          <w:szCs w:val="24"/>
          <w:lang w:val="en-US"/>
        </w:rPr>
        <w:t>Educacional</w:t>
      </w:r>
      <w:proofErr w:type="spellEnd"/>
      <w:r w:rsidRPr="0042122A">
        <w:rPr>
          <w:i/>
          <w:color w:val="000000"/>
          <w:sz w:val="24"/>
          <w:szCs w:val="24"/>
          <w:lang w:val="en-US"/>
        </w:rPr>
        <w:t>, 26</w:t>
      </w:r>
      <w:r w:rsidRPr="0042122A">
        <w:rPr>
          <w:color w:val="000000"/>
          <w:sz w:val="24"/>
          <w:szCs w:val="24"/>
          <w:lang w:val="en-US"/>
        </w:rPr>
        <w:t xml:space="preserve">. </w:t>
      </w:r>
      <w:r w:rsidR="006B147F" w:rsidRPr="0042122A">
        <w:rPr>
          <w:sz w:val="24"/>
          <w:szCs w:val="24"/>
        </w:rPr>
        <w:fldChar w:fldCharType="begin"/>
      </w:r>
      <w:r w:rsidR="006B147F" w:rsidRPr="0042122A">
        <w:rPr>
          <w:sz w:val="24"/>
          <w:szCs w:val="24"/>
          <w:lang w:val="en-US"/>
        </w:rPr>
        <w:instrText xml:space="preserve"> HYPERLINK "https://doi.org/10.1590/2175-35392022228736t" </w:instrText>
      </w:r>
      <w:r w:rsidR="006B147F" w:rsidRPr="0042122A">
        <w:rPr>
          <w:sz w:val="24"/>
          <w:szCs w:val="24"/>
        </w:rPr>
        <w:fldChar w:fldCharType="separate"/>
      </w:r>
      <w:r w:rsidRPr="0042122A">
        <w:rPr>
          <w:rStyle w:val="Hipervnculo"/>
          <w:sz w:val="24"/>
          <w:szCs w:val="24"/>
          <w:lang w:val="en-US"/>
        </w:rPr>
        <w:t>https://doi.org/10.1590/2175-35392022228736t</w:t>
      </w:r>
      <w:r w:rsidR="006B147F" w:rsidRPr="0042122A">
        <w:rPr>
          <w:rStyle w:val="Hipervnculo"/>
          <w:sz w:val="24"/>
          <w:szCs w:val="24"/>
          <w:lang w:val="en-US"/>
        </w:rPr>
        <w:fldChar w:fldCharType="end"/>
      </w:r>
      <w:r w:rsidRPr="0042122A">
        <w:rPr>
          <w:color w:val="000000"/>
          <w:sz w:val="24"/>
          <w:szCs w:val="24"/>
          <w:lang w:val="en-US"/>
        </w:rPr>
        <w:t xml:space="preserve"> </w:t>
      </w:r>
    </w:p>
    <w:p w14:paraId="6F6ABE13" w14:textId="13E45BAD" w:rsidR="000D3659" w:rsidRPr="0042122A" w:rsidRDefault="000D3659" w:rsidP="0083361B">
      <w:pPr>
        <w:suppressAutoHyphens w:val="0"/>
        <w:spacing w:line="240" w:lineRule="auto"/>
        <w:ind w:leftChars="0" w:left="0" w:firstLineChars="0" w:firstLine="0"/>
        <w:textDirection w:val="lrTb"/>
        <w:textAlignment w:val="auto"/>
        <w:outlineLvl w:val="9"/>
        <w:rPr>
          <w:color w:val="000000"/>
          <w:sz w:val="24"/>
          <w:szCs w:val="24"/>
          <w:lang w:val="en-US"/>
        </w:rPr>
      </w:pPr>
      <w:r w:rsidRPr="0042122A">
        <w:rPr>
          <w:color w:val="000000"/>
          <w:sz w:val="24"/>
          <w:szCs w:val="24"/>
          <w:lang w:val="en-US"/>
        </w:rPr>
        <w:t xml:space="preserve">Bean, J. P., &amp; </w:t>
      </w:r>
      <w:proofErr w:type="spellStart"/>
      <w:r w:rsidRPr="0042122A">
        <w:rPr>
          <w:color w:val="000000"/>
          <w:sz w:val="24"/>
          <w:szCs w:val="24"/>
          <w:lang w:val="en-US"/>
        </w:rPr>
        <w:t>Metzner</w:t>
      </w:r>
      <w:proofErr w:type="spellEnd"/>
      <w:r w:rsidRPr="0042122A">
        <w:rPr>
          <w:color w:val="000000"/>
          <w:sz w:val="24"/>
          <w:szCs w:val="24"/>
          <w:lang w:val="en-US"/>
        </w:rPr>
        <w:t xml:space="preserve">, B. S. (1985). A Conceptual Model of Nontraditional Undergraduate Student Attrition. </w:t>
      </w:r>
      <w:r w:rsidRPr="0042122A">
        <w:rPr>
          <w:i/>
          <w:color w:val="000000"/>
          <w:sz w:val="24"/>
          <w:szCs w:val="24"/>
          <w:lang w:val="en-US"/>
        </w:rPr>
        <w:t>Review of Educational Research, 55</w:t>
      </w:r>
      <w:r w:rsidRPr="0042122A">
        <w:rPr>
          <w:color w:val="000000"/>
          <w:sz w:val="24"/>
          <w:szCs w:val="24"/>
          <w:lang w:val="en-US"/>
        </w:rPr>
        <w:t xml:space="preserve">(4), 485–540. </w:t>
      </w:r>
      <w:r w:rsidR="006B147F" w:rsidRPr="0042122A">
        <w:rPr>
          <w:sz w:val="24"/>
          <w:szCs w:val="24"/>
        </w:rPr>
        <w:fldChar w:fldCharType="begin"/>
      </w:r>
      <w:r w:rsidR="006B147F" w:rsidRPr="0042122A">
        <w:rPr>
          <w:sz w:val="24"/>
          <w:szCs w:val="24"/>
          <w:lang w:val="en-US"/>
        </w:rPr>
        <w:instrText xml:space="preserve"> HYPERLINK "https://doi.org/10.2307/1170245" </w:instrText>
      </w:r>
      <w:r w:rsidR="006B147F" w:rsidRPr="0042122A">
        <w:rPr>
          <w:sz w:val="24"/>
          <w:szCs w:val="24"/>
        </w:rPr>
        <w:fldChar w:fldCharType="separate"/>
      </w:r>
      <w:r w:rsidRPr="0042122A">
        <w:rPr>
          <w:rStyle w:val="Hipervnculo"/>
          <w:sz w:val="24"/>
          <w:szCs w:val="24"/>
          <w:lang w:val="en-US"/>
        </w:rPr>
        <w:t>https://doi.org/10.2307/1170245</w:t>
      </w:r>
      <w:r w:rsidR="006B147F" w:rsidRPr="0042122A">
        <w:rPr>
          <w:rStyle w:val="Hipervnculo"/>
          <w:sz w:val="24"/>
          <w:szCs w:val="24"/>
          <w:lang w:val="en-US"/>
        </w:rPr>
        <w:fldChar w:fldCharType="end"/>
      </w:r>
      <w:r w:rsidRPr="0042122A">
        <w:rPr>
          <w:color w:val="000000"/>
          <w:sz w:val="24"/>
          <w:szCs w:val="24"/>
          <w:lang w:val="en-US"/>
        </w:rPr>
        <w:t xml:space="preserve">  </w:t>
      </w:r>
    </w:p>
    <w:p w14:paraId="4EDFB7DC" w14:textId="2985E50A" w:rsidR="007D03B6" w:rsidRPr="0042122A" w:rsidRDefault="007D03B6" w:rsidP="000F4B53">
      <w:pPr>
        <w:suppressAutoHyphens w:val="0"/>
        <w:spacing w:line="240" w:lineRule="auto"/>
        <w:ind w:leftChars="0" w:firstLineChars="0" w:firstLine="0"/>
        <w:textDirection w:val="lrTb"/>
        <w:textAlignment w:val="auto"/>
        <w:outlineLvl w:val="9"/>
        <w:rPr>
          <w:color w:val="000000"/>
          <w:sz w:val="24"/>
          <w:szCs w:val="24"/>
          <w:lang w:val="en-US"/>
        </w:rPr>
      </w:pPr>
      <w:r w:rsidRPr="0042122A">
        <w:rPr>
          <w:color w:val="000000"/>
          <w:sz w:val="24"/>
          <w:szCs w:val="24"/>
          <w:lang w:val="en-US"/>
        </w:rPr>
        <w:t xml:space="preserve">Bernardo, A. B. (2022). Editorial: Higher Education Dropout After COVID-19: New Strategies to Optimize Success. </w:t>
      </w:r>
      <w:r w:rsidRPr="0042122A">
        <w:rPr>
          <w:i/>
          <w:color w:val="000000"/>
          <w:sz w:val="24"/>
          <w:szCs w:val="24"/>
          <w:lang w:val="en-US"/>
        </w:rPr>
        <w:t>Frontiers</w:t>
      </w:r>
      <w:r w:rsidR="00E57376" w:rsidRPr="0042122A">
        <w:rPr>
          <w:i/>
          <w:color w:val="000000"/>
          <w:sz w:val="24"/>
          <w:szCs w:val="24"/>
          <w:lang w:val="en-US"/>
        </w:rPr>
        <w:t xml:space="preserve"> in Psychology, 13:880295</w:t>
      </w:r>
      <w:r w:rsidRPr="0042122A">
        <w:rPr>
          <w:color w:val="000000"/>
          <w:sz w:val="24"/>
          <w:szCs w:val="24"/>
          <w:lang w:val="en-US"/>
        </w:rPr>
        <w:t xml:space="preserve">. </w:t>
      </w:r>
      <w:r w:rsidR="006B147F" w:rsidRPr="0042122A">
        <w:rPr>
          <w:sz w:val="24"/>
          <w:szCs w:val="24"/>
        </w:rPr>
        <w:fldChar w:fldCharType="begin"/>
      </w:r>
      <w:r w:rsidR="006B147F" w:rsidRPr="0042122A">
        <w:rPr>
          <w:sz w:val="24"/>
          <w:szCs w:val="24"/>
          <w:lang w:val="en-US"/>
        </w:rPr>
        <w:instrText xml:space="preserve"> HYPERLINK "https://doi.org/10.3389/fpsyg.2022.880295" </w:instrText>
      </w:r>
      <w:r w:rsidR="006B147F" w:rsidRPr="0042122A">
        <w:rPr>
          <w:sz w:val="24"/>
          <w:szCs w:val="24"/>
        </w:rPr>
        <w:fldChar w:fldCharType="separate"/>
      </w:r>
      <w:r w:rsidR="00E57376" w:rsidRPr="0042122A">
        <w:rPr>
          <w:rStyle w:val="Hipervnculo"/>
          <w:sz w:val="24"/>
          <w:szCs w:val="24"/>
          <w:lang w:val="en-US"/>
        </w:rPr>
        <w:t>https://doi.org/10.3389/fpsyg.2022.880295</w:t>
      </w:r>
      <w:r w:rsidR="006B147F" w:rsidRPr="0042122A">
        <w:rPr>
          <w:rStyle w:val="Hipervnculo"/>
          <w:sz w:val="24"/>
          <w:szCs w:val="24"/>
          <w:lang w:val="en-US"/>
        </w:rPr>
        <w:fldChar w:fldCharType="end"/>
      </w:r>
      <w:r w:rsidR="00E57376" w:rsidRPr="0042122A">
        <w:rPr>
          <w:color w:val="000000"/>
          <w:sz w:val="24"/>
          <w:szCs w:val="24"/>
          <w:lang w:val="en-US"/>
        </w:rPr>
        <w:t xml:space="preserve"> </w:t>
      </w:r>
    </w:p>
    <w:p w14:paraId="62149420" w14:textId="3784F0AC" w:rsidR="009808E6" w:rsidRPr="0042122A" w:rsidRDefault="009808E6" w:rsidP="000F4B53">
      <w:pPr>
        <w:suppressAutoHyphens w:val="0"/>
        <w:spacing w:line="240" w:lineRule="auto"/>
        <w:ind w:leftChars="0" w:firstLineChars="0" w:firstLine="0"/>
        <w:textDirection w:val="lrTb"/>
        <w:textAlignment w:val="auto"/>
        <w:outlineLvl w:val="9"/>
        <w:rPr>
          <w:color w:val="000000"/>
          <w:sz w:val="24"/>
          <w:szCs w:val="24"/>
          <w:lang w:val="en-US"/>
        </w:rPr>
      </w:pPr>
      <w:r w:rsidRPr="0042122A">
        <w:rPr>
          <w:color w:val="000000"/>
          <w:sz w:val="24"/>
          <w:szCs w:val="24"/>
          <w:lang w:val="en-US"/>
        </w:rPr>
        <w:t xml:space="preserve">Bernardo, A., Esteban, M., Fernández, E., Cervero, A [Antonio], </w:t>
      </w:r>
      <w:proofErr w:type="spellStart"/>
      <w:r w:rsidRPr="0042122A">
        <w:rPr>
          <w:color w:val="000000"/>
          <w:sz w:val="24"/>
          <w:szCs w:val="24"/>
          <w:lang w:val="en-US"/>
        </w:rPr>
        <w:t>Tuero</w:t>
      </w:r>
      <w:proofErr w:type="spellEnd"/>
      <w:r w:rsidRPr="0042122A">
        <w:rPr>
          <w:color w:val="000000"/>
          <w:sz w:val="24"/>
          <w:szCs w:val="24"/>
          <w:lang w:val="en-US"/>
        </w:rPr>
        <w:t xml:space="preserve">, E., &amp; Solano, P. (2016). Comparison of Personal, Social and Academic Variables Related to University Drop-out and Persistence. </w:t>
      </w:r>
      <w:r w:rsidRPr="0042122A">
        <w:rPr>
          <w:i/>
          <w:color w:val="000000"/>
          <w:sz w:val="24"/>
          <w:szCs w:val="24"/>
          <w:lang w:val="en-US"/>
        </w:rPr>
        <w:t>Frontiers in Psychology, 7</w:t>
      </w:r>
      <w:r w:rsidRPr="0042122A">
        <w:rPr>
          <w:color w:val="000000"/>
          <w:sz w:val="24"/>
          <w:szCs w:val="24"/>
          <w:lang w:val="en-US"/>
        </w:rPr>
        <w:t xml:space="preserve">. </w:t>
      </w:r>
      <w:r w:rsidR="006B147F" w:rsidRPr="0042122A">
        <w:rPr>
          <w:sz w:val="24"/>
          <w:szCs w:val="24"/>
        </w:rPr>
        <w:fldChar w:fldCharType="begin"/>
      </w:r>
      <w:r w:rsidR="006B147F" w:rsidRPr="0042122A">
        <w:rPr>
          <w:sz w:val="24"/>
          <w:szCs w:val="24"/>
          <w:lang w:val="en-US"/>
        </w:rPr>
        <w:instrText xml:space="preserve"> HYPERLINK "https://doi.org/10.3389/fpsyg.2016.01610" </w:instrText>
      </w:r>
      <w:r w:rsidR="006B147F" w:rsidRPr="0042122A">
        <w:rPr>
          <w:sz w:val="24"/>
          <w:szCs w:val="24"/>
        </w:rPr>
        <w:fldChar w:fldCharType="separate"/>
      </w:r>
      <w:r w:rsidRPr="0042122A">
        <w:rPr>
          <w:rStyle w:val="Hipervnculo"/>
          <w:sz w:val="24"/>
          <w:szCs w:val="24"/>
          <w:lang w:val="en-US"/>
        </w:rPr>
        <w:t>https://doi.org/10.3389/fpsyg.2016.01610</w:t>
      </w:r>
      <w:r w:rsidR="006B147F" w:rsidRPr="0042122A">
        <w:rPr>
          <w:rStyle w:val="Hipervnculo"/>
          <w:sz w:val="24"/>
          <w:szCs w:val="24"/>
          <w:lang w:val="en-US"/>
        </w:rPr>
        <w:fldChar w:fldCharType="end"/>
      </w:r>
      <w:r w:rsidRPr="0042122A">
        <w:rPr>
          <w:color w:val="000000"/>
          <w:sz w:val="24"/>
          <w:szCs w:val="24"/>
          <w:lang w:val="en-US"/>
        </w:rPr>
        <w:t xml:space="preserve"> </w:t>
      </w:r>
    </w:p>
    <w:p w14:paraId="7465D150" w14:textId="194AB529" w:rsidR="000F4B53" w:rsidRPr="0042122A" w:rsidRDefault="000F4B53" w:rsidP="000F4B53">
      <w:pPr>
        <w:suppressAutoHyphens w:val="0"/>
        <w:spacing w:line="240" w:lineRule="auto"/>
        <w:ind w:leftChars="0" w:firstLineChars="0" w:firstLine="0"/>
        <w:textDirection w:val="lrTb"/>
        <w:textAlignment w:val="auto"/>
        <w:outlineLvl w:val="9"/>
        <w:rPr>
          <w:color w:val="000000"/>
          <w:sz w:val="24"/>
          <w:szCs w:val="24"/>
          <w:lang w:val="pt-BR"/>
        </w:rPr>
      </w:pPr>
      <w:r w:rsidRPr="0042122A">
        <w:rPr>
          <w:color w:val="000000"/>
          <w:sz w:val="24"/>
          <w:szCs w:val="24"/>
          <w:lang w:val="en-US"/>
        </w:rPr>
        <w:t xml:space="preserve">Blair, A. (2017). Understanding first-year students’ transition to university: A pilot study with implications for student engagement, assessment, and feedback. </w:t>
      </w:r>
      <w:r w:rsidRPr="0042122A">
        <w:rPr>
          <w:i/>
          <w:color w:val="000000"/>
          <w:sz w:val="24"/>
          <w:szCs w:val="24"/>
          <w:lang w:val="pt-BR"/>
        </w:rPr>
        <w:t>Politics, 37</w:t>
      </w:r>
      <w:r w:rsidRPr="0042122A">
        <w:rPr>
          <w:color w:val="000000"/>
          <w:sz w:val="24"/>
          <w:szCs w:val="24"/>
          <w:lang w:val="pt-BR"/>
        </w:rPr>
        <w:t xml:space="preserve">(2), 215–228. </w:t>
      </w:r>
      <w:r w:rsidR="006B147F" w:rsidRPr="0042122A">
        <w:rPr>
          <w:sz w:val="24"/>
          <w:szCs w:val="24"/>
        </w:rPr>
        <w:fldChar w:fldCharType="begin"/>
      </w:r>
      <w:r w:rsidR="006B147F" w:rsidRPr="0042122A">
        <w:rPr>
          <w:sz w:val="24"/>
          <w:szCs w:val="24"/>
          <w:lang w:val="pt-BR"/>
        </w:rPr>
        <w:instrText xml:space="preserve"> HYPERLINK "https://doi.org/10.1177/0263395716633904" </w:instrText>
      </w:r>
      <w:r w:rsidR="006B147F" w:rsidRPr="0042122A">
        <w:rPr>
          <w:sz w:val="24"/>
          <w:szCs w:val="24"/>
        </w:rPr>
        <w:fldChar w:fldCharType="separate"/>
      </w:r>
      <w:r w:rsidRPr="0042122A">
        <w:rPr>
          <w:rStyle w:val="Hipervnculo"/>
          <w:sz w:val="24"/>
          <w:szCs w:val="24"/>
          <w:lang w:val="pt-BR"/>
        </w:rPr>
        <w:t>https://doi.org/10.1177/0263395716633904</w:t>
      </w:r>
      <w:r w:rsidR="006B147F" w:rsidRPr="0042122A">
        <w:rPr>
          <w:rStyle w:val="Hipervnculo"/>
          <w:sz w:val="24"/>
          <w:szCs w:val="24"/>
          <w:lang w:val="en-US"/>
        </w:rPr>
        <w:fldChar w:fldCharType="end"/>
      </w:r>
      <w:r w:rsidRPr="0042122A">
        <w:rPr>
          <w:color w:val="000000"/>
          <w:sz w:val="24"/>
          <w:szCs w:val="24"/>
          <w:lang w:val="pt-BR"/>
        </w:rPr>
        <w:t xml:space="preserve"> </w:t>
      </w:r>
    </w:p>
    <w:p w14:paraId="25213A64" w14:textId="1882FE63" w:rsidR="003302D7" w:rsidRPr="0042122A" w:rsidRDefault="003302D7" w:rsidP="0083361B">
      <w:pPr>
        <w:suppressAutoHyphens w:val="0"/>
        <w:spacing w:line="240" w:lineRule="auto"/>
        <w:ind w:leftChars="0" w:left="0" w:firstLineChars="0" w:firstLine="0"/>
        <w:textDirection w:val="lrTb"/>
        <w:textAlignment w:val="auto"/>
        <w:outlineLvl w:val="9"/>
        <w:rPr>
          <w:color w:val="000000"/>
          <w:sz w:val="24"/>
          <w:szCs w:val="24"/>
          <w:lang w:val="es-MX"/>
        </w:rPr>
      </w:pPr>
      <w:r w:rsidRPr="0042122A">
        <w:rPr>
          <w:color w:val="000000"/>
          <w:sz w:val="24"/>
          <w:szCs w:val="24"/>
          <w:lang w:val="pt-BR"/>
        </w:rPr>
        <w:t xml:space="preserve">Casanova, J. R., Gomes, C. M. A., Bernardo, A. B., </w:t>
      </w:r>
      <w:proofErr w:type="spellStart"/>
      <w:r w:rsidRPr="0042122A">
        <w:rPr>
          <w:color w:val="000000"/>
          <w:sz w:val="24"/>
          <w:szCs w:val="24"/>
          <w:lang w:val="pt-BR"/>
        </w:rPr>
        <w:t>Núñez</w:t>
      </w:r>
      <w:proofErr w:type="spellEnd"/>
      <w:r w:rsidRPr="0042122A">
        <w:rPr>
          <w:color w:val="000000"/>
          <w:sz w:val="24"/>
          <w:szCs w:val="24"/>
          <w:lang w:val="pt-BR"/>
        </w:rPr>
        <w:t xml:space="preserve">, J. C. &amp; Almeida, L. S. (2021). </w:t>
      </w:r>
      <w:r w:rsidRPr="0042122A">
        <w:rPr>
          <w:color w:val="000000"/>
          <w:sz w:val="24"/>
          <w:szCs w:val="24"/>
          <w:lang w:val="en-US"/>
        </w:rPr>
        <w:t xml:space="preserve">Dimensionality and reliability of a screening instrument for students at-risk of dropping out from Higher Education. </w:t>
      </w:r>
      <w:r w:rsidRPr="0042122A">
        <w:rPr>
          <w:i/>
          <w:color w:val="000000"/>
          <w:sz w:val="24"/>
          <w:szCs w:val="24"/>
          <w:lang w:val="es-MX"/>
        </w:rPr>
        <w:t>Studies in Educational Evaluation, 68</w:t>
      </w:r>
      <w:r w:rsidRPr="0042122A">
        <w:rPr>
          <w:color w:val="000000"/>
          <w:sz w:val="24"/>
          <w:szCs w:val="24"/>
          <w:lang w:val="es-MX"/>
        </w:rPr>
        <w:t xml:space="preserve">, 100957. </w:t>
      </w:r>
      <w:r w:rsidR="006B147F" w:rsidRPr="0042122A">
        <w:rPr>
          <w:sz w:val="24"/>
          <w:szCs w:val="24"/>
        </w:rPr>
        <w:fldChar w:fldCharType="begin"/>
      </w:r>
      <w:r w:rsidR="006B147F" w:rsidRPr="0042122A">
        <w:rPr>
          <w:sz w:val="24"/>
          <w:szCs w:val="24"/>
        </w:rPr>
        <w:instrText xml:space="preserve"> HYPERLINK "https://doi.org/10.1016/j.stueduc.2020.100957" </w:instrText>
      </w:r>
      <w:r w:rsidR="006B147F" w:rsidRPr="0042122A">
        <w:rPr>
          <w:sz w:val="24"/>
          <w:szCs w:val="24"/>
        </w:rPr>
        <w:fldChar w:fldCharType="separate"/>
      </w:r>
      <w:r w:rsidRPr="0042122A">
        <w:rPr>
          <w:rStyle w:val="Hipervnculo"/>
          <w:sz w:val="24"/>
          <w:szCs w:val="24"/>
          <w:lang w:val="es-MX"/>
        </w:rPr>
        <w:t>https://doi.org/10.1016/j.stueduc.2020.100957</w:t>
      </w:r>
      <w:r w:rsidR="006B147F" w:rsidRPr="0042122A">
        <w:rPr>
          <w:rStyle w:val="Hipervnculo"/>
          <w:sz w:val="24"/>
          <w:szCs w:val="24"/>
          <w:lang w:val="en-US"/>
        </w:rPr>
        <w:fldChar w:fldCharType="end"/>
      </w:r>
      <w:r w:rsidRPr="0042122A">
        <w:rPr>
          <w:color w:val="000000"/>
          <w:sz w:val="24"/>
          <w:szCs w:val="24"/>
          <w:lang w:val="es-MX"/>
        </w:rPr>
        <w:t xml:space="preserve"> </w:t>
      </w:r>
    </w:p>
    <w:p w14:paraId="77E1B239" w14:textId="5EDEE88A" w:rsidR="006D46AC" w:rsidRPr="0042122A" w:rsidRDefault="006D46AC" w:rsidP="0083361B">
      <w:pPr>
        <w:suppressAutoHyphens w:val="0"/>
        <w:spacing w:line="240" w:lineRule="auto"/>
        <w:ind w:leftChars="0" w:left="0" w:firstLineChars="0" w:firstLine="0"/>
        <w:textDirection w:val="lrTb"/>
        <w:textAlignment w:val="auto"/>
        <w:outlineLvl w:val="9"/>
        <w:rPr>
          <w:i/>
          <w:color w:val="000000"/>
          <w:sz w:val="24"/>
          <w:szCs w:val="24"/>
          <w:lang w:val="es-MX"/>
        </w:rPr>
      </w:pPr>
      <w:r w:rsidRPr="0042122A">
        <w:rPr>
          <w:color w:val="000000"/>
          <w:sz w:val="24"/>
          <w:szCs w:val="24"/>
          <w:lang w:val="es-MX"/>
        </w:rPr>
        <w:lastRenderedPageBreak/>
        <w:t xml:space="preserve">Casanova, J. R., Bernardo, A. &amp; Almeida, L. (2021) Dificultades de adaptación académica e intención de abandono de estudiantes de primer año de Educación Superior. </w:t>
      </w:r>
      <w:r w:rsidRPr="0042122A">
        <w:rPr>
          <w:i/>
          <w:color w:val="000000"/>
          <w:sz w:val="24"/>
          <w:szCs w:val="24"/>
          <w:lang w:val="es-MX"/>
        </w:rPr>
        <w:t>Revista de Estudios e Investigación en Psicología y Educación</w:t>
      </w:r>
      <w:r w:rsidR="001D0D94" w:rsidRPr="0042122A">
        <w:rPr>
          <w:i/>
          <w:color w:val="000000"/>
          <w:sz w:val="24"/>
          <w:szCs w:val="24"/>
          <w:lang w:val="es-MX"/>
        </w:rPr>
        <w:t>, 8</w:t>
      </w:r>
      <w:r w:rsidR="001D0D94" w:rsidRPr="0042122A">
        <w:rPr>
          <w:color w:val="000000"/>
          <w:sz w:val="24"/>
          <w:szCs w:val="24"/>
          <w:lang w:val="es-MX"/>
        </w:rPr>
        <w:t xml:space="preserve">(2), 211-228. </w:t>
      </w:r>
      <w:hyperlink r:id="rId11" w:history="1">
        <w:r w:rsidR="001D0D94" w:rsidRPr="0042122A">
          <w:rPr>
            <w:rStyle w:val="Hipervnculo"/>
            <w:sz w:val="24"/>
            <w:szCs w:val="24"/>
            <w:lang w:val="es-MX"/>
          </w:rPr>
          <w:t>https://doi.org/10.17979/reipe.2021.8.2.8705</w:t>
        </w:r>
      </w:hyperlink>
      <w:r w:rsidR="001D0D94" w:rsidRPr="0042122A">
        <w:rPr>
          <w:color w:val="000000"/>
          <w:sz w:val="24"/>
          <w:szCs w:val="24"/>
          <w:lang w:val="es-MX"/>
        </w:rPr>
        <w:t xml:space="preserve"> </w:t>
      </w:r>
    </w:p>
    <w:p w14:paraId="7AFC6CD6" w14:textId="01C4D9BC" w:rsidR="00214D4B" w:rsidRPr="0042122A" w:rsidRDefault="00214D4B" w:rsidP="0083361B">
      <w:pPr>
        <w:suppressAutoHyphens w:val="0"/>
        <w:spacing w:line="240" w:lineRule="auto"/>
        <w:ind w:leftChars="0" w:left="0" w:firstLineChars="0" w:firstLine="0"/>
        <w:textDirection w:val="lrTb"/>
        <w:textAlignment w:val="auto"/>
        <w:outlineLvl w:val="9"/>
        <w:rPr>
          <w:color w:val="000000"/>
          <w:sz w:val="24"/>
          <w:szCs w:val="24"/>
          <w:lang w:val="es-MX"/>
        </w:rPr>
      </w:pPr>
      <w:proofErr w:type="spellStart"/>
      <w:r w:rsidRPr="0042122A">
        <w:rPr>
          <w:color w:val="000000"/>
          <w:sz w:val="24"/>
          <w:szCs w:val="24"/>
          <w:lang w:val="es-MX"/>
        </w:rPr>
        <w:t>Duriez</w:t>
      </w:r>
      <w:proofErr w:type="spellEnd"/>
      <w:r w:rsidRPr="0042122A">
        <w:rPr>
          <w:color w:val="000000"/>
          <w:sz w:val="24"/>
          <w:szCs w:val="24"/>
          <w:lang w:val="es-MX"/>
        </w:rPr>
        <w:t xml:space="preserve">, M., López, V., &amp; Moncada G. (2016) Educación Superior en Iberoamérica. Informe </w:t>
      </w:r>
      <w:r w:rsidRPr="0042122A">
        <w:rPr>
          <w:color w:val="000000"/>
          <w:sz w:val="24"/>
          <w:szCs w:val="24"/>
          <w:lang w:val="es-HN"/>
        </w:rPr>
        <w:t>Nacional</w:t>
      </w:r>
      <w:r w:rsidRPr="0042122A">
        <w:rPr>
          <w:color w:val="000000"/>
          <w:sz w:val="24"/>
          <w:szCs w:val="24"/>
          <w:lang w:val="es-MX"/>
        </w:rPr>
        <w:t xml:space="preserve">: Honduras. Consultado en </w:t>
      </w:r>
      <w:hyperlink r:id="rId12" w:history="1">
        <w:r w:rsidRPr="0042122A">
          <w:rPr>
            <w:rStyle w:val="Hipervnculo"/>
            <w:sz w:val="24"/>
            <w:szCs w:val="24"/>
            <w:lang w:val="es-MX"/>
          </w:rPr>
          <w:t>https://cinda.cl/wp-content/uploads/2019/01/educacion-superior-en-iberoamerica-informe-2016-informe-nacional-honduras.pdf</w:t>
        </w:r>
      </w:hyperlink>
      <w:r w:rsidRPr="0042122A">
        <w:rPr>
          <w:color w:val="000000"/>
          <w:sz w:val="24"/>
          <w:szCs w:val="24"/>
          <w:lang w:val="es-MX"/>
        </w:rPr>
        <w:t xml:space="preserve"> </w:t>
      </w:r>
    </w:p>
    <w:p w14:paraId="2D4AB71F" w14:textId="1B989AB2" w:rsidR="00A8002A" w:rsidRPr="0042122A" w:rsidRDefault="00A8002A" w:rsidP="0010140F">
      <w:pPr>
        <w:suppressAutoHyphens w:val="0"/>
        <w:spacing w:line="240" w:lineRule="auto"/>
        <w:ind w:leftChars="0" w:firstLineChars="0" w:firstLine="0"/>
        <w:textDirection w:val="lrTb"/>
        <w:textAlignment w:val="auto"/>
        <w:outlineLvl w:val="9"/>
        <w:rPr>
          <w:color w:val="000000"/>
          <w:sz w:val="24"/>
          <w:szCs w:val="24"/>
          <w:lang w:val="en-US"/>
        </w:rPr>
      </w:pPr>
      <w:proofErr w:type="spellStart"/>
      <w:r w:rsidRPr="0042122A">
        <w:rPr>
          <w:color w:val="000000"/>
          <w:sz w:val="24"/>
          <w:szCs w:val="24"/>
          <w:lang w:val="es-MX"/>
        </w:rPr>
        <w:t>Gairín</w:t>
      </w:r>
      <w:proofErr w:type="spellEnd"/>
      <w:r w:rsidRPr="0042122A">
        <w:rPr>
          <w:color w:val="000000"/>
          <w:sz w:val="24"/>
          <w:szCs w:val="24"/>
          <w:lang w:val="es-MX"/>
        </w:rPr>
        <w:t xml:space="preserve">, J., Triado, X. M., </w:t>
      </w:r>
      <w:proofErr w:type="spellStart"/>
      <w:r w:rsidRPr="0042122A">
        <w:rPr>
          <w:color w:val="000000"/>
          <w:sz w:val="24"/>
          <w:szCs w:val="24"/>
          <w:lang w:val="es-MX"/>
        </w:rPr>
        <w:t>Feixas</w:t>
      </w:r>
      <w:proofErr w:type="spellEnd"/>
      <w:r w:rsidRPr="0042122A">
        <w:rPr>
          <w:color w:val="000000"/>
          <w:sz w:val="24"/>
          <w:szCs w:val="24"/>
          <w:lang w:val="es-MX"/>
        </w:rPr>
        <w:t xml:space="preserve">, M., Figuera, P., Aparicio-Chueca, P., &amp; Torrado, M. (2014). </w:t>
      </w:r>
      <w:r w:rsidRPr="0042122A">
        <w:rPr>
          <w:color w:val="000000"/>
          <w:sz w:val="24"/>
          <w:szCs w:val="24"/>
          <w:lang w:val="en-US"/>
        </w:rPr>
        <w:t xml:space="preserve">Student dropout rates in Catalan universities: profile and motives for disengagement. </w:t>
      </w:r>
      <w:r w:rsidRPr="0042122A">
        <w:rPr>
          <w:i/>
          <w:color w:val="000000"/>
          <w:sz w:val="24"/>
          <w:szCs w:val="24"/>
          <w:lang w:val="en-US"/>
        </w:rPr>
        <w:t>Quality in Higher Education, 20</w:t>
      </w:r>
      <w:r w:rsidRPr="0042122A">
        <w:rPr>
          <w:color w:val="000000"/>
          <w:sz w:val="24"/>
          <w:szCs w:val="24"/>
          <w:lang w:val="en-US"/>
        </w:rPr>
        <w:t xml:space="preserve">(2), 165–182. </w:t>
      </w:r>
      <w:r w:rsidR="006B147F" w:rsidRPr="0042122A">
        <w:rPr>
          <w:sz w:val="24"/>
          <w:szCs w:val="24"/>
        </w:rPr>
        <w:fldChar w:fldCharType="begin"/>
      </w:r>
      <w:r w:rsidR="006B147F" w:rsidRPr="0042122A">
        <w:rPr>
          <w:sz w:val="24"/>
          <w:szCs w:val="24"/>
          <w:lang w:val="en-US"/>
        </w:rPr>
        <w:instrText xml:space="preserve"> HYPERLINK "https://doi.org/10.1080/13538322.2014.925</w:instrText>
      </w:r>
      <w:r w:rsidR="006B147F" w:rsidRPr="0042122A">
        <w:rPr>
          <w:sz w:val="24"/>
          <w:szCs w:val="24"/>
          <w:lang w:val="en-US"/>
        </w:rPr>
        <w:instrText xml:space="preserve">230" </w:instrText>
      </w:r>
      <w:r w:rsidR="006B147F" w:rsidRPr="0042122A">
        <w:rPr>
          <w:sz w:val="24"/>
          <w:szCs w:val="24"/>
        </w:rPr>
        <w:fldChar w:fldCharType="separate"/>
      </w:r>
      <w:r w:rsidRPr="0042122A">
        <w:rPr>
          <w:rStyle w:val="Hipervnculo"/>
          <w:sz w:val="24"/>
          <w:szCs w:val="24"/>
          <w:lang w:val="en-US"/>
        </w:rPr>
        <w:t>https://doi.org/10.1080/13538322.2014.925230</w:t>
      </w:r>
      <w:r w:rsidR="006B147F" w:rsidRPr="0042122A">
        <w:rPr>
          <w:rStyle w:val="Hipervnculo"/>
          <w:sz w:val="24"/>
          <w:szCs w:val="24"/>
          <w:lang w:val="es-MX"/>
        </w:rPr>
        <w:fldChar w:fldCharType="end"/>
      </w:r>
      <w:r w:rsidRPr="0042122A">
        <w:rPr>
          <w:color w:val="000000"/>
          <w:sz w:val="24"/>
          <w:szCs w:val="24"/>
          <w:lang w:val="en-US"/>
        </w:rPr>
        <w:t xml:space="preserve"> </w:t>
      </w:r>
    </w:p>
    <w:p w14:paraId="36DEE8D4" w14:textId="24F3853A" w:rsidR="0010140F" w:rsidRPr="0042122A" w:rsidRDefault="0010140F" w:rsidP="0010140F">
      <w:pPr>
        <w:suppressAutoHyphens w:val="0"/>
        <w:spacing w:line="240" w:lineRule="auto"/>
        <w:ind w:leftChars="0" w:firstLineChars="0" w:firstLine="0"/>
        <w:textDirection w:val="lrTb"/>
        <w:textAlignment w:val="auto"/>
        <w:outlineLvl w:val="9"/>
        <w:rPr>
          <w:color w:val="000000"/>
          <w:sz w:val="24"/>
          <w:szCs w:val="24"/>
          <w:lang w:val="en-US"/>
        </w:rPr>
      </w:pPr>
      <w:r w:rsidRPr="0042122A">
        <w:rPr>
          <w:color w:val="000000"/>
          <w:sz w:val="24"/>
          <w:szCs w:val="24"/>
          <w:lang w:val="en-US"/>
        </w:rPr>
        <w:t xml:space="preserve">García, M. E., Gutiérrez, A. B. B., Herrero, E. T., Menéndez, R. C., </w:t>
      </w:r>
      <w:r w:rsidR="00F47217" w:rsidRPr="0042122A">
        <w:rPr>
          <w:color w:val="000000"/>
          <w:sz w:val="24"/>
          <w:szCs w:val="24"/>
          <w:lang w:val="en-US"/>
        </w:rPr>
        <w:t xml:space="preserve">&amp; </w:t>
      </w:r>
      <w:r w:rsidRPr="0042122A">
        <w:rPr>
          <w:color w:val="000000"/>
          <w:sz w:val="24"/>
          <w:szCs w:val="24"/>
          <w:lang w:val="en-US"/>
        </w:rPr>
        <w:t xml:space="preserve">Pérez, J. C. N. (2016). </w:t>
      </w:r>
      <w:r w:rsidRPr="0042122A">
        <w:rPr>
          <w:color w:val="000000"/>
          <w:sz w:val="24"/>
          <w:szCs w:val="24"/>
          <w:lang w:val="es-MX"/>
        </w:rPr>
        <w:t>El context</w:t>
      </w:r>
      <w:r w:rsidR="00F47217" w:rsidRPr="0042122A">
        <w:rPr>
          <w:color w:val="000000"/>
          <w:sz w:val="24"/>
          <w:szCs w:val="24"/>
          <w:lang w:val="es-MX"/>
        </w:rPr>
        <w:t>o</w:t>
      </w:r>
      <w:r w:rsidRPr="0042122A">
        <w:rPr>
          <w:color w:val="000000"/>
          <w:sz w:val="24"/>
          <w:szCs w:val="24"/>
          <w:lang w:val="es-MX"/>
        </w:rPr>
        <w:t xml:space="preserve"> sí importa: Identificación de relaciones entre el abandono de titulación y variables contextuales. </w:t>
      </w:r>
      <w:r w:rsidRPr="0042122A">
        <w:rPr>
          <w:i/>
          <w:color w:val="000000"/>
          <w:sz w:val="24"/>
          <w:szCs w:val="24"/>
          <w:lang w:val="en-US"/>
        </w:rPr>
        <w:t>European Journal of Education and Psychology, 9</w:t>
      </w:r>
      <w:r w:rsidRPr="0042122A">
        <w:rPr>
          <w:color w:val="000000"/>
          <w:sz w:val="24"/>
          <w:szCs w:val="24"/>
          <w:lang w:val="en-US"/>
        </w:rPr>
        <w:t xml:space="preserve">(2), 79-88. </w:t>
      </w:r>
      <w:r w:rsidR="006B147F" w:rsidRPr="0042122A">
        <w:rPr>
          <w:sz w:val="24"/>
          <w:szCs w:val="24"/>
        </w:rPr>
        <w:fldChar w:fldCharType="begin"/>
      </w:r>
      <w:r w:rsidR="006B147F" w:rsidRPr="0042122A">
        <w:rPr>
          <w:sz w:val="24"/>
          <w:szCs w:val="24"/>
          <w:lang w:val="en-US"/>
        </w:rPr>
        <w:instrText xml:space="preserve"> HYPERLINK "https://doi.org/10.1016/j.ejeps.2015.06.001" </w:instrText>
      </w:r>
      <w:r w:rsidR="006B147F" w:rsidRPr="0042122A">
        <w:rPr>
          <w:sz w:val="24"/>
          <w:szCs w:val="24"/>
        </w:rPr>
        <w:fldChar w:fldCharType="separate"/>
      </w:r>
      <w:r w:rsidRPr="0042122A">
        <w:rPr>
          <w:rStyle w:val="Hipervnculo"/>
          <w:sz w:val="24"/>
          <w:szCs w:val="24"/>
          <w:lang w:val="en-US"/>
        </w:rPr>
        <w:t>https://doi.org/10.1016/j.ejeps.2015.06.001</w:t>
      </w:r>
      <w:r w:rsidR="006B147F" w:rsidRPr="0042122A">
        <w:rPr>
          <w:rStyle w:val="Hipervnculo"/>
          <w:sz w:val="24"/>
          <w:szCs w:val="24"/>
          <w:lang w:val="en-US"/>
        </w:rPr>
        <w:fldChar w:fldCharType="end"/>
      </w:r>
      <w:r w:rsidRPr="0042122A">
        <w:rPr>
          <w:color w:val="000000"/>
          <w:sz w:val="24"/>
          <w:szCs w:val="24"/>
          <w:lang w:val="en-US"/>
        </w:rPr>
        <w:t xml:space="preserve"> </w:t>
      </w:r>
    </w:p>
    <w:p w14:paraId="02A12B5C" w14:textId="0ABB7F04" w:rsidR="000F4B53" w:rsidRPr="0042122A" w:rsidRDefault="000F4B53" w:rsidP="00777727">
      <w:pPr>
        <w:suppressAutoHyphens w:val="0"/>
        <w:spacing w:line="240" w:lineRule="auto"/>
        <w:ind w:leftChars="0" w:firstLineChars="0" w:firstLine="0"/>
        <w:textDirection w:val="lrTb"/>
        <w:textAlignment w:val="auto"/>
        <w:outlineLvl w:val="9"/>
        <w:rPr>
          <w:color w:val="000000"/>
          <w:sz w:val="24"/>
          <w:szCs w:val="24"/>
          <w:lang w:val="en-US"/>
        </w:rPr>
      </w:pPr>
      <w:r w:rsidRPr="0042122A">
        <w:rPr>
          <w:color w:val="000000"/>
          <w:sz w:val="24"/>
          <w:szCs w:val="24"/>
          <w:lang w:val="en-US"/>
        </w:rPr>
        <w:t xml:space="preserve">Holdsworth, S., Turner, M., &amp; Scott-Young, C. M. (2018). Not drowning, waving. Resilience and university: A student perspective. </w:t>
      </w:r>
      <w:r w:rsidRPr="0042122A">
        <w:rPr>
          <w:i/>
          <w:color w:val="000000"/>
          <w:sz w:val="24"/>
          <w:szCs w:val="24"/>
          <w:lang w:val="en-US"/>
        </w:rPr>
        <w:t>Studies in Higher Education, 43</w:t>
      </w:r>
      <w:r w:rsidRPr="0042122A">
        <w:rPr>
          <w:color w:val="000000"/>
          <w:sz w:val="24"/>
          <w:szCs w:val="24"/>
          <w:lang w:val="en-US"/>
        </w:rPr>
        <w:t xml:space="preserve">(11), 1837–1853. </w:t>
      </w:r>
      <w:hyperlink r:id="rId13" w:history="1">
        <w:r w:rsidRPr="0042122A">
          <w:rPr>
            <w:rStyle w:val="Hipervnculo"/>
            <w:sz w:val="24"/>
            <w:szCs w:val="24"/>
            <w:lang w:val="en-US"/>
          </w:rPr>
          <w:t>https://doi.org/10.1080/03075079.2017.1284193</w:t>
        </w:r>
      </w:hyperlink>
      <w:r w:rsidRPr="0042122A">
        <w:rPr>
          <w:color w:val="000000"/>
          <w:sz w:val="24"/>
          <w:szCs w:val="24"/>
          <w:lang w:val="en-US"/>
        </w:rPr>
        <w:t xml:space="preserve"> </w:t>
      </w:r>
    </w:p>
    <w:p w14:paraId="0FFB0A2D" w14:textId="1547E822" w:rsidR="00CF1A0C" w:rsidRPr="0042122A" w:rsidRDefault="00CF1A0C" w:rsidP="0083361B">
      <w:pPr>
        <w:suppressAutoHyphens w:val="0"/>
        <w:spacing w:line="240" w:lineRule="auto"/>
        <w:ind w:leftChars="0" w:left="0" w:firstLineChars="0" w:firstLine="0"/>
        <w:textDirection w:val="lrTb"/>
        <w:textAlignment w:val="auto"/>
        <w:outlineLvl w:val="9"/>
        <w:rPr>
          <w:color w:val="000000"/>
          <w:sz w:val="24"/>
          <w:szCs w:val="24"/>
          <w:lang w:val="es-HN"/>
        </w:rPr>
      </w:pPr>
      <w:r w:rsidRPr="0042122A">
        <w:rPr>
          <w:color w:val="000000"/>
          <w:sz w:val="24"/>
          <w:szCs w:val="24"/>
          <w:lang w:val="es-HN"/>
        </w:rPr>
        <w:t xml:space="preserve">Márquez D., Ortiz, S., y Rendón, M. (2009). Cuestionario de Vivencias Académicas en su versión reducida (QVA-r): un análisis psicométrico. </w:t>
      </w:r>
      <w:r w:rsidRPr="0042122A">
        <w:rPr>
          <w:i/>
          <w:color w:val="000000"/>
          <w:sz w:val="24"/>
          <w:szCs w:val="24"/>
          <w:lang w:val="es-HN"/>
        </w:rPr>
        <w:t>Revista Colombiana de Psicología, 18</w:t>
      </w:r>
      <w:r w:rsidRPr="0042122A">
        <w:rPr>
          <w:color w:val="000000"/>
          <w:sz w:val="24"/>
          <w:szCs w:val="24"/>
          <w:lang w:val="es-HN"/>
        </w:rPr>
        <w:t xml:space="preserve">(1),33-52. Consultado en: </w:t>
      </w:r>
      <w:hyperlink r:id="rId14" w:history="1">
        <w:r w:rsidRPr="0042122A">
          <w:rPr>
            <w:rStyle w:val="Hipervnculo"/>
            <w:sz w:val="24"/>
            <w:szCs w:val="24"/>
            <w:lang w:val="es-HN"/>
          </w:rPr>
          <w:t>https://www.redalyc.org/articulo.oa?id=80412413004</w:t>
        </w:r>
      </w:hyperlink>
      <w:r w:rsidRPr="0042122A">
        <w:rPr>
          <w:color w:val="000000"/>
          <w:sz w:val="24"/>
          <w:szCs w:val="24"/>
          <w:lang w:val="es-HN"/>
        </w:rPr>
        <w:t xml:space="preserve"> </w:t>
      </w:r>
    </w:p>
    <w:p w14:paraId="3BF98F14" w14:textId="48416636" w:rsidR="0083361B" w:rsidRPr="0042122A" w:rsidRDefault="0083361B" w:rsidP="0083361B">
      <w:pPr>
        <w:suppressAutoHyphens w:val="0"/>
        <w:spacing w:line="240" w:lineRule="auto"/>
        <w:ind w:leftChars="0" w:left="0" w:firstLineChars="0" w:firstLine="0"/>
        <w:textDirection w:val="lrTb"/>
        <w:textAlignment w:val="auto"/>
        <w:outlineLvl w:val="9"/>
        <w:rPr>
          <w:color w:val="000000"/>
          <w:sz w:val="24"/>
          <w:szCs w:val="24"/>
          <w:lang w:val="en-US"/>
        </w:rPr>
      </w:pPr>
      <w:r w:rsidRPr="0042122A">
        <w:rPr>
          <w:color w:val="000000"/>
          <w:sz w:val="24"/>
          <w:szCs w:val="24"/>
          <w:lang w:val="en-US"/>
        </w:rPr>
        <w:t xml:space="preserve">Mashburn, A. J. (2000). A Psychological Process of College Student Dropout. </w:t>
      </w:r>
      <w:r w:rsidRPr="0042122A">
        <w:rPr>
          <w:i/>
          <w:color w:val="000000"/>
          <w:sz w:val="24"/>
          <w:szCs w:val="24"/>
          <w:lang w:val="en-US"/>
        </w:rPr>
        <w:t>Journal of College Student Retention: Research, Theory &amp; Practice, 2</w:t>
      </w:r>
      <w:r w:rsidRPr="0042122A">
        <w:rPr>
          <w:color w:val="000000"/>
          <w:sz w:val="24"/>
          <w:szCs w:val="24"/>
          <w:lang w:val="en-US"/>
        </w:rPr>
        <w:t xml:space="preserve">(3), 173–190. </w:t>
      </w:r>
      <w:r w:rsidR="006B147F" w:rsidRPr="0042122A">
        <w:rPr>
          <w:sz w:val="24"/>
          <w:szCs w:val="24"/>
        </w:rPr>
        <w:fldChar w:fldCharType="begin"/>
      </w:r>
      <w:r w:rsidR="006B147F" w:rsidRPr="0042122A">
        <w:rPr>
          <w:sz w:val="24"/>
          <w:szCs w:val="24"/>
          <w:lang w:val="en-US"/>
        </w:rPr>
        <w:instrText xml:space="preserve"> HYPERLINK "https://doi.org/10.2190/u2qb-52j9-ghgp-6lee" </w:instrText>
      </w:r>
      <w:r w:rsidR="006B147F" w:rsidRPr="0042122A">
        <w:rPr>
          <w:sz w:val="24"/>
          <w:szCs w:val="24"/>
        </w:rPr>
        <w:fldChar w:fldCharType="separate"/>
      </w:r>
      <w:r w:rsidRPr="0042122A">
        <w:rPr>
          <w:rStyle w:val="Hipervnculo"/>
          <w:sz w:val="24"/>
          <w:szCs w:val="24"/>
          <w:lang w:val="en-US"/>
        </w:rPr>
        <w:t>https://doi.org/10.2190/u2qb-52j9-ghgp-6lee</w:t>
      </w:r>
      <w:r w:rsidR="006B147F" w:rsidRPr="0042122A">
        <w:rPr>
          <w:rStyle w:val="Hipervnculo"/>
          <w:sz w:val="24"/>
          <w:szCs w:val="24"/>
          <w:lang w:val="en-US"/>
        </w:rPr>
        <w:fldChar w:fldCharType="end"/>
      </w:r>
      <w:r w:rsidRPr="0042122A">
        <w:rPr>
          <w:color w:val="000000"/>
          <w:sz w:val="24"/>
          <w:szCs w:val="24"/>
          <w:lang w:val="en-US"/>
        </w:rPr>
        <w:t xml:space="preserve"> </w:t>
      </w:r>
    </w:p>
    <w:p w14:paraId="0DFAE834" w14:textId="17C72CD6" w:rsidR="00D3050A" w:rsidRPr="0042122A" w:rsidRDefault="0083361B" w:rsidP="00835187">
      <w:pPr>
        <w:suppressAutoHyphens w:val="0"/>
        <w:spacing w:line="240" w:lineRule="auto"/>
        <w:ind w:leftChars="0" w:left="0" w:firstLineChars="0" w:firstLine="0"/>
        <w:textDirection w:val="lrTb"/>
        <w:textAlignment w:val="auto"/>
        <w:outlineLvl w:val="9"/>
        <w:rPr>
          <w:color w:val="000000"/>
          <w:sz w:val="24"/>
          <w:szCs w:val="24"/>
        </w:rPr>
      </w:pPr>
      <w:r w:rsidRPr="0042122A">
        <w:rPr>
          <w:color w:val="000000"/>
          <w:sz w:val="24"/>
          <w:szCs w:val="24"/>
        </w:rPr>
        <w:t xml:space="preserve">Sáez, F., López, Y., Cobo, R., &amp; Mella, J. (2020). Revisión sistemática sobre intención de abandono en educación superior. </w:t>
      </w:r>
      <w:r w:rsidRPr="0042122A">
        <w:rPr>
          <w:i/>
          <w:color w:val="000000"/>
          <w:sz w:val="24"/>
          <w:szCs w:val="24"/>
        </w:rPr>
        <w:t>Congresos CLABES</w:t>
      </w:r>
      <w:r w:rsidRPr="0042122A">
        <w:rPr>
          <w:color w:val="000000"/>
          <w:sz w:val="24"/>
          <w:szCs w:val="24"/>
        </w:rPr>
        <w:t xml:space="preserve">, 91-100. Recuperado a partir de </w:t>
      </w:r>
      <w:hyperlink r:id="rId15" w:history="1">
        <w:r w:rsidRPr="0042122A">
          <w:rPr>
            <w:rStyle w:val="Hipervnculo"/>
            <w:sz w:val="24"/>
            <w:szCs w:val="24"/>
          </w:rPr>
          <w:t>https://revistas.utp.ac.pa/index.php/clabes/article/view/2628</w:t>
        </w:r>
      </w:hyperlink>
      <w:r w:rsidRPr="0042122A">
        <w:rPr>
          <w:color w:val="000000"/>
          <w:sz w:val="24"/>
          <w:szCs w:val="24"/>
        </w:rPr>
        <w:t xml:space="preserve"> </w:t>
      </w:r>
    </w:p>
    <w:p w14:paraId="3D4EB838" w14:textId="44731E04" w:rsidR="00155A17" w:rsidRPr="0042122A" w:rsidRDefault="00155A17" w:rsidP="00835187">
      <w:pPr>
        <w:suppressAutoHyphens w:val="0"/>
        <w:spacing w:line="240" w:lineRule="auto"/>
        <w:ind w:leftChars="0" w:left="0" w:firstLineChars="0" w:firstLine="0"/>
        <w:textDirection w:val="lrTb"/>
        <w:textAlignment w:val="auto"/>
        <w:outlineLvl w:val="9"/>
        <w:rPr>
          <w:sz w:val="24"/>
          <w:szCs w:val="24"/>
        </w:rPr>
      </w:pPr>
      <w:proofErr w:type="spellStart"/>
      <w:r w:rsidRPr="0042122A">
        <w:rPr>
          <w:sz w:val="24"/>
          <w:szCs w:val="24"/>
        </w:rPr>
        <w:t>Schumacker</w:t>
      </w:r>
      <w:proofErr w:type="spellEnd"/>
      <w:r w:rsidRPr="0042122A">
        <w:rPr>
          <w:sz w:val="24"/>
          <w:szCs w:val="24"/>
        </w:rPr>
        <w:t xml:space="preserve">, R., &amp; </w:t>
      </w:r>
      <w:proofErr w:type="spellStart"/>
      <w:r w:rsidRPr="0042122A">
        <w:rPr>
          <w:sz w:val="24"/>
          <w:szCs w:val="24"/>
        </w:rPr>
        <w:t>Lomax</w:t>
      </w:r>
      <w:proofErr w:type="spellEnd"/>
      <w:r w:rsidRPr="0042122A">
        <w:rPr>
          <w:sz w:val="24"/>
          <w:szCs w:val="24"/>
        </w:rPr>
        <w:t xml:space="preserve">, R. (2018). </w:t>
      </w:r>
      <w:r w:rsidRPr="0042122A">
        <w:rPr>
          <w:i/>
          <w:sz w:val="24"/>
          <w:szCs w:val="24"/>
          <w:lang w:val="en-US"/>
        </w:rPr>
        <w:t>A beginner’s guide to structural equation modeling</w:t>
      </w:r>
      <w:r w:rsidRPr="0042122A">
        <w:rPr>
          <w:sz w:val="24"/>
          <w:szCs w:val="24"/>
          <w:lang w:val="en-US"/>
        </w:rPr>
        <w:t xml:space="preserve"> (4th ed.). </w:t>
      </w:r>
      <w:r w:rsidRPr="0042122A">
        <w:rPr>
          <w:sz w:val="24"/>
          <w:szCs w:val="24"/>
        </w:rPr>
        <w:t>Routledge.</w:t>
      </w:r>
    </w:p>
    <w:sectPr w:rsidR="00155A17" w:rsidRPr="0042122A" w:rsidSect="002F2D75">
      <w:headerReference w:type="even" r:id="rId16"/>
      <w:headerReference w:type="default" r:id="rId17"/>
      <w:footerReference w:type="even" r:id="rId18"/>
      <w:footerReference w:type="default" r:id="rId19"/>
      <w:headerReference w:type="first" r:id="rId20"/>
      <w:footerReference w:type="first" r:id="rId21"/>
      <w:pgSz w:w="11906" w:h="16838"/>
      <w:pgMar w:top="1702" w:right="1133" w:bottom="1135" w:left="1134" w:header="720" w:footer="86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7095D" w14:textId="77777777" w:rsidR="006B147F" w:rsidRDefault="006B147F">
      <w:pPr>
        <w:spacing w:after="0" w:line="240" w:lineRule="auto"/>
        <w:ind w:left="0" w:hanging="2"/>
      </w:pPr>
      <w:r>
        <w:separator/>
      </w:r>
    </w:p>
  </w:endnote>
  <w:endnote w:type="continuationSeparator" w:id="0">
    <w:p w14:paraId="22986972" w14:textId="77777777" w:rsidR="006B147F" w:rsidRDefault="006B147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83D73" w14:textId="77777777" w:rsidR="003727CF" w:rsidRDefault="003727CF">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12C53" w14:textId="77777777" w:rsidR="003727CF" w:rsidRDefault="003727CF">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FF25C" w14:textId="77777777" w:rsidR="003727CF" w:rsidRDefault="003727CF">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1CF9B3D3" w14:textId="14EC5545" w:rsidR="003727CF" w:rsidRDefault="003727CF">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sidRPr="003E7D94">
      <w:rPr>
        <w:noProof/>
      </w:rPr>
      <w:drawing>
        <wp:anchor distT="0" distB="0" distL="114300" distR="114300" simplePos="0" relativeHeight="251662336" behindDoc="1" locked="0" layoutInCell="1" allowOverlap="1" wp14:anchorId="4093C55C" wp14:editId="5AFF7304">
          <wp:simplePos x="0" y="0"/>
          <wp:positionH relativeFrom="column">
            <wp:posOffset>289560</wp:posOffset>
          </wp:positionH>
          <wp:positionV relativeFrom="paragraph">
            <wp:posOffset>212725</wp:posOffset>
          </wp:positionV>
          <wp:extent cx="1313815" cy="396240"/>
          <wp:effectExtent l="0" t="0" r="635"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3815" cy="3962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szCs w:val="22"/>
      </w:rPr>
      <w:drawing>
        <wp:anchor distT="0" distB="0" distL="114300" distR="114300" simplePos="0" relativeHeight="251661312" behindDoc="1" locked="0" layoutInCell="1" allowOverlap="1" wp14:anchorId="2227AEB2" wp14:editId="695D8BDF">
          <wp:simplePos x="0" y="0"/>
          <wp:positionH relativeFrom="column">
            <wp:posOffset>426720</wp:posOffset>
          </wp:positionH>
          <wp:positionV relativeFrom="paragraph">
            <wp:posOffset>-635</wp:posOffset>
          </wp:positionV>
          <wp:extent cx="5399405" cy="716280"/>
          <wp:effectExtent l="0" t="0" r="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2">
                    <a:extLst>
                      <a:ext uri="{28A0092B-C50C-407E-A947-70E740481C1C}">
                        <a14:useLocalDpi xmlns:a14="http://schemas.microsoft.com/office/drawing/2010/main" val="0"/>
                      </a:ext>
                    </a:extLst>
                  </a:blip>
                  <a:srcRect t="54478"/>
                  <a:stretch/>
                </pic:blipFill>
                <pic:spPr bwMode="auto">
                  <a:xfrm>
                    <a:off x="0" y="0"/>
                    <a:ext cx="5399405" cy="716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81EDD" w14:textId="77777777" w:rsidR="006B147F" w:rsidRDefault="006B147F">
      <w:pPr>
        <w:spacing w:after="0" w:line="240" w:lineRule="auto"/>
        <w:ind w:left="0" w:hanging="2"/>
      </w:pPr>
      <w:r>
        <w:separator/>
      </w:r>
    </w:p>
  </w:footnote>
  <w:footnote w:type="continuationSeparator" w:id="0">
    <w:p w14:paraId="5AB50A56" w14:textId="77777777" w:rsidR="006B147F" w:rsidRDefault="006B147F">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52695" w14:textId="77777777" w:rsidR="003727CF" w:rsidRDefault="003727CF">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47C5E" w14:textId="356BCE1C" w:rsidR="003727CF" w:rsidRDefault="003727CF">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BA501" w14:textId="74A6E0A7" w:rsidR="003727CF" w:rsidRPr="007E5704" w:rsidRDefault="003727CF" w:rsidP="002839EF">
    <w:pPr>
      <w:pStyle w:val="Encabezado"/>
      <w:ind w:leftChars="0" w:left="0" w:firstLineChars="0" w:firstLine="0"/>
    </w:pPr>
    <w:r w:rsidRPr="002839EF">
      <w:rPr>
        <w:noProof/>
      </w:rPr>
      <w:drawing>
        <wp:anchor distT="0" distB="0" distL="114300" distR="114300" simplePos="0" relativeHeight="251663360" behindDoc="0" locked="0" layoutInCell="1" allowOverlap="1" wp14:anchorId="410556C3" wp14:editId="1D18F8A7">
          <wp:simplePos x="0" y="0"/>
          <wp:positionH relativeFrom="column">
            <wp:posOffset>-712470</wp:posOffset>
          </wp:positionH>
          <wp:positionV relativeFrom="paragraph">
            <wp:posOffset>-457200</wp:posOffset>
          </wp:positionV>
          <wp:extent cx="7574280" cy="1737360"/>
          <wp:effectExtent l="0" t="0" r="7620" b="0"/>
          <wp:wrapTopAndBottom/>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4280" cy="173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B5251"/>
    <w:multiLevelType w:val="multilevel"/>
    <w:tmpl w:val="5172D37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C2"/>
    <w:rsid w:val="00006D83"/>
    <w:rsid w:val="00010AFF"/>
    <w:rsid w:val="0002308D"/>
    <w:rsid w:val="00024F4D"/>
    <w:rsid w:val="0003469E"/>
    <w:rsid w:val="00054BFD"/>
    <w:rsid w:val="00072C6B"/>
    <w:rsid w:val="00076B09"/>
    <w:rsid w:val="00076DF1"/>
    <w:rsid w:val="00080F13"/>
    <w:rsid w:val="00086D45"/>
    <w:rsid w:val="00091D45"/>
    <w:rsid w:val="000947DD"/>
    <w:rsid w:val="00094ECC"/>
    <w:rsid w:val="00097141"/>
    <w:rsid w:val="000A3651"/>
    <w:rsid w:val="000A3F70"/>
    <w:rsid w:val="000B1EC4"/>
    <w:rsid w:val="000C1821"/>
    <w:rsid w:val="000C5398"/>
    <w:rsid w:val="000D22A2"/>
    <w:rsid w:val="000D2FF8"/>
    <w:rsid w:val="000D3659"/>
    <w:rsid w:val="000D4DAE"/>
    <w:rsid w:val="000F4B53"/>
    <w:rsid w:val="000F7A20"/>
    <w:rsid w:val="0010140F"/>
    <w:rsid w:val="00142798"/>
    <w:rsid w:val="00155A17"/>
    <w:rsid w:val="00167642"/>
    <w:rsid w:val="00174420"/>
    <w:rsid w:val="0017744A"/>
    <w:rsid w:val="00181C9E"/>
    <w:rsid w:val="0018276D"/>
    <w:rsid w:val="00182788"/>
    <w:rsid w:val="00192DC8"/>
    <w:rsid w:val="001930C9"/>
    <w:rsid w:val="001A0A9E"/>
    <w:rsid w:val="001A1E95"/>
    <w:rsid w:val="001B021D"/>
    <w:rsid w:val="001B53CB"/>
    <w:rsid w:val="001D0D94"/>
    <w:rsid w:val="001D546A"/>
    <w:rsid w:val="001E23A0"/>
    <w:rsid w:val="001F50AF"/>
    <w:rsid w:val="00202272"/>
    <w:rsid w:val="00213EFA"/>
    <w:rsid w:val="00214C0F"/>
    <w:rsid w:val="00214D4B"/>
    <w:rsid w:val="00245952"/>
    <w:rsid w:val="00254F22"/>
    <w:rsid w:val="00264BEB"/>
    <w:rsid w:val="00270369"/>
    <w:rsid w:val="002723F7"/>
    <w:rsid w:val="00272547"/>
    <w:rsid w:val="002839EF"/>
    <w:rsid w:val="002844B1"/>
    <w:rsid w:val="002850B8"/>
    <w:rsid w:val="002852AE"/>
    <w:rsid w:val="002869DC"/>
    <w:rsid w:val="002A436A"/>
    <w:rsid w:val="002B2189"/>
    <w:rsid w:val="002B3130"/>
    <w:rsid w:val="002B3F7C"/>
    <w:rsid w:val="002B60C2"/>
    <w:rsid w:val="002C3F70"/>
    <w:rsid w:val="002D22C5"/>
    <w:rsid w:val="002E26AD"/>
    <w:rsid w:val="002F2D75"/>
    <w:rsid w:val="002F3721"/>
    <w:rsid w:val="002F6B1D"/>
    <w:rsid w:val="00311B18"/>
    <w:rsid w:val="003302D7"/>
    <w:rsid w:val="0033238E"/>
    <w:rsid w:val="0034268E"/>
    <w:rsid w:val="00346289"/>
    <w:rsid w:val="00346FC8"/>
    <w:rsid w:val="00364A30"/>
    <w:rsid w:val="00364CF5"/>
    <w:rsid w:val="0036698C"/>
    <w:rsid w:val="003708C1"/>
    <w:rsid w:val="003727CF"/>
    <w:rsid w:val="00374150"/>
    <w:rsid w:val="0037792A"/>
    <w:rsid w:val="003A1CF0"/>
    <w:rsid w:val="003A5104"/>
    <w:rsid w:val="003B0E98"/>
    <w:rsid w:val="003B514E"/>
    <w:rsid w:val="003D1B59"/>
    <w:rsid w:val="003F32B2"/>
    <w:rsid w:val="00413A54"/>
    <w:rsid w:val="004155EB"/>
    <w:rsid w:val="00416BAC"/>
    <w:rsid w:val="0042122A"/>
    <w:rsid w:val="0043361E"/>
    <w:rsid w:val="004359C4"/>
    <w:rsid w:val="00441F83"/>
    <w:rsid w:val="00443A11"/>
    <w:rsid w:val="00461DD7"/>
    <w:rsid w:val="00467EBB"/>
    <w:rsid w:val="00472C8F"/>
    <w:rsid w:val="00481F1C"/>
    <w:rsid w:val="004A2093"/>
    <w:rsid w:val="004A5594"/>
    <w:rsid w:val="004D233C"/>
    <w:rsid w:val="004F1913"/>
    <w:rsid w:val="004F6305"/>
    <w:rsid w:val="00534CEE"/>
    <w:rsid w:val="00535DB4"/>
    <w:rsid w:val="00553B8E"/>
    <w:rsid w:val="0055797C"/>
    <w:rsid w:val="0056414C"/>
    <w:rsid w:val="00570128"/>
    <w:rsid w:val="00573855"/>
    <w:rsid w:val="005862D2"/>
    <w:rsid w:val="005874F5"/>
    <w:rsid w:val="00590C0F"/>
    <w:rsid w:val="00591E9E"/>
    <w:rsid w:val="005A6427"/>
    <w:rsid w:val="005A6D97"/>
    <w:rsid w:val="005B1C6D"/>
    <w:rsid w:val="005C1583"/>
    <w:rsid w:val="005C54E3"/>
    <w:rsid w:val="005E07AC"/>
    <w:rsid w:val="005E317C"/>
    <w:rsid w:val="005E4C35"/>
    <w:rsid w:val="005F0709"/>
    <w:rsid w:val="005F1D37"/>
    <w:rsid w:val="00605734"/>
    <w:rsid w:val="00616B3B"/>
    <w:rsid w:val="006573BB"/>
    <w:rsid w:val="00665B0C"/>
    <w:rsid w:val="00667085"/>
    <w:rsid w:val="00672639"/>
    <w:rsid w:val="00675F13"/>
    <w:rsid w:val="006825DF"/>
    <w:rsid w:val="00686264"/>
    <w:rsid w:val="00690F7A"/>
    <w:rsid w:val="00693712"/>
    <w:rsid w:val="006A43D9"/>
    <w:rsid w:val="006A4AE7"/>
    <w:rsid w:val="006B0733"/>
    <w:rsid w:val="006B1260"/>
    <w:rsid w:val="006B147F"/>
    <w:rsid w:val="006D46AC"/>
    <w:rsid w:val="006D6D4F"/>
    <w:rsid w:val="006E1EE9"/>
    <w:rsid w:val="006E311B"/>
    <w:rsid w:val="006E37C3"/>
    <w:rsid w:val="006F3E09"/>
    <w:rsid w:val="006F56D2"/>
    <w:rsid w:val="006F71C4"/>
    <w:rsid w:val="00701F47"/>
    <w:rsid w:val="00716746"/>
    <w:rsid w:val="00726BBB"/>
    <w:rsid w:val="00727A43"/>
    <w:rsid w:val="007302FF"/>
    <w:rsid w:val="00734DDA"/>
    <w:rsid w:val="00741D7A"/>
    <w:rsid w:val="007518C8"/>
    <w:rsid w:val="00751E3A"/>
    <w:rsid w:val="007605F7"/>
    <w:rsid w:val="00777727"/>
    <w:rsid w:val="007777FB"/>
    <w:rsid w:val="007B1C84"/>
    <w:rsid w:val="007C2C66"/>
    <w:rsid w:val="007C3B46"/>
    <w:rsid w:val="007C6CF0"/>
    <w:rsid w:val="007D03B6"/>
    <w:rsid w:val="007E5704"/>
    <w:rsid w:val="007F1F36"/>
    <w:rsid w:val="00802646"/>
    <w:rsid w:val="008173FB"/>
    <w:rsid w:val="00826D67"/>
    <w:rsid w:val="0083361B"/>
    <w:rsid w:val="00835187"/>
    <w:rsid w:val="00876E14"/>
    <w:rsid w:val="0088434F"/>
    <w:rsid w:val="008865E4"/>
    <w:rsid w:val="008933C5"/>
    <w:rsid w:val="008B0E18"/>
    <w:rsid w:val="008B7168"/>
    <w:rsid w:val="008C777F"/>
    <w:rsid w:val="008D14C8"/>
    <w:rsid w:val="008D7BCC"/>
    <w:rsid w:val="008F432C"/>
    <w:rsid w:val="00910BFC"/>
    <w:rsid w:val="009148CB"/>
    <w:rsid w:val="009262A1"/>
    <w:rsid w:val="00931659"/>
    <w:rsid w:val="00931F62"/>
    <w:rsid w:val="00933068"/>
    <w:rsid w:val="00937C64"/>
    <w:rsid w:val="009508CC"/>
    <w:rsid w:val="00950FA0"/>
    <w:rsid w:val="00954EA7"/>
    <w:rsid w:val="0096271F"/>
    <w:rsid w:val="00963CFC"/>
    <w:rsid w:val="00964F79"/>
    <w:rsid w:val="009808E6"/>
    <w:rsid w:val="00981E59"/>
    <w:rsid w:val="009A1191"/>
    <w:rsid w:val="009A3054"/>
    <w:rsid w:val="009B12EA"/>
    <w:rsid w:val="009C6EC5"/>
    <w:rsid w:val="009D035E"/>
    <w:rsid w:val="009E3409"/>
    <w:rsid w:val="009F37A0"/>
    <w:rsid w:val="00A01C6D"/>
    <w:rsid w:val="00A25AA5"/>
    <w:rsid w:val="00A3066D"/>
    <w:rsid w:val="00A409D1"/>
    <w:rsid w:val="00A45E56"/>
    <w:rsid w:val="00A6009A"/>
    <w:rsid w:val="00A64F09"/>
    <w:rsid w:val="00A703D7"/>
    <w:rsid w:val="00A8002A"/>
    <w:rsid w:val="00A8313A"/>
    <w:rsid w:val="00A97164"/>
    <w:rsid w:val="00A97D37"/>
    <w:rsid w:val="00AA040F"/>
    <w:rsid w:val="00AA6A9C"/>
    <w:rsid w:val="00AD1184"/>
    <w:rsid w:val="00AD2464"/>
    <w:rsid w:val="00AE4A8A"/>
    <w:rsid w:val="00AE5C4B"/>
    <w:rsid w:val="00B071C6"/>
    <w:rsid w:val="00B333F3"/>
    <w:rsid w:val="00B63CE7"/>
    <w:rsid w:val="00B86803"/>
    <w:rsid w:val="00BA19B0"/>
    <w:rsid w:val="00BC300B"/>
    <w:rsid w:val="00BC5F29"/>
    <w:rsid w:val="00BD0002"/>
    <w:rsid w:val="00BD4B48"/>
    <w:rsid w:val="00BD6FAA"/>
    <w:rsid w:val="00BF24C7"/>
    <w:rsid w:val="00C14860"/>
    <w:rsid w:val="00C1489B"/>
    <w:rsid w:val="00C30655"/>
    <w:rsid w:val="00C36A57"/>
    <w:rsid w:val="00C50701"/>
    <w:rsid w:val="00C50BB2"/>
    <w:rsid w:val="00C536AA"/>
    <w:rsid w:val="00C5744A"/>
    <w:rsid w:val="00C637C2"/>
    <w:rsid w:val="00C85D58"/>
    <w:rsid w:val="00C862F4"/>
    <w:rsid w:val="00C93BCD"/>
    <w:rsid w:val="00C97B87"/>
    <w:rsid w:val="00CA5DCE"/>
    <w:rsid w:val="00CB2D32"/>
    <w:rsid w:val="00CD0CE9"/>
    <w:rsid w:val="00CD5970"/>
    <w:rsid w:val="00CE3CD5"/>
    <w:rsid w:val="00CF19CE"/>
    <w:rsid w:val="00CF1A0C"/>
    <w:rsid w:val="00CF7075"/>
    <w:rsid w:val="00D06231"/>
    <w:rsid w:val="00D11D65"/>
    <w:rsid w:val="00D3050A"/>
    <w:rsid w:val="00D41701"/>
    <w:rsid w:val="00D50766"/>
    <w:rsid w:val="00D52C3D"/>
    <w:rsid w:val="00D52F8D"/>
    <w:rsid w:val="00D53CE3"/>
    <w:rsid w:val="00D6148F"/>
    <w:rsid w:val="00D63D7A"/>
    <w:rsid w:val="00D970CB"/>
    <w:rsid w:val="00DA0484"/>
    <w:rsid w:val="00DA5DC6"/>
    <w:rsid w:val="00DB102B"/>
    <w:rsid w:val="00DB1115"/>
    <w:rsid w:val="00DD1B90"/>
    <w:rsid w:val="00DD4071"/>
    <w:rsid w:val="00DE211A"/>
    <w:rsid w:val="00E00CD0"/>
    <w:rsid w:val="00E01B76"/>
    <w:rsid w:val="00E10250"/>
    <w:rsid w:val="00E169F8"/>
    <w:rsid w:val="00E17E19"/>
    <w:rsid w:val="00E45D65"/>
    <w:rsid w:val="00E515F3"/>
    <w:rsid w:val="00E57376"/>
    <w:rsid w:val="00E579B8"/>
    <w:rsid w:val="00E62A77"/>
    <w:rsid w:val="00E8494F"/>
    <w:rsid w:val="00E86DA6"/>
    <w:rsid w:val="00EB6097"/>
    <w:rsid w:val="00EB6B82"/>
    <w:rsid w:val="00ED02F2"/>
    <w:rsid w:val="00ED44B2"/>
    <w:rsid w:val="00EE6107"/>
    <w:rsid w:val="00EF5771"/>
    <w:rsid w:val="00EF5F35"/>
    <w:rsid w:val="00F03F84"/>
    <w:rsid w:val="00F11641"/>
    <w:rsid w:val="00F2345A"/>
    <w:rsid w:val="00F359E2"/>
    <w:rsid w:val="00F47217"/>
    <w:rsid w:val="00F5278C"/>
    <w:rsid w:val="00F5316E"/>
    <w:rsid w:val="00F93AE3"/>
    <w:rsid w:val="00FA795F"/>
    <w:rsid w:val="00FB3A97"/>
    <w:rsid w:val="00FC0C96"/>
    <w:rsid w:val="00FC34EA"/>
    <w:rsid w:val="00FD34F5"/>
    <w:rsid w:val="00FF76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213B6"/>
  <w15:docId w15:val="{B344970C-8CD3-43BA-8149-C4346FE9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pt-BR"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table" w:customStyle="1" w:styleId="TableNormal0">
    <w:name w:val="Table Normal"/>
    <w:next w:val="TableNormal"/>
    <w:pPr>
      <w:suppressAutoHyphens/>
      <w:spacing w:before="120" w:line="1" w:lineRule="atLeast"/>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lang w:eastAsia="es-ES"/>
    </w:rPr>
  </w:style>
  <w:style w:type="paragraph" w:styleId="NormalWeb">
    <w:name w:val="Normal (Web)"/>
    <w:basedOn w:val="Normal"/>
    <w:uiPriority w:val="99"/>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0">
    <w:name w:val="Fuente de párrafo predeter.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Encabezado">
    <w:name w:val="header"/>
    <w:basedOn w:val="Normal"/>
    <w:link w:val="EncabezadoCar1"/>
    <w:uiPriority w:val="99"/>
    <w:unhideWhenUsed/>
    <w:rsid w:val="00024F4D"/>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024F4D"/>
    <w:rPr>
      <w:position w:val="-1"/>
      <w:lang w:eastAsia="es-ES"/>
    </w:rPr>
  </w:style>
  <w:style w:type="paragraph" w:styleId="Piedepgina">
    <w:name w:val="footer"/>
    <w:basedOn w:val="Normal"/>
    <w:link w:val="PiedepginaCar1"/>
    <w:uiPriority w:val="99"/>
    <w:unhideWhenUsed/>
    <w:rsid w:val="00024F4D"/>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024F4D"/>
    <w:rPr>
      <w:position w:val="-1"/>
      <w:lang w:eastAsia="es-ES"/>
    </w:rPr>
  </w:style>
  <w:style w:type="character" w:styleId="Hipervnculo">
    <w:name w:val="Hyperlink"/>
    <w:basedOn w:val="Fuentedeprrafopredeter"/>
    <w:uiPriority w:val="99"/>
    <w:unhideWhenUsed/>
    <w:rsid w:val="002844B1"/>
    <w:rPr>
      <w:color w:val="0000FF" w:themeColor="hyperlink"/>
      <w:u w:val="single"/>
    </w:rPr>
  </w:style>
  <w:style w:type="character" w:styleId="Mencinsinresolver">
    <w:name w:val="Unresolved Mention"/>
    <w:basedOn w:val="Fuentedeprrafopredeter"/>
    <w:uiPriority w:val="99"/>
    <w:semiHidden/>
    <w:unhideWhenUsed/>
    <w:rsid w:val="002844B1"/>
    <w:rPr>
      <w:color w:val="605E5C"/>
      <w:shd w:val="clear" w:color="auto" w:fill="E1DFDD"/>
    </w:rPr>
  </w:style>
  <w:style w:type="table" w:styleId="Tablaconcuadrcula">
    <w:name w:val="Table Grid"/>
    <w:basedOn w:val="Tablanormal"/>
    <w:uiPriority w:val="39"/>
    <w:rsid w:val="00E169F8"/>
    <w:pPr>
      <w:spacing w:after="0"/>
      <w:jc w:val="left"/>
    </w:pPr>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5659">
      <w:bodyDiv w:val="1"/>
      <w:marLeft w:val="0"/>
      <w:marRight w:val="0"/>
      <w:marTop w:val="0"/>
      <w:marBottom w:val="0"/>
      <w:divBdr>
        <w:top w:val="none" w:sz="0" w:space="0" w:color="auto"/>
        <w:left w:val="none" w:sz="0" w:space="0" w:color="auto"/>
        <w:bottom w:val="none" w:sz="0" w:space="0" w:color="auto"/>
        <w:right w:val="none" w:sz="0" w:space="0" w:color="auto"/>
      </w:divBdr>
      <w:divsChild>
        <w:div w:id="155342450">
          <w:marLeft w:val="720"/>
          <w:marRight w:val="0"/>
          <w:marTop w:val="0"/>
          <w:marBottom w:val="0"/>
          <w:divBdr>
            <w:top w:val="none" w:sz="0" w:space="0" w:color="auto"/>
            <w:left w:val="none" w:sz="0" w:space="0" w:color="auto"/>
            <w:bottom w:val="none" w:sz="0" w:space="0" w:color="auto"/>
            <w:right w:val="none" w:sz="0" w:space="0" w:color="auto"/>
          </w:divBdr>
        </w:div>
      </w:divsChild>
    </w:div>
    <w:div w:id="827405719">
      <w:bodyDiv w:val="1"/>
      <w:marLeft w:val="0"/>
      <w:marRight w:val="0"/>
      <w:marTop w:val="0"/>
      <w:marBottom w:val="0"/>
      <w:divBdr>
        <w:top w:val="none" w:sz="0" w:space="0" w:color="auto"/>
        <w:left w:val="none" w:sz="0" w:space="0" w:color="auto"/>
        <w:bottom w:val="none" w:sz="0" w:space="0" w:color="auto"/>
        <w:right w:val="none" w:sz="0" w:space="0" w:color="auto"/>
      </w:divBdr>
    </w:div>
    <w:div w:id="1024089048">
      <w:bodyDiv w:val="1"/>
      <w:marLeft w:val="0"/>
      <w:marRight w:val="0"/>
      <w:marTop w:val="0"/>
      <w:marBottom w:val="0"/>
      <w:divBdr>
        <w:top w:val="none" w:sz="0" w:space="0" w:color="auto"/>
        <w:left w:val="none" w:sz="0" w:space="0" w:color="auto"/>
        <w:bottom w:val="none" w:sz="0" w:space="0" w:color="auto"/>
        <w:right w:val="none" w:sz="0" w:space="0" w:color="auto"/>
      </w:divBdr>
    </w:div>
    <w:div w:id="1304896009">
      <w:bodyDiv w:val="1"/>
      <w:marLeft w:val="0"/>
      <w:marRight w:val="0"/>
      <w:marTop w:val="0"/>
      <w:marBottom w:val="0"/>
      <w:divBdr>
        <w:top w:val="none" w:sz="0" w:space="0" w:color="auto"/>
        <w:left w:val="none" w:sz="0" w:space="0" w:color="auto"/>
        <w:bottom w:val="none" w:sz="0" w:space="0" w:color="auto"/>
        <w:right w:val="none" w:sz="0" w:space="0" w:color="auto"/>
      </w:divBdr>
    </w:div>
    <w:div w:id="1571422739">
      <w:bodyDiv w:val="1"/>
      <w:marLeft w:val="0"/>
      <w:marRight w:val="0"/>
      <w:marTop w:val="0"/>
      <w:marBottom w:val="0"/>
      <w:divBdr>
        <w:top w:val="none" w:sz="0" w:space="0" w:color="auto"/>
        <w:left w:val="none" w:sz="0" w:space="0" w:color="auto"/>
        <w:bottom w:val="none" w:sz="0" w:space="0" w:color="auto"/>
        <w:right w:val="none" w:sz="0" w:space="0" w:color="auto"/>
      </w:divBdr>
    </w:div>
    <w:div w:id="1800996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80/03075079.2017.1284193"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cinda.cl/wp-content/uploads/2019/01/educacion-superior-en-iberoamerica-informe-2016-informe-nacional-honduras.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7979/reipe.2021.8.2.8705" TargetMode="External"/><Relationship Id="rId5" Type="http://schemas.openxmlformats.org/officeDocument/2006/relationships/settings" Target="settings.xml"/><Relationship Id="rId15" Type="http://schemas.openxmlformats.org/officeDocument/2006/relationships/hyperlink" Target="https://revistas.utp.ac.pa/index.php/clabes/article/view/2628"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redalyc.org/articulo.oa?id=80412413004"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bpERhFTbdj8m8CbCKbeyUu0Thg==">AMUW2mWHktfQiuYdVJJ6JCARAudklc7IEntGqwSYSmDyWVaHPpZBADoI9LmV/DiYXRPjI1GHI3UICQIBRPFUToXmP1WRV58SJzrY/4iCTU8FN9zktTf1z1Zb47yc0IOzUkuQuIWoIXc/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9E3466-484E-47DC-B7A6-857A27EEF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1</Pages>
  <Words>4022</Words>
  <Characters>22122</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Arriaga</dc:creator>
  <cp:lastModifiedBy>MARCIO ALEXANDER CASTILLO DIAZ</cp:lastModifiedBy>
  <cp:revision>107</cp:revision>
  <cp:lastPrinted>2022-05-10T17:35:00Z</cp:lastPrinted>
  <dcterms:created xsi:type="dcterms:W3CDTF">2022-05-07T22:43:00Z</dcterms:created>
  <dcterms:modified xsi:type="dcterms:W3CDTF">2022-09-16T00:50:00Z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