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4D8A2228" w:rsidR="007830E4" w:rsidRDefault="008C417D" w:rsidP="00E51FF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8C417D">
        <w:rPr>
          <w:b/>
          <w:sz w:val="24"/>
          <w:szCs w:val="24"/>
        </w:rPr>
        <w:t>ENTRE A CONSCIÊNCIA E O VOTO: O PARADOXO DO ELEITOR AMAZÔNICO E O PARQUE AMBIENTAL GUNNAR VINGREN</w:t>
      </w:r>
    </w:p>
    <w:p w14:paraId="19CAD522" w14:textId="77777777" w:rsidR="008C417D" w:rsidRDefault="008C417D" w:rsidP="00E51F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9F41D5B" w14:textId="77777777" w:rsidR="00E51FFA" w:rsidRDefault="00C03D67" w:rsidP="00E51F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C03D67">
        <w:rPr>
          <w:sz w:val="24"/>
          <w:szCs w:val="24"/>
        </w:rPr>
        <w:t>Hugo Sanches da Silva Picanço</w:t>
      </w:r>
      <w:r w:rsidR="00E51FFA">
        <w:rPr>
          <w:sz w:val="24"/>
          <w:szCs w:val="24"/>
        </w:rPr>
        <w:t xml:space="preserve">¹; </w:t>
      </w:r>
      <w:r w:rsidR="00E51FFA" w:rsidRPr="00C03D67">
        <w:rPr>
          <w:sz w:val="24"/>
          <w:szCs w:val="24"/>
        </w:rPr>
        <w:t>Tatiane Rodrigues de Vasconcelos</w:t>
      </w:r>
      <w:r w:rsidR="00E51FFA">
        <w:rPr>
          <w:sz w:val="24"/>
          <w:szCs w:val="24"/>
        </w:rPr>
        <w:t>²</w:t>
      </w:r>
    </w:p>
    <w:p w14:paraId="4CDE1E17" w14:textId="01699134" w:rsidR="00C03D67" w:rsidRDefault="00E51FFA" w:rsidP="00E51F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br/>
        <w:t>¹ M</w:t>
      </w:r>
      <w:r w:rsidR="00C03D67" w:rsidRPr="00C03D67">
        <w:rPr>
          <w:sz w:val="24"/>
          <w:szCs w:val="24"/>
        </w:rPr>
        <w:t xml:space="preserve">estre em Ciência </w:t>
      </w:r>
      <w:r w:rsidRPr="00C03D67">
        <w:rPr>
          <w:sz w:val="24"/>
          <w:szCs w:val="24"/>
        </w:rPr>
        <w:t>Política</w:t>
      </w:r>
      <w:r>
        <w:rPr>
          <w:sz w:val="24"/>
          <w:szCs w:val="24"/>
        </w:rPr>
        <w:t>.</w:t>
      </w:r>
      <w:r w:rsidRPr="00C03D67">
        <w:rPr>
          <w:sz w:val="24"/>
          <w:szCs w:val="24"/>
        </w:rPr>
        <w:t xml:space="preserve"> Universidade</w:t>
      </w:r>
      <w:r w:rsidR="00C03D67" w:rsidRPr="00C03D67">
        <w:rPr>
          <w:sz w:val="24"/>
          <w:szCs w:val="24"/>
        </w:rPr>
        <w:t xml:space="preserve"> Federal do Pará</w:t>
      </w:r>
      <w:r>
        <w:rPr>
          <w:sz w:val="24"/>
          <w:szCs w:val="24"/>
        </w:rPr>
        <w:t xml:space="preserve">. E-mail: </w:t>
      </w:r>
      <w:hyperlink r:id="rId7" w:history="1">
        <w:r w:rsidRPr="007456E3">
          <w:rPr>
            <w:rStyle w:val="Hyperlink"/>
            <w:sz w:val="24"/>
            <w:szCs w:val="24"/>
          </w:rPr>
          <w:t>qpacom@gmail.com</w:t>
        </w:r>
      </w:hyperlink>
      <w:r>
        <w:rPr>
          <w:sz w:val="24"/>
          <w:szCs w:val="24"/>
        </w:rPr>
        <w:br/>
        <w:t xml:space="preserve">² </w:t>
      </w:r>
      <w:r w:rsidR="00C03D67" w:rsidRPr="00C03D67">
        <w:rPr>
          <w:sz w:val="24"/>
          <w:szCs w:val="24"/>
        </w:rPr>
        <w:t>Doutoranda em Direito</w:t>
      </w:r>
      <w:r>
        <w:rPr>
          <w:sz w:val="24"/>
          <w:szCs w:val="24"/>
        </w:rPr>
        <w:t xml:space="preserve">. </w:t>
      </w:r>
      <w:r w:rsidR="00C03D67" w:rsidRPr="00C03D67">
        <w:rPr>
          <w:sz w:val="24"/>
          <w:szCs w:val="24"/>
        </w:rPr>
        <w:t>Universidade Federal do Pará</w:t>
      </w:r>
    </w:p>
    <w:p w14:paraId="4E41B197" w14:textId="77777777" w:rsidR="00E51FFA" w:rsidRDefault="00E51FFA" w:rsidP="00E51FFA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E51FF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9767FB6" w14:textId="77777777" w:rsidR="00E51FFA" w:rsidRDefault="00E51FFA" w:rsidP="00E51FFA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20049ED" w14:textId="19CB3A64" w:rsidR="00276553" w:rsidRDefault="00610504" w:rsidP="00E51FFA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 w:rsidRPr="00610504">
        <w:rPr>
          <w:sz w:val="24"/>
          <w:szCs w:val="24"/>
        </w:rPr>
        <w:t xml:space="preserve">Este estudo analisa a dissonância entre a consciência ambiental do eleitor amazônico e suas escolhas eleitorais, utilizando o Parque Ambiental Gunnar </w:t>
      </w:r>
      <w:proofErr w:type="spellStart"/>
      <w:r w:rsidRPr="00610504">
        <w:rPr>
          <w:sz w:val="24"/>
          <w:szCs w:val="24"/>
        </w:rPr>
        <w:t>Vingren</w:t>
      </w:r>
      <w:proofErr w:type="spellEnd"/>
      <w:r w:rsidRPr="00610504">
        <w:rPr>
          <w:sz w:val="24"/>
          <w:szCs w:val="24"/>
        </w:rPr>
        <w:t xml:space="preserve">, em Belém do Pará, como estudo de caso. A pesquisa busca compreender por que, apesar da demonstrada preocupação com questões ambientais, o eleitorado frequentemente elege candidatos com histórico de práticas nocivas ao meio ambiente. Metodologicamente, adotou-se uma abordagem mista, combinando análise documental, entrevistas semiestruturadas com atores-chave, observação participante e análise de dados eleitorais. Os resultados indicam que, embora exista uma consciência ambiental na população amazônica, esta não se traduz necessariamente em votos pró-ambiente. Fatores como interesses econômicos, falta de saliência da questão ambiental nos debates eleitorais e desinformação influenciam significativamente as escolhas dos eleitores. O caso do Parque Gunnar </w:t>
      </w:r>
      <w:proofErr w:type="spellStart"/>
      <w:r w:rsidRPr="00610504">
        <w:rPr>
          <w:sz w:val="24"/>
          <w:szCs w:val="24"/>
        </w:rPr>
        <w:t>Vingren</w:t>
      </w:r>
      <w:proofErr w:type="spellEnd"/>
      <w:r w:rsidRPr="00610504">
        <w:rPr>
          <w:sz w:val="24"/>
          <w:szCs w:val="24"/>
        </w:rPr>
        <w:t xml:space="preserve"> ilustra os desafios da preservação ambiental em áreas urbanas, onde a pressão por desenvolvimento muitas vezes se sobrepõe aos interesses conservacionistas. A mobilização da comunidade local, através da Associação de Moradores do Médici (AMME), demonstra o potencial da participação cidadã na defesa de áreas verdes, mas também revela os limites dessa atuação frente a decisões políticas que priorizam interesses econômicos. Conclui-se que a superação dessa dissonância requer uma abordagem multifacetada, incluindo o combate à desinformação, o fortalecimento da educação ambiental e da participação social, e a promoção de um diálogo mais efetivo entre os diversos atores envolvidos na questão ambiental amazônica. A pesquisa contribui para a compreensão dos complexos fatores que influenciam as decisões eleitorais em questões ambientais na Amazônia, oferecendo insights para o desenvolvimento de políticas públicas mais eficazes e para a construção de uma cidadania ambiental mais robusta na região.</w:t>
      </w:r>
    </w:p>
    <w:p w14:paraId="45B5FF00" w14:textId="77777777" w:rsidR="00E51FFA" w:rsidRDefault="00E51FFA" w:rsidP="00E51FFA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4984BC96" w14:textId="77777777" w:rsidR="008944AE" w:rsidRDefault="009C13EE" w:rsidP="00E51FFA">
      <w:r>
        <w:rPr>
          <w:b/>
          <w:sz w:val="24"/>
          <w:szCs w:val="24"/>
        </w:rPr>
        <w:t xml:space="preserve">Palavras-chave: </w:t>
      </w:r>
      <w:r w:rsidR="008944AE">
        <w:t>Consciência ambiental. Comportamento eleitoral. Amazônia.</w:t>
      </w:r>
    </w:p>
    <w:p w14:paraId="5FD4C3D7" w14:textId="77777777" w:rsidR="008944AE" w:rsidRDefault="008944AE" w:rsidP="00E51FFA">
      <w:pP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31D7EA4E" w14:textId="4F6ED7E6" w:rsidR="007830E4" w:rsidRPr="003B2E5B" w:rsidRDefault="0048607D" w:rsidP="00E51FFA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E51FFA" w:rsidRPr="00E51FFA">
        <w:rPr>
          <w:sz w:val="24"/>
          <w:szCs w:val="24"/>
        </w:rPr>
        <w:t>Políticas Públicas, Legislação, Governança e Gestão Ambiental</w:t>
      </w:r>
      <w:r w:rsidR="00E51FFA">
        <w:rPr>
          <w:sz w:val="24"/>
          <w:szCs w:val="24"/>
        </w:rPr>
        <w:t>.</w:t>
      </w:r>
    </w:p>
    <w:sectPr w:rsidR="007830E4" w:rsidRPr="003B2E5B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3C765" w14:textId="77777777" w:rsidR="00F813F5" w:rsidRDefault="00F813F5">
      <w:r>
        <w:separator/>
      </w:r>
    </w:p>
  </w:endnote>
  <w:endnote w:type="continuationSeparator" w:id="0">
    <w:p w14:paraId="0C4FC636" w14:textId="77777777" w:rsidR="00F813F5" w:rsidRDefault="00F8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55F1B" w14:textId="77777777" w:rsidR="00F813F5" w:rsidRDefault="00F813F5">
      <w:r>
        <w:separator/>
      </w:r>
    </w:p>
  </w:footnote>
  <w:footnote w:type="continuationSeparator" w:id="0">
    <w:p w14:paraId="032670BA" w14:textId="77777777" w:rsidR="00F813F5" w:rsidRDefault="00F81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66B96"/>
    <w:rsid w:val="000E28DF"/>
    <w:rsid w:val="001A2DD8"/>
    <w:rsid w:val="00276553"/>
    <w:rsid w:val="00362A1E"/>
    <w:rsid w:val="00366575"/>
    <w:rsid w:val="003A6125"/>
    <w:rsid w:val="003B2E5B"/>
    <w:rsid w:val="0048607D"/>
    <w:rsid w:val="00610504"/>
    <w:rsid w:val="00626BB8"/>
    <w:rsid w:val="006A596A"/>
    <w:rsid w:val="00701E0F"/>
    <w:rsid w:val="007830E4"/>
    <w:rsid w:val="00791CA0"/>
    <w:rsid w:val="008075C3"/>
    <w:rsid w:val="008944AE"/>
    <w:rsid w:val="008C417D"/>
    <w:rsid w:val="00921D9D"/>
    <w:rsid w:val="00922504"/>
    <w:rsid w:val="009423CF"/>
    <w:rsid w:val="00957BE7"/>
    <w:rsid w:val="009B2963"/>
    <w:rsid w:val="009C13EE"/>
    <w:rsid w:val="00A0060C"/>
    <w:rsid w:val="00A86693"/>
    <w:rsid w:val="00AF3257"/>
    <w:rsid w:val="00B26E21"/>
    <w:rsid w:val="00B826D9"/>
    <w:rsid w:val="00C03D67"/>
    <w:rsid w:val="00C64DF0"/>
    <w:rsid w:val="00C822CA"/>
    <w:rsid w:val="00CC02B0"/>
    <w:rsid w:val="00DE0B7E"/>
    <w:rsid w:val="00DF5BC4"/>
    <w:rsid w:val="00E03D29"/>
    <w:rsid w:val="00E161EB"/>
    <w:rsid w:val="00E16A8E"/>
    <w:rsid w:val="00E51FFA"/>
    <w:rsid w:val="00E777F8"/>
    <w:rsid w:val="00EA154B"/>
    <w:rsid w:val="00F813F5"/>
    <w:rsid w:val="00FD46AA"/>
    <w:rsid w:val="00FD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944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qpacom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385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2024-11-29T08:40:00Z</dcterms:created>
  <dcterms:modified xsi:type="dcterms:W3CDTF">2024-11-29T22:44:00Z</dcterms:modified>
</cp:coreProperties>
</file>