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76DF" w14:textId="14B49BFB" w:rsidR="000B4C56" w:rsidRDefault="000B4C56" w:rsidP="000B4C56">
      <w:pPr>
        <w:spacing w:before="60" w:after="40" w:line="240" w:lineRule="auto"/>
        <w:ind w:left="1701" w:right="1134"/>
        <w:jc w:val="center"/>
        <w:rPr>
          <w:rFonts w:ascii="Times New Roman" w:hAnsi="Times New Roman" w:cs="Times New Roman"/>
          <w:b/>
          <w:bCs/>
          <w:sz w:val="24"/>
          <w:szCs w:val="24"/>
        </w:rPr>
      </w:pPr>
      <w:r>
        <w:rPr>
          <w:rFonts w:ascii="Times New Roman" w:hAnsi="Times New Roman" w:cs="Times New Roman"/>
          <w:b/>
          <w:bCs/>
          <w:sz w:val="24"/>
          <w:szCs w:val="24"/>
        </w:rPr>
        <w:t>PLANO DE NEGÓCIOS: IMPLANTAÇÃO DE CONSULTÓRIO FARMACÊUTICO EM FARMÁCIA</w:t>
      </w:r>
      <w:r w:rsidR="00EA03DA">
        <w:rPr>
          <w:rFonts w:ascii="Times New Roman" w:hAnsi="Times New Roman" w:cs="Times New Roman"/>
          <w:b/>
          <w:bCs/>
          <w:sz w:val="24"/>
          <w:szCs w:val="24"/>
        </w:rPr>
        <w:t xml:space="preserve">S </w:t>
      </w:r>
      <w:r>
        <w:rPr>
          <w:rFonts w:ascii="Times New Roman" w:hAnsi="Times New Roman" w:cs="Times New Roman"/>
          <w:b/>
          <w:bCs/>
          <w:sz w:val="24"/>
          <w:szCs w:val="24"/>
        </w:rPr>
        <w:t>COMERCIA</w:t>
      </w:r>
      <w:r w:rsidR="00EA03DA">
        <w:rPr>
          <w:rFonts w:ascii="Times New Roman" w:hAnsi="Times New Roman" w:cs="Times New Roman"/>
          <w:b/>
          <w:bCs/>
          <w:sz w:val="24"/>
          <w:szCs w:val="24"/>
        </w:rPr>
        <w:t>IS</w:t>
      </w:r>
    </w:p>
    <w:p w14:paraId="2C142553" w14:textId="77777777" w:rsidR="000B4C56" w:rsidRDefault="000B4C56" w:rsidP="000B4C56">
      <w:pPr>
        <w:spacing w:before="60" w:after="40" w:line="240" w:lineRule="auto"/>
        <w:ind w:left="1701" w:right="1134"/>
        <w:jc w:val="center"/>
        <w:rPr>
          <w:rFonts w:ascii="Times New Roman" w:hAnsi="Times New Roman" w:cs="Times New Roman"/>
          <w:b/>
          <w:bCs/>
          <w:sz w:val="24"/>
          <w:szCs w:val="24"/>
        </w:rPr>
      </w:pPr>
    </w:p>
    <w:p w14:paraId="1BE8B29A" w14:textId="77777777" w:rsidR="000B4C56" w:rsidRDefault="000B4C56" w:rsidP="000B4C56">
      <w:pPr>
        <w:jc w:val="both"/>
        <w:rPr>
          <w:rFonts w:ascii="Times New Roman" w:hAnsi="Times New Roman" w:cs="Times New Roman"/>
          <w:sz w:val="24"/>
          <w:szCs w:val="24"/>
        </w:rPr>
      </w:pPr>
      <w:r>
        <w:rPr>
          <w:rFonts w:ascii="Times New Roman" w:hAnsi="Times New Roman" w:cs="Times New Roman"/>
          <w:sz w:val="24"/>
          <w:szCs w:val="24"/>
        </w:rPr>
        <w:t xml:space="preserve">¹Maria Vitória Marinho Batista; ²Maria Clara Taveira Soares; ³Fernanda Coelho Modesto; </w:t>
      </w:r>
      <w:r>
        <w:rPr>
          <w:rFonts w:ascii="Times New Roman" w:hAnsi="Times New Roman" w:cs="Times New Roman"/>
          <w:color w:val="000000"/>
          <w:sz w:val="24"/>
          <w:szCs w:val="24"/>
          <w:shd w:val="clear" w:color="auto" w:fill="FFFFFF"/>
        </w:rPr>
        <w:t>⁴</w:t>
      </w:r>
      <w:r>
        <w:rPr>
          <w:rFonts w:ascii="Times New Roman" w:hAnsi="Times New Roman" w:cs="Times New Roman"/>
          <w:sz w:val="24"/>
          <w:szCs w:val="24"/>
        </w:rPr>
        <w:t xml:space="preserve">Emanuel Cardoso Monte. </w:t>
      </w:r>
    </w:p>
    <w:p w14:paraId="4918826E" w14:textId="77777777" w:rsidR="000B4C56" w:rsidRDefault="000B4C56" w:rsidP="000B4C56">
      <w:pPr>
        <w:jc w:val="both"/>
        <w:rPr>
          <w:rFonts w:ascii="Times New Roman" w:hAnsi="Times New Roman" w:cs="Times New Roman"/>
          <w:sz w:val="24"/>
          <w:szCs w:val="24"/>
        </w:rPr>
      </w:pPr>
      <w:proofErr w:type="gramStart"/>
      <w:r>
        <w:rPr>
          <w:rFonts w:ascii="Times New Roman" w:hAnsi="Times New Roman" w:cs="Times New Roman"/>
          <w:sz w:val="24"/>
          <w:szCs w:val="24"/>
        </w:rPr>
        <w:t>¹,²</w:t>
      </w:r>
      <w:proofErr w:type="gramEnd"/>
      <w:r>
        <w:rPr>
          <w:rFonts w:ascii="Times New Roman" w:hAnsi="Times New Roman" w:cs="Times New Roman"/>
          <w:sz w:val="24"/>
          <w:szCs w:val="24"/>
        </w:rPr>
        <w:t xml:space="preserve">,³ Acadêmicos de Farmácia da Universidade Maurício de Nassau – UNINASSAU, Juazeiro do Norte, Ceará, Brasil. </w:t>
      </w:r>
      <w:r>
        <w:rPr>
          <w:rFonts w:ascii="Times New Roman" w:hAnsi="Times New Roman" w:cs="Times New Roman"/>
          <w:color w:val="000000"/>
          <w:sz w:val="24"/>
          <w:szCs w:val="24"/>
          <w:shd w:val="clear" w:color="auto" w:fill="FFFFFF"/>
        </w:rPr>
        <w:t xml:space="preserve">⁴ </w:t>
      </w:r>
      <w:r>
        <w:rPr>
          <w:rFonts w:ascii="Times New Roman" w:hAnsi="Times New Roman" w:cs="Times New Roman"/>
          <w:sz w:val="24"/>
          <w:szCs w:val="24"/>
        </w:rPr>
        <w:t>Enfermeiro, Docente da Universidade Maurício de Nassau – UNINASSAU, Juazeiro do Norte, Ceará, Brasil.</w:t>
      </w:r>
    </w:p>
    <w:p w14:paraId="4C50908C" w14:textId="77777777" w:rsidR="000B4C56" w:rsidRDefault="000B4C56" w:rsidP="000B4C56">
      <w:pPr>
        <w:jc w:val="both"/>
        <w:rPr>
          <w:rFonts w:ascii="Times New Roman" w:hAnsi="Times New Roman" w:cs="Times New Roman"/>
          <w:b/>
          <w:bCs/>
          <w:sz w:val="24"/>
          <w:szCs w:val="24"/>
        </w:rPr>
      </w:pPr>
      <w:r>
        <w:rPr>
          <w:rFonts w:ascii="Times New Roman" w:hAnsi="Times New Roman" w:cs="Times New Roman"/>
          <w:b/>
          <w:bCs/>
          <w:color w:val="000000"/>
          <w:sz w:val="24"/>
          <w:szCs w:val="24"/>
          <w:shd w:val="clear" w:color="auto" w:fill="FFFFFF"/>
        </w:rPr>
        <w:t xml:space="preserve">Eixo temático: </w:t>
      </w:r>
      <w:r>
        <w:rPr>
          <w:rFonts w:ascii="Times New Roman" w:hAnsi="Times New Roman" w:cs="Times New Roman"/>
          <w:color w:val="000000"/>
          <w:sz w:val="24"/>
          <w:szCs w:val="24"/>
          <w:shd w:val="clear" w:color="auto" w:fill="FFFFFF"/>
        </w:rPr>
        <w:t>Empreendedorismo na Farmácia</w:t>
      </w:r>
    </w:p>
    <w:p w14:paraId="49C63BDA" w14:textId="77777777" w:rsidR="000B4C56" w:rsidRDefault="000B4C56" w:rsidP="000B4C56">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E-mail do Autor Principal: </w:t>
      </w:r>
      <w:hyperlink r:id="rId7" w:history="1">
        <w:r>
          <w:rPr>
            <w:rStyle w:val="Hyperlink"/>
            <w:rFonts w:ascii="Times New Roman" w:hAnsi="Times New Roman" w:cs="Times New Roman"/>
            <w:sz w:val="24"/>
            <w:szCs w:val="24"/>
            <w:shd w:val="clear" w:color="auto" w:fill="FFFFFF"/>
          </w:rPr>
          <w:t>Vitoriamarinho234@gmail.com</w:t>
        </w:r>
      </w:hyperlink>
    </w:p>
    <w:p w14:paraId="54F2F0BD" w14:textId="1005EB17" w:rsidR="000B4C56" w:rsidRDefault="000B4C56" w:rsidP="000B4C5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 xml:space="preserve">Introdução: </w:t>
      </w:r>
      <w:r>
        <w:rPr>
          <w:rFonts w:ascii="Times New Roman" w:hAnsi="Times New Roman" w:cs="Times New Roman"/>
          <w:sz w:val="24"/>
          <w:szCs w:val="24"/>
        </w:rPr>
        <w:t>O farmacêutico é o profissional que ganhou destaque nos últimos anos e por isso alcançou mais uma competência, a clínica. Isso tornou-se possível por meio das resoluções 585 e 586 do ano de 2013 que determina</w:t>
      </w:r>
      <w:r w:rsidR="00C1714C">
        <w:rPr>
          <w:rFonts w:ascii="Times New Roman" w:hAnsi="Times New Roman" w:cs="Times New Roman"/>
          <w:sz w:val="24"/>
          <w:szCs w:val="24"/>
        </w:rPr>
        <w:t>m</w:t>
      </w:r>
      <w:r>
        <w:rPr>
          <w:rFonts w:ascii="Times New Roman" w:hAnsi="Times New Roman" w:cs="Times New Roman"/>
          <w:sz w:val="24"/>
          <w:szCs w:val="24"/>
        </w:rPr>
        <w:t xml:space="preserve"> sua atribuição clínica e a prescrição farmacêutica, ambas do Conselho Regional de Farmácia. A implantação do consultório farmacêutico vem de encontro às regulamentações, pois segundo a Lei 13.021 de 2014 a farmácia comercial passou a ser um estabelecimento de saúde e não só um simples comércio, o que possibilita o profissional de realizar serviços de assistência e educação em saúde, de forma individual e respeitando o exercício legal da profissão. Além disso, é na prática desses serviços que irão surgir mais procura pelo estabelecimento, aumentando a credibilidade e consequentemente, o lucro. </w:t>
      </w:r>
      <w:r>
        <w:rPr>
          <w:rFonts w:ascii="Times New Roman" w:hAnsi="Times New Roman" w:cs="Times New Roman"/>
          <w:b/>
          <w:bCs/>
          <w:sz w:val="24"/>
          <w:szCs w:val="24"/>
        </w:rPr>
        <w:t xml:space="preserve">Objetivo: </w:t>
      </w:r>
      <w:r>
        <w:rPr>
          <w:rFonts w:ascii="Times New Roman" w:hAnsi="Times New Roman" w:cs="Times New Roman"/>
          <w:sz w:val="24"/>
          <w:szCs w:val="24"/>
        </w:rPr>
        <w:t>Demonstrar</w:t>
      </w:r>
      <w:r w:rsidR="00C1714C">
        <w:rPr>
          <w:rFonts w:ascii="Times New Roman" w:hAnsi="Times New Roman" w:cs="Times New Roman"/>
          <w:sz w:val="24"/>
          <w:szCs w:val="24"/>
        </w:rPr>
        <w:t xml:space="preserve"> </w:t>
      </w:r>
      <w:r>
        <w:rPr>
          <w:rFonts w:ascii="Times New Roman" w:hAnsi="Times New Roman" w:cs="Times New Roman"/>
          <w:sz w:val="24"/>
          <w:szCs w:val="24"/>
        </w:rPr>
        <w:t xml:space="preserve">a importância de implantar o consultório farmacêutico em farmácias comerciais a fim dar destaque a assistência farmacêutica e promover vantagem lucrativa ao comércio. </w:t>
      </w:r>
      <w:r>
        <w:rPr>
          <w:rFonts w:ascii="Times New Roman" w:hAnsi="Times New Roman" w:cs="Times New Roman"/>
          <w:b/>
          <w:bCs/>
          <w:sz w:val="24"/>
          <w:szCs w:val="24"/>
        </w:rPr>
        <w:t xml:space="preserve">Metodologia: </w:t>
      </w:r>
      <w:r>
        <w:rPr>
          <w:rFonts w:ascii="Times New Roman" w:hAnsi="Times New Roman" w:cs="Times New Roman"/>
          <w:sz w:val="24"/>
          <w:szCs w:val="24"/>
        </w:rPr>
        <w:t xml:space="preserve">O estudo se trata de uma revisão integrativa de literatura. A busca foi realizada através dos bancos de dados eletrônicos, como Google Acadêmico e </w:t>
      </w:r>
      <w:r>
        <w:rPr>
          <w:rFonts w:ascii="Times New Roman" w:hAnsi="Times New Roman" w:cs="Times New Roman"/>
          <w:sz w:val="24"/>
          <w:szCs w:val="24"/>
          <w:shd w:val="clear" w:color="auto" w:fill="FFFFFF"/>
        </w:rPr>
        <w:t>Biblioteca Eletrônica Científica Online (SCIELO)</w:t>
      </w:r>
      <w:r w:rsidR="002438D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Foram utilizados os descritores: ‘’Farmacêutico’’ AND ‘’Clínica” AND ‘’Consultório’’</w:t>
      </w:r>
      <w:r w:rsidR="002438D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Todos os artigos foram analisados por meio de critérios de exclusão, como os que possuíam duplicidade de informações nos bancos de dados e incluídos os publicados entre os anos de 2018 e 2023, no idioma português. </w:t>
      </w:r>
      <w:r>
        <w:rPr>
          <w:rFonts w:ascii="Times New Roman" w:hAnsi="Times New Roman" w:cs="Times New Roman"/>
          <w:b/>
          <w:bCs/>
          <w:sz w:val="24"/>
          <w:szCs w:val="24"/>
          <w:shd w:val="clear" w:color="auto" w:fill="FFFFFF"/>
        </w:rPr>
        <w:t xml:space="preserve">Resultados e Discussão: </w:t>
      </w:r>
      <w:r>
        <w:rPr>
          <w:rFonts w:ascii="Times New Roman" w:hAnsi="Times New Roman" w:cs="Times New Roman"/>
          <w:sz w:val="24"/>
          <w:szCs w:val="24"/>
          <w:shd w:val="clear" w:color="auto" w:fill="FFFFFF"/>
        </w:rPr>
        <w:t>Foram localizados oito artigos nas bases de dados mencionadas, mas após os critérios de inclusão, apenas cinco foram selecionados. Através das análises dos artigos, foi observado que realizar serviços de farmácia clínica e assistência farmacêutica, fazem total diferença no atendimento e na fidelização dos clientes, além de ressaltar a importância do profissional como ferramenta de promoção de saúde aos pacientes</w:t>
      </w:r>
      <w:r w:rsidR="007C14B7">
        <w:rPr>
          <w:rFonts w:ascii="Times New Roman" w:hAnsi="Times New Roman" w:cs="Times New Roman"/>
          <w:sz w:val="24"/>
          <w:szCs w:val="24"/>
          <w:shd w:val="clear" w:color="auto" w:fill="FFFFFF"/>
        </w:rPr>
        <w:t xml:space="preserve">. Entender quais são </w:t>
      </w:r>
      <w:r w:rsidR="00F22393">
        <w:rPr>
          <w:rFonts w:ascii="Times New Roman" w:hAnsi="Times New Roman" w:cs="Times New Roman"/>
          <w:sz w:val="24"/>
          <w:szCs w:val="24"/>
          <w:shd w:val="clear" w:color="auto" w:fill="FFFFFF"/>
        </w:rPr>
        <w:t xml:space="preserve">as </w:t>
      </w:r>
      <w:r w:rsidR="007C14B7">
        <w:rPr>
          <w:rFonts w:ascii="Times New Roman" w:hAnsi="Times New Roman" w:cs="Times New Roman"/>
          <w:sz w:val="24"/>
          <w:szCs w:val="24"/>
          <w:shd w:val="clear" w:color="auto" w:fill="FFFFFF"/>
        </w:rPr>
        <w:t>documentações necessárias se torna indispensável</w:t>
      </w:r>
      <w:r w:rsidR="00416517" w:rsidRPr="00416517">
        <w:rPr>
          <w:rFonts w:ascii="Times New Roman" w:hAnsi="Times New Roman" w:cs="Times New Roman"/>
          <w:sz w:val="24"/>
          <w:szCs w:val="24"/>
          <w:shd w:val="clear" w:color="auto" w:fill="FFFFFF"/>
        </w:rPr>
        <w:t xml:space="preserve"> </w:t>
      </w:r>
      <w:r w:rsidR="00416517">
        <w:rPr>
          <w:rFonts w:ascii="Times New Roman" w:hAnsi="Times New Roman" w:cs="Times New Roman"/>
          <w:sz w:val="24"/>
          <w:szCs w:val="24"/>
          <w:shd w:val="clear" w:color="auto" w:fill="FFFFFF"/>
        </w:rPr>
        <w:t>para abertura do consultório, pois deve-se pensar na legalização da empresa</w:t>
      </w:r>
      <w:r w:rsidR="007C14B7">
        <w:rPr>
          <w:rFonts w:ascii="Times New Roman" w:hAnsi="Times New Roman" w:cs="Times New Roman"/>
          <w:sz w:val="24"/>
          <w:szCs w:val="24"/>
          <w:shd w:val="clear" w:color="auto" w:fill="FFFFFF"/>
        </w:rPr>
        <w:t xml:space="preserve"> </w:t>
      </w:r>
      <w:r w:rsidR="00416517">
        <w:rPr>
          <w:rFonts w:ascii="Times New Roman" w:hAnsi="Times New Roman" w:cs="Times New Roman"/>
          <w:sz w:val="24"/>
          <w:szCs w:val="24"/>
          <w:shd w:val="clear" w:color="auto" w:fill="FFFFFF"/>
        </w:rPr>
        <w:t xml:space="preserve">concomitante aos órgãos: </w:t>
      </w:r>
      <w:r w:rsidR="00416517" w:rsidRPr="00416517">
        <w:rPr>
          <w:rFonts w:ascii="Times New Roman" w:hAnsi="Times New Roman" w:cs="Times New Roman"/>
          <w:sz w:val="24"/>
          <w:szCs w:val="24"/>
        </w:rPr>
        <w:t>Vigilância Sanitária, Junta Comercial</w:t>
      </w:r>
      <w:r w:rsidR="00416517">
        <w:rPr>
          <w:rFonts w:ascii="Times New Roman" w:hAnsi="Times New Roman" w:cs="Times New Roman"/>
          <w:sz w:val="24"/>
          <w:szCs w:val="24"/>
        </w:rPr>
        <w:t xml:space="preserve"> e </w:t>
      </w:r>
      <w:r w:rsidR="00416517" w:rsidRPr="00416517">
        <w:rPr>
          <w:rFonts w:ascii="Times New Roman" w:hAnsi="Times New Roman" w:cs="Times New Roman"/>
          <w:sz w:val="24"/>
          <w:szCs w:val="24"/>
        </w:rPr>
        <w:t>Receita Federa</w:t>
      </w:r>
      <w:r w:rsidR="00416517">
        <w:rPr>
          <w:rFonts w:ascii="Times New Roman" w:hAnsi="Times New Roman" w:cs="Times New Roman"/>
          <w:sz w:val="24"/>
          <w:szCs w:val="24"/>
        </w:rPr>
        <w:t xml:space="preserve">l. </w:t>
      </w:r>
      <w:r>
        <w:rPr>
          <w:rFonts w:ascii="Times New Roman" w:hAnsi="Times New Roman" w:cs="Times New Roman"/>
          <w:b/>
          <w:bCs/>
          <w:sz w:val="24"/>
          <w:szCs w:val="24"/>
          <w:shd w:val="clear" w:color="auto" w:fill="FFFFFF"/>
        </w:rPr>
        <w:t xml:space="preserve">Considerações finais: </w:t>
      </w:r>
      <w:r>
        <w:rPr>
          <w:rFonts w:ascii="Times New Roman" w:hAnsi="Times New Roman" w:cs="Times New Roman"/>
          <w:sz w:val="24"/>
          <w:szCs w:val="24"/>
          <w:shd w:val="clear" w:color="auto" w:fill="FFFFFF"/>
        </w:rPr>
        <w:t xml:space="preserve">Diante disso, o consultório farmacêutico se mostra fundamental para serviços de cuidado direto aos pacientes, visto que destaca a farmácia comercial como um estabelecimento de saúde e assegura os clientes que o local é confiável, promovendo assim o aumento de vendas e lucro. Trata-se de um estudo de caráter limitado, devido a pequena quantidade de artigos com essa temática, o que abre espaço para realização de novas pesquisas. </w:t>
      </w:r>
    </w:p>
    <w:p w14:paraId="547AC206" w14:textId="77777777" w:rsidR="000B4C56" w:rsidRDefault="000B4C56" w:rsidP="000B4C56">
      <w:pPr>
        <w:spacing w:after="0" w:line="240" w:lineRule="auto"/>
        <w:jc w:val="both"/>
        <w:rPr>
          <w:rFonts w:ascii="Times New Roman" w:hAnsi="Times New Roman" w:cs="Times New Roman"/>
          <w:sz w:val="24"/>
          <w:szCs w:val="24"/>
          <w:shd w:val="clear" w:color="auto" w:fill="FFFFFF"/>
        </w:rPr>
      </w:pPr>
    </w:p>
    <w:p w14:paraId="070A54A3" w14:textId="77777777" w:rsidR="000B4C56" w:rsidRDefault="000B4C56" w:rsidP="000B4C56">
      <w:pP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Palavras-chave: </w:t>
      </w:r>
      <w:r>
        <w:rPr>
          <w:rFonts w:ascii="Times New Roman" w:hAnsi="Times New Roman" w:cs="Times New Roman"/>
          <w:sz w:val="24"/>
          <w:szCs w:val="24"/>
          <w:shd w:val="clear" w:color="auto" w:fill="FFFFFF"/>
        </w:rPr>
        <w:t>Consultório farmacêutico; Farmácia comercial; Lucro.</w:t>
      </w:r>
    </w:p>
    <w:p w14:paraId="325D99C1" w14:textId="77777777" w:rsidR="000B4C56" w:rsidRDefault="000B4C56" w:rsidP="000B4C56">
      <w:pPr>
        <w:jc w:val="both"/>
        <w:rPr>
          <w:rFonts w:ascii="Times New Roman" w:hAnsi="Times New Roman" w:cs="Times New Roman"/>
          <w:b/>
          <w:bCs/>
          <w:sz w:val="24"/>
          <w:szCs w:val="24"/>
          <w:shd w:val="clear" w:color="auto" w:fill="FFFFFF"/>
        </w:rPr>
      </w:pPr>
    </w:p>
    <w:p w14:paraId="4BE03EDB" w14:textId="77777777" w:rsidR="000B4C56" w:rsidRDefault="000B4C56" w:rsidP="000B4C56">
      <w:pPr>
        <w:jc w:val="both"/>
        <w:rPr>
          <w:rFonts w:ascii="Times New Roman" w:hAnsi="Times New Roman" w:cs="Times New Roman"/>
          <w:b/>
          <w:bCs/>
          <w:sz w:val="24"/>
          <w:szCs w:val="24"/>
          <w:shd w:val="clear" w:color="auto" w:fill="FFFFFF"/>
        </w:rPr>
      </w:pPr>
    </w:p>
    <w:p w14:paraId="74D824CF" w14:textId="77777777" w:rsidR="000B4C56" w:rsidRDefault="000B4C56" w:rsidP="000B4C56">
      <w:pPr>
        <w:jc w:val="both"/>
        <w:rPr>
          <w:rFonts w:ascii="Times New Roman" w:hAnsi="Times New Roman" w:cs="Times New Roman"/>
          <w:b/>
          <w:bCs/>
          <w:sz w:val="24"/>
          <w:szCs w:val="24"/>
          <w:shd w:val="clear" w:color="auto" w:fill="FFFFFF"/>
        </w:rPr>
      </w:pPr>
    </w:p>
    <w:p w14:paraId="2308FD75" w14:textId="77777777" w:rsidR="000B4C56" w:rsidRDefault="000B4C56" w:rsidP="000B4C56">
      <w:pPr>
        <w:jc w:val="both"/>
        <w:rPr>
          <w:rFonts w:ascii="Times New Roman" w:hAnsi="Times New Roman" w:cs="Times New Roman"/>
          <w:b/>
          <w:bCs/>
          <w:sz w:val="24"/>
          <w:szCs w:val="24"/>
          <w:shd w:val="clear" w:color="auto" w:fill="FFFFFF"/>
        </w:rPr>
      </w:pPr>
    </w:p>
    <w:p w14:paraId="2AF0267B" w14:textId="77777777" w:rsidR="000B4C56" w:rsidRDefault="000B4C56" w:rsidP="000B4C56">
      <w:pPr>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Referências</w:t>
      </w:r>
    </w:p>
    <w:p w14:paraId="73742AC2" w14:textId="77777777" w:rsidR="000B4C56" w:rsidRDefault="000B4C56" w:rsidP="000B4C56">
      <w:pPr>
        <w:jc w:val="both"/>
        <w:rPr>
          <w:rFonts w:ascii="Times New Roman" w:hAnsi="Times New Roman" w:cs="Times New Roman"/>
          <w:sz w:val="24"/>
          <w:szCs w:val="24"/>
        </w:rPr>
      </w:pPr>
      <w:r>
        <w:rPr>
          <w:rFonts w:ascii="Times New Roman" w:hAnsi="Times New Roman" w:cs="Times New Roman"/>
          <w:sz w:val="24"/>
          <w:szCs w:val="24"/>
        </w:rPr>
        <w:t xml:space="preserve">BRITO, Y.N. </w:t>
      </w:r>
      <w:r>
        <w:rPr>
          <w:rFonts w:ascii="Times New Roman" w:hAnsi="Times New Roman" w:cs="Times New Roman"/>
          <w:b/>
          <w:bCs/>
          <w:sz w:val="24"/>
          <w:szCs w:val="24"/>
        </w:rPr>
        <w:t xml:space="preserve">Projeto de implementação de um consultório farmacêutico. </w:t>
      </w:r>
      <w:r>
        <w:rPr>
          <w:rFonts w:ascii="Times New Roman" w:hAnsi="Times New Roman" w:cs="Times New Roman"/>
          <w:sz w:val="24"/>
          <w:szCs w:val="24"/>
        </w:rPr>
        <w:t>Monografia (Graduação em Farmácia). UNIVERSIDADE FEDERAL DO RIO DE JANEIRO, MACAÉ, 2022. Disponível em: &lt;</w:t>
      </w:r>
      <w:r>
        <w:t xml:space="preserve"> </w:t>
      </w:r>
      <w:hyperlink r:id="rId8" w:history="1">
        <w:r>
          <w:rPr>
            <w:rStyle w:val="Hyperlink"/>
            <w:rFonts w:ascii="Times New Roman" w:hAnsi="Times New Roman" w:cs="Times New Roman"/>
            <w:sz w:val="24"/>
            <w:szCs w:val="24"/>
          </w:rPr>
          <w:t>https://pantheon.ufrj.br/bitstream/11422/18626/1/YNBRITO.pdf</w:t>
        </w:r>
      </w:hyperlink>
      <w:r>
        <w:rPr>
          <w:rFonts w:ascii="Times New Roman" w:hAnsi="Times New Roman" w:cs="Times New Roman"/>
          <w:sz w:val="24"/>
          <w:szCs w:val="24"/>
        </w:rPr>
        <w:t>&gt;. Acesso em: 14 de fev.2023.</w:t>
      </w:r>
    </w:p>
    <w:p w14:paraId="4A99508F" w14:textId="77777777" w:rsidR="000B4C56" w:rsidRDefault="000B4C56" w:rsidP="000B4C56">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MARQUES, J.M.S; BAIENSE, A.S.R. </w:t>
      </w:r>
      <w:r>
        <w:rPr>
          <w:rFonts w:ascii="Times New Roman" w:hAnsi="Times New Roman" w:cs="Times New Roman"/>
          <w:b/>
          <w:bCs/>
          <w:sz w:val="24"/>
          <w:szCs w:val="24"/>
        </w:rPr>
        <w:t xml:space="preserve">Consultório Farmacêutico em Drogaria. </w:t>
      </w:r>
      <w:r>
        <w:rPr>
          <w:rFonts w:ascii="Times New Roman" w:hAnsi="Times New Roman" w:cs="Times New Roman"/>
          <w:sz w:val="24"/>
          <w:szCs w:val="24"/>
          <w:shd w:val="clear" w:color="auto" w:fill="FFFFFF"/>
        </w:rPr>
        <w:t>REVISTA IBERO-AMERICANA DE HUMANIDADES, CIÊNCIAS E EDUCAÇÃO-REASE, SÃO PAULO, v.7, n.10, out. 2021. Disponível em: &lt;</w:t>
      </w:r>
      <w:hyperlink r:id="rId9" w:history="1">
        <w:r>
          <w:rPr>
            <w:rStyle w:val="Hyperlink"/>
            <w:rFonts w:ascii="Times New Roman" w:hAnsi="Times New Roman" w:cs="Times New Roman"/>
            <w:sz w:val="24"/>
            <w:szCs w:val="24"/>
            <w:shd w:val="clear" w:color="auto" w:fill="FFFFFF"/>
          </w:rPr>
          <w:t>https://www.periodicorease.pro.br/rease/article/view/2686/1075</w:t>
        </w:r>
      </w:hyperlink>
      <w:r>
        <w:rPr>
          <w:rFonts w:ascii="Times New Roman" w:hAnsi="Times New Roman" w:cs="Times New Roman"/>
          <w:sz w:val="24"/>
          <w:szCs w:val="24"/>
          <w:shd w:val="clear" w:color="auto" w:fill="FFFFFF"/>
        </w:rPr>
        <w:t>&gt;. Acesso em 14 de fev.2023.</w:t>
      </w:r>
    </w:p>
    <w:p w14:paraId="76B44FFE" w14:textId="77777777" w:rsidR="000B4C56" w:rsidRDefault="000B4C56" w:rsidP="000B4C56">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PESSOA, G.S; SILVA, M.D.P. </w:t>
      </w:r>
      <w:r>
        <w:rPr>
          <w:rFonts w:ascii="Times New Roman" w:hAnsi="Times New Roman" w:cs="Times New Roman"/>
          <w:b/>
          <w:bCs/>
          <w:sz w:val="24"/>
          <w:szCs w:val="24"/>
        </w:rPr>
        <w:t xml:space="preserve">O crescimento do consultório farmacêutico entre os anos 2017 a 2020 na cidade de Imperatriz- MA. </w:t>
      </w:r>
      <w:r>
        <w:rPr>
          <w:rFonts w:ascii="Times New Roman" w:hAnsi="Times New Roman" w:cs="Times New Roman"/>
          <w:sz w:val="24"/>
          <w:szCs w:val="24"/>
        </w:rPr>
        <w:t>BRAZILIAN JOURNAL OF DEVELOPMENT, CURITIBA, v.8, n.6, P.44177-44201, jun. 2022. Disponível em: &lt;</w:t>
      </w:r>
      <w:r>
        <w:t xml:space="preserve"> </w:t>
      </w:r>
      <w:hyperlink r:id="rId10" w:history="1">
        <w:r>
          <w:rPr>
            <w:rStyle w:val="Hyperlink"/>
          </w:rPr>
          <w:t>https://scholar.archive.org/work/u5aahhpj3ne5tdfy4bq5dbd7rq/access/wayback/https://brazilianjournals.com/index.php/BRJD/article/download/49042/pdf</w:t>
        </w:r>
      </w:hyperlink>
      <w:r>
        <w:rPr>
          <w:rFonts w:ascii="Times New Roman" w:hAnsi="Times New Roman" w:cs="Times New Roman"/>
          <w:sz w:val="24"/>
          <w:szCs w:val="24"/>
        </w:rPr>
        <w:t>&gt;. Acesso em: 14 de fev.2023.</w:t>
      </w:r>
    </w:p>
    <w:p w14:paraId="7E6DBF80" w14:textId="77777777" w:rsidR="000B4C56" w:rsidRDefault="000B4C56" w:rsidP="000B4C56">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PAIVA, L.A; ANJOS, D.M. </w:t>
      </w:r>
      <w:r>
        <w:rPr>
          <w:rFonts w:ascii="Times New Roman" w:hAnsi="Times New Roman" w:cs="Times New Roman"/>
          <w:b/>
          <w:bCs/>
          <w:sz w:val="24"/>
          <w:szCs w:val="24"/>
          <w:shd w:val="clear" w:color="auto" w:fill="FFFFFF"/>
        </w:rPr>
        <w:t xml:space="preserve">Aspectos relacionados a implementação de consultório farmacêutico em farmácias de rede privada. </w:t>
      </w:r>
      <w:r>
        <w:rPr>
          <w:rFonts w:ascii="Times New Roman" w:hAnsi="Times New Roman" w:cs="Times New Roman"/>
          <w:sz w:val="24"/>
          <w:szCs w:val="24"/>
          <w:shd w:val="clear" w:color="auto" w:fill="FFFFFF"/>
        </w:rPr>
        <w:t>BRAZILIAN APPLIED SCIENCE REVIEW, Curitiba, v.5, n.3, mai./jun.2021. Disponível em: &lt;</w:t>
      </w:r>
      <w:r>
        <w:t xml:space="preserve"> </w:t>
      </w:r>
      <w:hyperlink r:id="rId11" w:history="1">
        <w:r>
          <w:rPr>
            <w:rStyle w:val="Hyperlink"/>
            <w:rFonts w:ascii="Times New Roman" w:hAnsi="Times New Roman" w:cs="Times New Roman"/>
            <w:sz w:val="24"/>
            <w:szCs w:val="24"/>
            <w:shd w:val="clear" w:color="auto" w:fill="FFFFFF"/>
          </w:rPr>
          <w:t>https://ojs.brazilianjournals.com.br/ojs/index.php/BASR/article/view/31421</w:t>
        </w:r>
      </w:hyperlink>
      <w:r>
        <w:rPr>
          <w:rFonts w:ascii="Times New Roman" w:hAnsi="Times New Roman" w:cs="Times New Roman"/>
          <w:sz w:val="24"/>
          <w:szCs w:val="24"/>
          <w:shd w:val="clear" w:color="auto" w:fill="FFFFFF"/>
        </w:rPr>
        <w:t>&gt;. Acesso em: 14 de fev.2023.</w:t>
      </w:r>
    </w:p>
    <w:p w14:paraId="535897FF" w14:textId="77777777" w:rsidR="000B4C56" w:rsidRDefault="000B4C56" w:rsidP="000B4C56">
      <w:pPr>
        <w:jc w:val="both"/>
        <w:rPr>
          <w:rFonts w:ascii="Times New Roman" w:hAnsi="Times New Roman" w:cs="Times New Roman"/>
          <w:b/>
          <w:bCs/>
          <w:sz w:val="24"/>
          <w:szCs w:val="24"/>
          <w:shd w:val="clear" w:color="auto" w:fill="FFFFFF"/>
        </w:rPr>
      </w:pPr>
    </w:p>
    <w:p w14:paraId="08CBED47" w14:textId="77777777" w:rsidR="000B4C56" w:rsidRDefault="000B4C56" w:rsidP="000B4C56">
      <w:pPr>
        <w:jc w:val="both"/>
        <w:rPr>
          <w:rFonts w:ascii="Times New Roman" w:hAnsi="Times New Roman" w:cs="Times New Roman"/>
          <w:b/>
          <w:bCs/>
          <w:sz w:val="24"/>
          <w:szCs w:val="24"/>
          <w:shd w:val="clear" w:color="auto" w:fill="FFFFFF"/>
        </w:rPr>
      </w:pPr>
    </w:p>
    <w:p w14:paraId="06A7B1A0" w14:textId="77777777" w:rsidR="001A7DEF" w:rsidRPr="002B2D17" w:rsidRDefault="001A7DEF" w:rsidP="00727215">
      <w:pPr>
        <w:tabs>
          <w:tab w:val="center" w:pos="4535"/>
        </w:tabs>
        <w:spacing w:line="240" w:lineRule="auto"/>
        <w:jc w:val="both"/>
        <w:rPr>
          <w:rFonts w:ascii="Times New Roman" w:hAnsi="Times New Roman" w:cs="Times New Roman"/>
          <w:sz w:val="24"/>
          <w:szCs w:val="24"/>
        </w:rPr>
      </w:pPr>
    </w:p>
    <w:sectPr w:rsidR="001A7DEF" w:rsidRPr="002B2D17" w:rsidSect="00727215">
      <w:headerReference w:type="default" r:id="rId12"/>
      <w:footerReference w:type="default" r:id="rId13"/>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836D" w14:textId="77777777" w:rsidR="002F02B5" w:rsidRDefault="002F02B5" w:rsidP="007072DB">
      <w:pPr>
        <w:spacing w:after="0" w:line="240" w:lineRule="auto"/>
      </w:pPr>
      <w:r>
        <w:separator/>
      </w:r>
    </w:p>
  </w:endnote>
  <w:endnote w:type="continuationSeparator" w:id="0">
    <w:p w14:paraId="2820EDFB" w14:textId="77777777" w:rsidR="002F02B5" w:rsidRDefault="002F02B5" w:rsidP="0070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7C45" w14:textId="77777777" w:rsidR="007072DB" w:rsidRPr="007F38E0" w:rsidRDefault="007F38E0" w:rsidP="007F38E0">
    <w:pPr>
      <w:pStyle w:val="Rodap"/>
    </w:pPr>
    <w:r>
      <w:rPr>
        <w:noProof/>
        <w:lang w:eastAsia="pt-BR"/>
      </w:rPr>
      <w:drawing>
        <wp:anchor distT="0" distB="0" distL="114300" distR="114300" simplePos="0" relativeHeight="251661312" behindDoc="0" locked="0" layoutInCell="1" allowOverlap="1" wp14:anchorId="09536E56" wp14:editId="60BC9928">
          <wp:simplePos x="0" y="0"/>
          <wp:positionH relativeFrom="page">
            <wp:align>left</wp:align>
          </wp:positionH>
          <wp:positionV relativeFrom="page">
            <wp:posOffset>10210800</wp:posOffset>
          </wp:positionV>
          <wp:extent cx="8458200" cy="56134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0834" w14:textId="77777777" w:rsidR="002F02B5" w:rsidRDefault="002F02B5" w:rsidP="007072DB">
      <w:pPr>
        <w:spacing w:after="0" w:line="240" w:lineRule="auto"/>
      </w:pPr>
      <w:r>
        <w:separator/>
      </w:r>
    </w:p>
  </w:footnote>
  <w:footnote w:type="continuationSeparator" w:id="0">
    <w:p w14:paraId="6555E573" w14:textId="77777777" w:rsidR="002F02B5" w:rsidRDefault="002F02B5" w:rsidP="0070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72D1" w14:textId="77777777" w:rsidR="00727215" w:rsidRDefault="00727215">
    <w:pPr>
      <w:pStyle w:val="Cabealho"/>
    </w:pPr>
    <w:r>
      <w:rPr>
        <w:noProof/>
        <w:lang w:eastAsia="pt-BR"/>
      </w:rPr>
      <w:drawing>
        <wp:anchor distT="0" distB="0" distL="114300" distR="114300" simplePos="0" relativeHeight="251663360" behindDoc="0" locked="0" layoutInCell="1" allowOverlap="1" wp14:anchorId="3C86CD8F" wp14:editId="1A88B34E">
          <wp:simplePos x="0" y="0"/>
          <wp:positionH relativeFrom="page">
            <wp:align>right</wp:align>
          </wp:positionH>
          <wp:positionV relativeFrom="page">
            <wp:align>top</wp:align>
          </wp:positionV>
          <wp:extent cx="8458200" cy="56134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DB"/>
    <w:rsid w:val="00077AAE"/>
    <w:rsid w:val="000B4C56"/>
    <w:rsid w:val="000C0452"/>
    <w:rsid w:val="001416B4"/>
    <w:rsid w:val="001A7DEF"/>
    <w:rsid w:val="002438DF"/>
    <w:rsid w:val="002B2D17"/>
    <w:rsid w:val="002F02B5"/>
    <w:rsid w:val="00343536"/>
    <w:rsid w:val="003437B4"/>
    <w:rsid w:val="00416517"/>
    <w:rsid w:val="005931C0"/>
    <w:rsid w:val="005E5AB3"/>
    <w:rsid w:val="00634C0F"/>
    <w:rsid w:val="007072DB"/>
    <w:rsid w:val="00727215"/>
    <w:rsid w:val="007A1F94"/>
    <w:rsid w:val="007C14B7"/>
    <w:rsid w:val="007F38E0"/>
    <w:rsid w:val="00865D23"/>
    <w:rsid w:val="00A57EB2"/>
    <w:rsid w:val="00B14956"/>
    <w:rsid w:val="00C1714C"/>
    <w:rsid w:val="00C201F6"/>
    <w:rsid w:val="00D35E29"/>
    <w:rsid w:val="00EA03DA"/>
    <w:rsid w:val="00EB5A90"/>
    <w:rsid w:val="00EF103C"/>
    <w:rsid w:val="00F22393"/>
    <w:rsid w:val="00F576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38B32"/>
  <w15:chartTrackingRefBased/>
  <w15:docId w15:val="{4DE37EDC-451B-476B-BE27-FFECEEA3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theon.ufrj.br/bitstream/11422/18626/1/YNBRITO.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toriamarinho234@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js.brazilianjournals.com.br/ojs/index.php/BASR/article/view/314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cholar.archive.org/work/u5aahhpj3ne5tdfy4bq5dbd7rq/access/wayback/https:/brazilianjournals.com/index.php/BRJD/article/download/49042/pdf" TargetMode="External"/><Relationship Id="rId4" Type="http://schemas.openxmlformats.org/officeDocument/2006/relationships/webSettings" Target="webSettings.xml"/><Relationship Id="rId9" Type="http://schemas.openxmlformats.org/officeDocument/2006/relationships/hyperlink" Target="https://www.periodicorease.pro.br/rease/article/view/2686/107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002A6-DC54-4A10-9FA7-5EF6F16E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772</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James Mucuim</cp:lastModifiedBy>
  <cp:revision>4</cp:revision>
  <dcterms:created xsi:type="dcterms:W3CDTF">2023-02-24T14:30:00Z</dcterms:created>
  <dcterms:modified xsi:type="dcterms:W3CDTF">2023-03-11T01:30:00Z</dcterms:modified>
</cp:coreProperties>
</file>