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eastAsia="Arial" w:cs="Arial"/>
          <w:b/>
          <w:smallCaps/>
          <w:color w:val="000000"/>
          <w:sz w:val="22"/>
          <w:szCs w:val="22"/>
        </w:rPr>
      </w:pPr>
      <w:r>
        <w:rPr>
          <w:rFonts w:ascii="Arial" w:hAnsi="Arial" w:eastAsia="Arial" w:cs="Arial"/>
          <w:b/>
          <w:smallCaps/>
          <w:sz w:val="22"/>
          <w:szCs w:val="22"/>
        </w:rPr>
        <w:t>A IMPORTÂNCIA DO LEITE DE TRANSIÇÃO PARA BEZERROS NEONATOS</w:t>
      </w:r>
      <w:r>
        <w:rPr>
          <w:rFonts w:ascii="Arial" w:hAnsi="Arial" w:eastAsia="Arial" w:cs="Arial"/>
          <w:b/>
          <w:smallCaps/>
          <w:color w:val="000000"/>
          <w:sz w:val="22"/>
          <w:szCs w:val="22"/>
        </w:rPr>
        <w:t xml:space="preserve"> - REVISÃO DE LITERATURA</w:t>
      </w:r>
    </w:p>
    <w:p>
      <w:pPr>
        <w:spacing/>
        <w:jc w:val="center"/>
        <w:rPr>
          <w:rFonts w:ascii="Arial" w:hAnsi="Arial" w:eastAsia="Arial" w:cs="Arial"/>
          <w:b/>
          <w:color w:val="000000"/>
        </w:rPr>
      </w:pPr>
      <w:r>
        <w:rPr>
          <w:rFonts w:ascii="Arial" w:hAnsi="Arial" w:eastAsia="Arial" w:cs="Arial"/>
          <w:b/>
          <w:color w:val="000000"/>
        </w:rPr>
        <w:t>Yasmim Araujo Miranda</w:t>
      </w:r>
      <w:r>
        <w:rPr>
          <w:rFonts w:ascii="Arial" w:hAnsi="Arial" w:eastAsia="Arial" w:cs="Arial"/>
          <w:b/>
          <w:color w:val="000000"/>
          <w:vertAlign w:val="superscript"/>
        </w:rPr>
        <w:t>1</w:t>
      </w:r>
      <w:r>
        <w:rPr>
          <w:rFonts w:ascii="Arial" w:hAnsi="Arial" w:eastAsia="Arial" w:cs="Arial"/>
          <w:b/>
          <w:color w:val="000000"/>
        </w:rPr>
        <w:t>*, Leidijane de Souza Assis</w:t>
      </w:r>
      <w:r>
        <w:rPr>
          <w:rFonts w:ascii="Arial" w:hAnsi="Arial" w:eastAsia="Arial" w:cs="Arial"/>
          <w:b/>
          <w:color w:val="000000"/>
          <w:vertAlign w:val="superscript"/>
        </w:rPr>
        <w:t>1</w:t>
      </w:r>
      <w:r>
        <w:rPr>
          <w:rFonts w:ascii="Arial" w:hAnsi="Arial" w:eastAsia="Arial" w:cs="Arial"/>
          <w:b/>
          <w:color w:val="000000"/>
        </w:rPr>
        <w:t>, Isadora Resende Barros</w:t>
      </w:r>
      <w:r>
        <w:rPr>
          <w:rFonts w:ascii="Arial" w:hAnsi="Arial" w:eastAsia="Arial" w:cs="Arial"/>
          <w:b/>
          <w:color w:val="000000"/>
          <w:vertAlign w:val="superscript"/>
        </w:rPr>
        <w:t>1</w:t>
      </w:r>
      <w:r>
        <w:rPr>
          <w:rFonts w:ascii="Arial" w:hAnsi="Arial" w:eastAsia="Arial" w:cs="Arial"/>
          <w:b/>
          <w:color w:val="000000"/>
        </w:rPr>
        <w:t>, Isabelli Felipe da Silva</w:t>
      </w:r>
      <w:r>
        <w:rPr>
          <w:rFonts w:ascii="Arial" w:hAnsi="Arial" w:eastAsia="Arial" w:cs="Arial"/>
          <w:b/>
          <w:color w:val="000000"/>
          <w:vertAlign w:val="superscript"/>
        </w:rPr>
        <w:t>1</w:t>
      </w:r>
      <w:r>
        <w:rPr>
          <w:rFonts w:ascii="Arial" w:hAnsi="Arial" w:eastAsia="Arial" w:cs="Arial"/>
          <w:b/>
          <w:color w:val="000000"/>
        </w:rPr>
        <w:t xml:space="preserve"> e Francielly Pereir</w:t>
      </w:r>
      <w:r>
        <w:rPr>
          <w:rFonts w:ascii="Arial" w:hAnsi="Arial" w:eastAsia="Arial" w:cs="Arial"/>
          <w:b/>
          <w:color w:val="000000"/>
        </w:rPr>
        <w:t>a Cardoso</w:t>
      </w:r>
      <w:r>
        <w:rPr>
          <w:rFonts w:ascii="Arial" w:hAnsi="Arial" w:eastAsia="Arial" w:cs="Arial"/>
          <w:b/>
          <w:color w:val="000000"/>
          <w:vertAlign w:val="superscript"/>
        </w:rPr>
        <w:t>1</w:t>
      </w:r>
      <w:r>
        <w:rPr>
          <w:rFonts w:ascii="Arial" w:hAnsi="Arial" w:cs="Arial"/>
          <w:b/>
          <w:bCs/>
        </w:rPr>
        <w:t>, Leandro Silva de Andrade</w:t>
      </w:r>
      <w:r>
        <w:rPr>
          <w:rFonts w:ascii="Arial" w:hAnsi="Arial" w:cs="Arial"/>
          <w:b/>
          <w:bCs/>
          <w:vertAlign w:val="superscript"/>
        </w:rPr>
        <w:t>2</w:t>
      </w:r>
      <w:r>
        <w:rPr>
          <w:rFonts w:ascii="Arial" w:hAnsi="Arial" w:cs="Arial"/>
          <w:b/>
          <w:bCs/>
        </w:rPr>
        <w:t>, Gustavo Henrique Ferreira Abreu Moreira</w:t>
      </w:r>
      <w:r>
        <w:rPr>
          <w:rFonts w:ascii="Arial" w:hAnsi="Arial" w:cs="Arial"/>
          <w:b/>
          <w:bCs/>
          <w:vertAlign w:val="superscript"/>
        </w:rPr>
        <w:t>2</w:t>
      </w:r>
      <w:r>
        <w:rPr>
          <w:rFonts w:ascii="Arial" w:hAnsi="Arial" w:eastAsia="Arial" w:cs="Arial"/>
          <w:b/>
          <w:color w:val="000000"/>
        </w:rPr>
      </w:r>
    </w:p>
    <w:p>
      <w:pPr>
        <w:spacing/>
        <w:jc w:val="center"/>
        <w:rPr>
          <w:rFonts w:ascii="Arial" w:hAnsi="Arial" w:eastAsia="Arial" w:cs="Arial"/>
          <w:i/>
          <w:color w:val="000000"/>
          <w:sz w:val="14"/>
          <w:szCs w:val="14"/>
        </w:rPr>
      </w:pPr>
      <w:r>
        <w:rPr>
          <w:rFonts w:ascii="Arial" w:hAnsi="Arial" w:eastAsia="Arial" w:cs="Arial"/>
          <w:i/>
          <w:color w:val="000000"/>
          <w:sz w:val="14"/>
          <w:szCs w:val="14"/>
          <w:vertAlign w:val="superscript"/>
        </w:rPr>
        <w:t>1</w:t>
      </w:r>
      <w:r>
        <w:rPr>
          <w:rFonts w:ascii="Arial" w:hAnsi="Arial" w:eastAsia="Arial" w:cs="Arial"/>
          <w:i/>
          <w:color w:val="000000"/>
          <w:sz w:val="14"/>
          <w:szCs w:val="14"/>
        </w:rPr>
        <w:t>Graduando em Medicina Veterinária – UniBH – Belo Horizonte/MG – Brasil – *Contato: yasmimaraujo018@gmail.com</w:t>
      </w:r>
    </w:p>
    <w:p>
      <w:pPr>
        <w:tabs defTabSz="720">
          <w:tab w:val="center" w:pos="5528" w:leader="none"/>
        </w:tabs>
        <w:rPr>
          <w:rFonts w:ascii="Arial" w:hAnsi="Arial" w:eastAsia="Arial" w:cs="Arial"/>
          <w:i/>
          <w:color w:val="000000"/>
          <w:sz w:val="14"/>
          <w:szCs w:val="14"/>
        </w:rPr>
      </w:pPr>
      <w:r>
        <w:rPr>
          <w:rFonts w:ascii="Arial" w:hAnsi="Arial" w:eastAsia="Arial" w:cs="Arial"/>
          <w:i/>
          <w:color w:val="000000"/>
          <w:sz w:val="14"/>
          <w:szCs w:val="14"/>
          <w:vertAlign w:val="superscript"/>
        </w:rPr>
        <w:tab/>
        <w:t>3</w:t>
      </w:r>
      <w:r>
        <w:rPr>
          <w:rFonts w:ascii="Arial" w:hAnsi="Arial" w:eastAsia="Arial" w:cs="Arial"/>
          <w:i/>
          <w:color w:val="000000"/>
          <w:sz w:val="14"/>
          <w:szCs w:val="14"/>
        </w:rPr>
        <w:t>Professor de Medicina Veterinária – UniBH – Belo Horizonte/MG – Brasil</w:t>
      </w:r>
    </w:p>
    <w:p>
      <w:pPr>
        <w:spacing w:after="96"/>
        <w:jc w:val="center"/>
        <w:rPr>
          <w:rFonts w:ascii="Arial" w:hAnsi="Arial" w:eastAsia="Arial" w:cs="Arial"/>
          <w:i/>
          <w:color w:val="000000"/>
          <w:sz w:val="18"/>
          <w:szCs w:val="18"/>
          <w:vertAlign w:val="superscript"/>
        </w:rPr>
      </w:pPr>
      <w:r/>
      <w:bookmarkStart w:id="0" w:name="_heading=h.gjdgxs"/>
      <w:bookmarkEnd w:id="0"/>
      <w:r/>
      <w:r>
        <w:rPr>
          <w:rFonts w:ascii="Arial" w:hAnsi="Arial" w:eastAsia="Arial" w:cs="Arial"/>
          <w:i/>
          <w:color w:val="000000"/>
          <w:sz w:val="18"/>
          <w:szCs w:val="18"/>
          <w:vertAlign w:val="superscript"/>
        </w:rPr>
      </w:r>
    </w:p>
    <w:p>
      <w:pPr>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6838" w:w="11906"/>
          <w:pgMar w:left="426" w:top="1560" w:right="424" w:bottom="720" w:header="708" w:footer="709"/>
          <w:paperSrc w:first="0" w:other="0" a="0" b="0"/>
          <w:pgNumType w:fmt="decimal" w:start="1"/>
          <w:tmGutter w:val="3"/>
          <w:mirrorMargins w:val="0"/>
          <w:tmSection w:h="-1">
            <w:tmHeader w:id="0" w:h="0" edge="708"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96"/>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eastAsia="Arial" w:cs="Arial"/>
          <w:b/>
          <w:color w:val="000000"/>
          <w:sz w:val="18"/>
          <w:szCs w:val="18"/>
        </w:rPr>
      </w:pPr>
      <w:r>
        <w:rPr>
          <w:rFonts w:ascii="Arial" w:hAnsi="Arial" w:eastAsia="Arial" w:cs="Arial"/>
          <w:b/>
          <w:color w:val="000000"/>
          <w:sz w:val="18"/>
          <w:szCs w:val="18"/>
        </w:rPr>
        <w:t>INTRODUÇÃO</w:t>
      </w:r>
    </w:p>
    <w:p>
      <w:pPr>
        <w:spacing/>
        <w:jc w:val="both"/>
        <w:rPr>
          <w:rFonts w:ascii="Arial" w:hAnsi="Arial" w:cs="Arial"/>
          <w:sz w:val="18"/>
          <w:szCs w:val="18"/>
        </w:rPr>
      </w:pPr>
      <w:r>
        <w:rPr>
          <w:rFonts w:ascii="Arial" w:hAnsi="Arial" w:cs="Arial"/>
          <w:sz w:val="18"/>
          <w:szCs w:val="18"/>
        </w:rPr>
        <w:t xml:space="preserve">Os bezerros são animais que nascem agamaglobulinêmicos, ou seja, com níveis insignificantes de proteínas do sistema imunológico no sangue. Essa baixa de imunoglobulinas (Ig) na corrente sanguínea se deve ao fato de que a placenta da vaca, do tipo sindesmocorial, impede a passagem dessas células da mãe para o feto no período gestacional. </w:t>
      </w:r>
    </w:p>
    <w:p>
      <w:pPr>
        <w:spacing/>
        <w:jc w:val="both"/>
        <w:rPr>
          <w:rFonts w:ascii="Arial" w:hAnsi="Arial" w:cs="Arial"/>
          <w:sz w:val="18"/>
          <w:szCs w:val="18"/>
        </w:rPr>
      </w:pPr>
      <w:r>
        <w:rPr>
          <w:rFonts w:ascii="Arial" w:hAnsi="Arial" w:cs="Arial"/>
          <w:sz w:val="18"/>
          <w:szCs w:val="18"/>
        </w:rPr>
        <w:t xml:space="preserve">Por serem mais susceptíveis a doenças como diarreias, onfalopatias e broncopneumonias, esses animais precisam receber em média 15% do seu peso vivo de colostro. Esse colostro rico em Igs garantirá uma resposta imunológica do animal frente a esses desafios externos ao ambiente uterino. </w:t>
      </w:r>
    </w:p>
    <w:p>
      <w:pPr>
        <w:spacing/>
        <w:jc w:val="both"/>
        <w:rPr>
          <w:rFonts w:ascii="Arial" w:hAnsi="Arial" w:cs="Arial"/>
          <w:sz w:val="18"/>
          <w:szCs w:val="18"/>
        </w:rPr>
      </w:pPr>
      <w:r>
        <w:rPr>
          <w:rFonts w:ascii="Arial" w:hAnsi="Arial" w:cs="Arial"/>
          <w:sz w:val="18"/>
          <w:szCs w:val="18"/>
        </w:rPr>
        <w:t xml:space="preserve">Além de receber o colostro é importante que seja fornecido ao terneiro o leite de transição, que por sua vez, pode ser caracterizado como o leite da segunda até a sexta ordenha da fêmea bovina, após o parto.  O leite de transição contém, assim como o colostro, altos níveis de fatores semelhantes a insulina, hormônios do crescimento e proteínas, portanto atua influenciando o desenvolvimento e proteção do trato gastrointestinal (TGI) dos bezerros. </w:t>
      </w:r>
    </w:p>
    <w:p>
      <w:pPr>
        <w:spacing/>
        <w:jc w:val="both"/>
        <w:rPr>
          <w:rFonts w:ascii="Arial" w:hAnsi="Arial" w:cs="Arial"/>
          <w:sz w:val="18"/>
          <w:szCs w:val="18"/>
        </w:rPr>
      </w:pPr>
      <w:r>
        <w:rPr>
          <w:rFonts w:ascii="Arial" w:hAnsi="Arial" w:cs="Arial"/>
          <w:sz w:val="18"/>
          <w:szCs w:val="18"/>
        </w:rPr>
        <w:t>Para tanto, o presente trabalho tem como finalidade abordar a importância do leite de transição para bezerros neonatos e sua influência sobre o desenvolvimento do TGI desses animais.</w:t>
      </w:r>
    </w:p>
    <w:p>
      <w:pPr>
        <w:spacing/>
        <w:jc w:val="both"/>
        <w:rPr>
          <w:sz w:val="18"/>
          <w:szCs w:val="18"/>
        </w:rPr>
      </w:pPr>
      <w:r>
        <w:rPr>
          <w:sz w:val="18"/>
          <w:szCs w:val="18"/>
        </w:rPr>
      </w:r>
    </w:p>
    <w:p>
      <w:pPr>
        <w:pStyle w:val="para16"/>
        <w:spacing w:before="0" w:after="96" w:beforeAutospacing="0" w:afterAutospacing="0"/>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sz w:val="18"/>
          <w:szCs w:val="18"/>
        </w:rPr>
      </w:pPr>
      <w:r>
        <w:rPr>
          <w:rFonts w:ascii="Arial" w:hAnsi="Arial" w:cs="Arial"/>
          <w:b/>
          <w:bCs/>
          <w:color w:val="000000"/>
          <w:sz w:val="18"/>
          <w:szCs w:val="18"/>
        </w:rPr>
        <w:t>MATERIAL E MÉTODOS</w:t>
      </w:r>
      <w:r>
        <w:rPr>
          <w:sz w:val="18"/>
          <w:szCs w:val="18"/>
        </w:rPr>
      </w:r>
    </w:p>
    <w:p>
      <w:pPr>
        <w:spacing/>
        <w:jc w:val="both"/>
        <w:rPr>
          <w:rFonts w:ascii="Arial" w:hAnsi="Arial" w:cs="Arial"/>
          <w:sz w:val="18"/>
          <w:szCs w:val="18"/>
        </w:rPr>
      </w:pPr>
      <w:r>
        <w:rPr>
          <w:rFonts w:ascii="Arial" w:hAnsi="Arial" w:cs="Arial"/>
          <w:sz w:val="18"/>
          <w:szCs w:val="18"/>
        </w:rPr>
        <w:t xml:space="preserve">Foram utilizados artigos, livros e informativos para construção dessa revisão de literatura com publicação entre 2016 e 2020, abordando a importância do leite de transição para bezerros neonatos. </w:t>
      </w:r>
    </w:p>
    <w:p>
      <w:pPr>
        <w:spacing/>
        <w:jc w:val="both"/>
        <w:rPr>
          <w:rFonts w:ascii="Arial" w:hAnsi="Arial" w:cs="Arial"/>
          <w:sz w:val="18"/>
          <w:szCs w:val="18"/>
        </w:rPr>
      </w:pPr>
      <w:r>
        <w:rPr>
          <w:rFonts w:ascii="Arial" w:hAnsi="Arial" w:cs="Arial"/>
          <w:sz w:val="18"/>
          <w:szCs w:val="18"/>
        </w:rPr>
      </w:r>
    </w:p>
    <w:p>
      <w:pPr>
        <w:spacing/>
        <w:jc w:val="both"/>
        <w:rPr>
          <w:rFonts w:ascii="Arial" w:hAnsi="Arial" w:cs="Arial"/>
          <w:b/>
          <w:sz w:val="18"/>
          <w:szCs w:val="18"/>
        </w:rPr>
      </w:pPr>
      <w:r>
        <w:rPr>
          <w:rFonts w:ascii="Arial" w:hAnsi="Arial" w:cs="Arial"/>
          <w:b/>
          <w:sz w:val="18"/>
          <w:szCs w:val="18"/>
        </w:rPr>
        <w:t xml:space="preserve">Palavras-chave: bezerro; ordenha; trato gastrointestinal; leite de transição; desenvolvimento. </w:t>
      </w:r>
    </w:p>
    <w:p>
      <w:pPr>
        <w:spacing/>
        <w:jc w:val="both"/>
        <w:rPr>
          <w:rFonts w:ascii="Arial" w:hAnsi="Arial" w:cs="Arial"/>
          <w:b/>
          <w:sz w:val="18"/>
          <w:szCs w:val="18"/>
        </w:rPr>
      </w:pPr>
      <w:r>
        <w:rPr>
          <w:rFonts w:ascii="Arial" w:hAnsi="Arial" w:cs="Arial"/>
          <w:b/>
          <w:sz w:val="18"/>
          <w:szCs w:val="18"/>
        </w:rPr>
      </w:r>
    </w:p>
    <w:p>
      <w:pPr>
        <w:spacing w:after="96"/>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eastAsia="Arial" w:cs="Arial"/>
          <w:b/>
          <w:color w:val="000000"/>
          <w:sz w:val="18"/>
          <w:szCs w:val="18"/>
        </w:rPr>
      </w:pPr>
      <w:r>
        <w:rPr>
          <w:rFonts w:ascii="Arial" w:hAnsi="Arial" w:eastAsia="Arial" w:cs="Arial"/>
          <w:b/>
          <w:color w:val="000000"/>
          <w:sz w:val="18"/>
          <w:szCs w:val="18"/>
        </w:rPr>
        <w:t xml:space="preserve"> REVISÃO DE LITERATURA</w:t>
      </w:r>
    </w:p>
    <w:p>
      <w:pPr>
        <w:spacing/>
        <w:jc w:val="both"/>
        <w:rPr>
          <w:rFonts w:ascii="Arial" w:hAnsi="Arial" w:cs="Arial"/>
          <w:sz w:val="18"/>
          <w:szCs w:val="18"/>
        </w:rPr>
      </w:pPr>
      <w:r>
        <w:rPr>
          <w:rFonts w:ascii="Arial" w:hAnsi="Arial" w:cs="Arial"/>
          <w:sz w:val="18"/>
          <w:szCs w:val="18"/>
        </w:rPr>
        <w:t xml:space="preserve">Os bezerros quando recém-nascidos não possuem o seu TGI completamente desenvolvido. Para que haja evolução desse sistema é necessário que os neonatos tenham uma adequada colostragem e o adequado fornecimento do leite de transição (LT) que pode ser obtido a partir da segunda ordenha da vaca. O LT possui compostos, assim como o colostro, que estimulam esse desenvolvimento </w:t>
      </w:r>
      <w:r>
        <w:rPr>
          <w:rFonts w:ascii="Arial" w:hAnsi="Arial" w:cs="Arial"/>
          <w:b/>
          <w:bCs/>
          <w:sz w:val="18"/>
          <w:szCs w:val="18"/>
        </w:rPr>
        <w:t>(Gráfico 1)</w:t>
      </w:r>
      <w:r>
        <w:rPr>
          <w:rFonts w:ascii="Arial" w:hAnsi="Arial" w:cs="Arial"/>
          <w:sz w:val="18"/>
          <w:szCs w:val="18"/>
        </w:rPr>
        <w:t xml:space="preserve"> </w:t>
      </w:r>
      <w:r>
        <w:rPr>
          <w:rFonts w:ascii="Arial" w:hAnsi="Arial" w:eastAsia="Arial" w:cs="Arial"/>
          <w:b/>
          <w:bCs/>
          <w:color w:val="000000"/>
          <w:sz w:val="18"/>
          <w:szCs w:val="18"/>
        </w:rPr>
        <w:t>⁴</w:t>
      </w:r>
      <w:r>
        <w:rPr>
          <w:rFonts w:ascii="Arial" w:hAnsi="Arial" w:cs="Arial"/>
          <w:sz w:val="18"/>
          <w:szCs w:val="18"/>
        </w:rPr>
        <w:t xml:space="preserve"> </w:t>
      </w:r>
      <w:r>
        <w:rPr>
          <w:rFonts w:ascii="Arial" w:hAnsi="Arial" w:cs="Arial"/>
          <w:b/>
          <w:bCs/>
          <w:sz w:val="18"/>
          <w:szCs w:val="18"/>
        </w:rPr>
        <w:t>.</w:t>
      </w:r>
      <w:r>
        <w:rPr>
          <w:rFonts w:ascii="Arial" w:hAnsi="Arial" w:cs="Arial"/>
          <w:sz w:val="18"/>
          <w:szCs w:val="18"/>
        </w:rPr>
        <w:t xml:space="preserve"> </w:t>
      </w:r>
    </w:p>
    <w:p>
      <w:pPr>
        <w:spacing/>
        <w:jc w:val="both"/>
        <w:rPr>
          <w:rFonts w:ascii="Arial" w:hAnsi="Arial" w:cs="Arial"/>
          <w:sz w:val="18"/>
          <w:szCs w:val="18"/>
        </w:rPr>
      </w:pPr>
      <w:r>
        <w:rPr>
          <w:rFonts w:ascii="Arial" w:hAnsi="Arial" w:cs="Arial"/>
          <w:sz w:val="18"/>
          <w:szCs w:val="18"/>
        </w:rPr>
      </w:r>
    </w:p>
    <w:p>
      <w:pPr>
        <w:spacing/>
        <w:jc w:val="both"/>
        <w:rPr>
          <w:rFonts w:ascii="Arial" w:hAnsi="Arial" w:cs="Arial"/>
          <w:b/>
          <w:bCs/>
          <w:sz w:val="18"/>
          <w:szCs w:val="18"/>
        </w:rPr>
      </w:pPr>
      <w:r>
        <w:rPr>
          <w:rFonts w:ascii="Arial" w:hAnsi="Arial" w:cs="Arial"/>
          <w:b/>
          <w:bCs/>
          <w:sz w:val="18"/>
          <w:szCs w:val="18"/>
        </w:rPr>
        <w:t>Gráfico 1- Comparação entre colostro, Leite de transição e Leite maduro</w:t>
      </w:r>
    </w:p>
    <w:p>
      <w:pPr>
        <w:spacing/>
        <w:jc w:val="both"/>
        <w:rPr>
          <w:rFonts w:ascii="Arial" w:hAnsi="Arial" w:cs="Arial"/>
          <w:sz w:val="18"/>
          <w:szCs w:val="18"/>
        </w:rPr>
      </w:pPr>
      <w:r/>
      <w:r>
        <w:rPr>
          <w:noProof/>
        </w:rPr>
        <w:drawing>
          <wp:inline distT="0" distB="0" distL="0" distR="0">
            <wp:extent cx="3203575" cy="1547495"/>
            <wp:effectExtent l="0" t="0" r="0" b="0"/>
            <wp:docPr id="1" name="Imag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4"/>
                    <pic:cNvPicPr>
                      <a:picLocks noChangeAspect="1"/>
                      <a:extLst>
                        <a:ext uri="smNativeData">
                          <sm:smNativeData xmlns:sm="smNativeData" val="SMDATA_14_OyZy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BQAAAAHogAAAAAAAAAAAAAAAAAAAAAAALAYAAAAAAAAAAAAADodAAC1EwAAhQkAAAAAAACwGAAAOh0AACgAAAAIAAAAAQAAAAEAAAA="/>
                        </a:ext>
                      </a:extLst>
                    </pic:cNvPicPr>
                  </pic:nvPicPr>
                  <pic:blipFill>
                    <a:blip r:embed="rId9"/>
                    <a:stretch>
                      <a:fillRect/>
                    </a:stretch>
                  </pic:blipFill>
                  <pic:spPr>
                    <a:xfrm>
                      <a:off x="0" y="0"/>
                      <a:ext cx="3203575" cy="1547495"/>
                    </a:xfrm>
                    <a:prstGeom prst="rect">
                      <a:avLst/>
                    </a:prstGeom>
                    <a:noFill/>
                    <a:ln w="12700">
                      <a:noFill/>
                    </a:ln>
                  </pic:spPr>
                </pic:pic>
              </a:graphicData>
            </a:graphic>
          </wp:inline>
        </w:drawing>
      </w:r>
      <w:r/>
      <w:r>
        <w:rPr>
          <w:rFonts w:ascii="Arial" w:hAnsi="Arial" w:cs="Arial"/>
          <w:sz w:val="18"/>
          <w:szCs w:val="18"/>
        </w:rPr>
      </w:r>
    </w:p>
    <w:p>
      <w:pPr>
        <w:spacing/>
        <w:jc w:val="both"/>
        <w:rPr>
          <w:rFonts w:ascii="Arial" w:hAnsi="Arial" w:cs="Arial"/>
          <w:sz w:val="18"/>
          <w:szCs w:val="18"/>
        </w:rPr>
      </w:pPr>
      <w:r>
        <w:rPr>
          <w:rFonts w:ascii="Arial" w:hAnsi="Arial" w:cs="Arial"/>
          <w:sz w:val="18"/>
          <w:szCs w:val="18"/>
        </w:rPr>
      </w:r>
    </w:p>
    <w:p>
      <w:pPr>
        <w:spacing/>
        <w:jc w:val="center"/>
        <w:rPr>
          <w:rFonts w:ascii="Arial" w:hAnsi="Arial" w:cs="Arial"/>
          <w:sz w:val="18"/>
          <w:szCs w:val="18"/>
        </w:rPr>
      </w:pPr>
      <w:r>
        <w:rPr>
          <w:rFonts w:ascii="Arial" w:hAnsi="Arial" w:cs="Arial"/>
          <w:sz w:val="18"/>
          <w:szCs w:val="18"/>
        </w:rPr>
      </w:r>
    </w:p>
    <w:p>
      <w:pPr>
        <w:spacing/>
        <w:jc w:val="center"/>
        <w:rPr>
          <w:rFonts w:ascii="Arial" w:hAnsi="Arial" w:cs="Arial"/>
          <w:sz w:val="16"/>
          <w:szCs w:val="16"/>
        </w:rPr>
      </w:pPr>
      <w:r>
        <w:rPr>
          <w:rFonts w:ascii="Arial" w:hAnsi="Arial" w:cs="Arial"/>
          <w:sz w:val="16"/>
          <w:szCs w:val="16"/>
        </w:rPr>
        <w:t xml:space="preserve"> </w:t>
      </w:r>
      <w:r>
        <w:rPr>
          <w:rFonts w:ascii="Arial" w:hAnsi="Arial" w:cs="Arial"/>
          <w:b/>
          <w:bCs/>
          <w:sz w:val="16"/>
          <w:szCs w:val="16"/>
        </w:rPr>
        <w:t xml:space="preserve"> Fonte:</w:t>
      </w:r>
      <w:r>
        <w:rPr>
          <w:rFonts w:ascii="Arial" w:hAnsi="Arial" w:cs="Arial"/>
          <w:sz w:val="16"/>
          <w:szCs w:val="16"/>
        </w:rPr>
        <w:t xml:space="preserve"> Bonanza Calf Nutrition</w:t>
      </w:r>
    </w:p>
    <w:p>
      <w:pPr>
        <w:spacing/>
        <w:jc w:val="both"/>
        <w:rPr>
          <w:rFonts w:ascii="Arial" w:hAnsi="Arial" w:cs="Arial"/>
          <w:sz w:val="18"/>
          <w:szCs w:val="18"/>
        </w:rPr>
      </w:pPr>
      <w:r>
        <w:rPr>
          <w:rFonts w:ascii="Arial" w:hAnsi="Arial" w:cs="Arial"/>
          <w:sz w:val="18"/>
          <w:szCs w:val="18"/>
        </w:rPr>
      </w:r>
    </w:p>
    <w:p>
      <w:pPr>
        <w:spacing/>
        <w:jc w:val="both"/>
        <w:rPr>
          <w:rFonts w:ascii="Arial" w:hAnsi="Arial" w:cs="Arial"/>
          <w:sz w:val="18"/>
          <w:szCs w:val="18"/>
        </w:rPr>
      </w:pPr>
      <w:r>
        <w:rPr>
          <w:rFonts w:ascii="Arial" w:hAnsi="Arial" w:cs="Arial"/>
          <w:sz w:val="18"/>
          <w:szCs w:val="18"/>
        </w:rPr>
        <w:t xml:space="preserve">Semelhante ao colostro, o leite de transição contém elevados níveis de IGF-I, nucleotídeos, hormônios de crescimento, e proteínas ligantes de IGF </w:t>
      </w:r>
      <w:r>
        <w:rPr>
          <w:rFonts w:ascii="Arial" w:hAnsi="Arial" w:cs="Arial"/>
          <w:b/>
          <w:bCs/>
          <w:vertAlign w:val="superscript"/>
        </w:rPr>
        <w:t>5</w:t>
      </w:r>
      <w:r>
        <w:rPr>
          <w:rFonts w:ascii="Arial" w:hAnsi="Arial" w:eastAsia="Arial" w:cs="Arial"/>
          <w:b/>
          <w:sz w:val="18"/>
          <w:szCs w:val="18"/>
          <w:vertAlign w:val="superscript"/>
        </w:rPr>
        <w:t>.</w:t>
      </w:r>
      <w:r>
        <w:rPr>
          <w:rFonts w:ascii="Arial" w:hAnsi="Arial" w:cs="Arial"/>
          <w:sz w:val="18"/>
          <w:szCs w:val="18"/>
        </w:rPr>
        <w:t xml:space="preserve"> Além de possuírem hormônios e proteínas antimicrobianas, por exemplo, o leite da segunda ordenha também possui quantidades relevantes de imunoglobulinas em sua composição, aproximadamente 15g/L (2,4%) de Ig</w:t>
      </w:r>
      <w:r>
        <w:rPr>
          <w:rFonts w:ascii="Arial" w:hAnsi="Arial" w:cs="Arial"/>
          <w:color w:val="000000"/>
          <w:sz w:val="18"/>
          <w:szCs w:val="18"/>
        </w:rPr>
        <w:t>¹,</w:t>
      </w:r>
      <w:r>
        <w:rPr>
          <w:rFonts w:ascii="Arial" w:hAnsi="Arial" w:cs="Arial"/>
          <w:sz w:val="18"/>
          <w:szCs w:val="18"/>
        </w:rPr>
        <w:t xml:space="preserve"> . </w:t>
      </w:r>
      <w:r>
        <w:rPr>
          <w:rFonts w:ascii="Arial" w:hAnsi="Arial" w:cs="Arial"/>
          <w:sz w:val="18"/>
          <w:szCs w:val="18"/>
        </w:rPr>
      </w:r>
    </w:p>
    <w:p>
      <w:pPr>
        <w:spacing/>
        <w:jc w:val="both"/>
        <w:rPr>
          <w:rFonts w:ascii="Arial" w:hAnsi="Arial" w:cs="Arial"/>
          <w:sz w:val="18"/>
          <w:szCs w:val="18"/>
        </w:rPr>
      </w:pPr>
      <w:r>
        <w:rPr>
          <w:rFonts w:ascii="Arial" w:hAnsi="Arial" w:cs="Arial"/>
          <w:sz w:val="18"/>
          <w:szCs w:val="18"/>
        </w:rPr>
        <w:t xml:space="preserve">A capacidade absortiva do intestino dos bezerros neonatos se encerra 24 horas após o seu nascimento. É nesse momento que as vilosidades intestinais ficam menos receptivas a absorção das proteínas que estão presentes no colostro e no leite de transição (LT), em contrapartida essas proteínas imunológicas (Igs) mesmo não sendo absorvidas se aderem a mucosa intestinal protegendo-a contra invasão de patógenos. </w:t>
      </w:r>
    </w:p>
    <w:p>
      <w:pPr>
        <w:spacing/>
        <w:jc w:val="both"/>
        <w:rPr>
          <w:rFonts w:ascii="Arial" w:hAnsi="Arial" w:cs="Arial"/>
          <w:sz w:val="18"/>
          <w:szCs w:val="18"/>
        </w:rPr>
      </w:pPr>
      <w:r>
        <w:rPr>
          <w:rFonts w:ascii="Arial" w:hAnsi="Arial" w:cs="Arial"/>
          <w:sz w:val="18"/>
          <w:szCs w:val="18"/>
        </w:rPr>
        <w:t xml:space="preserve">Estudos evidenciaram também que o leite de transição é uma boa fonte de oligossacarídeos para o intestino dos terneiros e que esse composto desencadeia um processo de proteção, inibição e estimula os mecanismos de absorção. Fischer-Tlustos (2020) </w:t>
      </w:r>
      <w:r/>
      <w:bookmarkStart w:id="1" w:name="_GoBack"/>
      <w:bookmarkEnd w:id="1"/>
      <w:r/>
      <w:r>
        <w:rPr>
          <w:rFonts w:ascii="Arial" w:hAnsi="Arial" w:cs="Arial"/>
          <w:sz w:val="18"/>
          <w:szCs w:val="18"/>
        </w:rPr>
        <w:t>relat</w:t>
      </w:r>
      <w:r>
        <w:rPr>
          <w:rFonts w:ascii="Arial" w:hAnsi="Arial" w:cs="Arial"/>
          <w:sz w:val="18"/>
          <w:szCs w:val="18"/>
        </w:rPr>
        <w:t>ou</w:t>
      </w:r>
      <w:r>
        <w:rPr>
          <w:rFonts w:ascii="Arial" w:hAnsi="Arial" w:cs="Arial"/>
          <w:sz w:val="18"/>
          <w:szCs w:val="18"/>
        </w:rPr>
        <w:t xml:space="preserve"> que o LT bovino contém concentrações mais </w:t>
      </w:r>
      <w:r>
        <w:rPr>
          <w:rFonts w:ascii="Arial" w:hAnsi="Arial" w:cs="Arial"/>
          <w:sz w:val="18"/>
          <w:szCs w:val="18"/>
        </w:rPr>
        <w:t>altas de certos oligossacarídeos do que o leite maduro</w:t>
      </w:r>
      <w:r>
        <w:rPr>
          <w:rFonts w:ascii="Arial" w:hAnsi="Arial" w:cs="Arial"/>
          <w:color w:val="000000"/>
          <w:sz w:val="18"/>
          <w:szCs w:val="18"/>
        </w:rPr>
        <w:t>³</w:t>
      </w:r>
      <w:r>
        <w:rPr>
          <w:rFonts w:ascii="Arial" w:hAnsi="Arial" w:cs="Arial"/>
          <w:sz w:val="18"/>
          <w:szCs w:val="18"/>
        </w:rPr>
        <w:t>, e que podem servir como fontes de carbono para bactérias benéficas no intestino, prevenir a adesão do patógeno ao epitélio intestinal e aumentar a absorção de imunoglobu</w:t>
      </w:r>
      <w:r>
        <w:rPr>
          <w:rFonts w:ascii="Arial" w:hAnsi="Arial" w:cs="Arial"/>
          <w:sz w:val="18"/>
          <w:szCs w:val="18"/>
        </w:rPr>
        <w:t xml:space="preserve">lina G (IgG) </w:t>
      </w:r>
      <w:r>
        <w:rPr>
          <w:rFonts w:ascii="Arial" w:hAnsi="Arial" w:cs="Arial"/>
          <w:b/>
          <w:bCs/>
          <w:color w:val="000000"/>
          <w:sz w:val="18"/>
          <w:szCs w:val="18"/>
        </w:rPr>
        <w:t>²</w:t>
      </w:r>
      <w:r>
        <w:rPr>
          <w:rFonts w:ascii="Arial" w:hAnsi="Arial" w:cs="Arial"/>
          <w:sz w:val="18"/>
          <w:szCs w:val="18"/>
        </w:rPr>
        <w:t xml:space="preserve">. </w:t>
      </w:r>
      <w:r>
        <w:rPr>
          <w:rFonts w:ascii="Arial" w:hAnsi="Arial" w:cs="Arial"/>
          <w:sz w:val="18"/>
          <w:szCs w:val="18"/>
        </w:rPr>
      </w:r>
    </w:p>
    <w:p>
      <w:pPr>
        <w:spacing/>
        <w:jc w:val="both"/>
        <w:rPr>
          <w:rFonts w:ascii="Arial" w:hAnsi="Arial" w:cs="Arial"/>
          <w:sz w:val="18"/>
          <w:szCs w:val="18"/>
        </w:rPr>
      </w:pPr>
      <w:r>
        <w:rPr>
          <w:rFonts w:ascii="Arial" w:hAnsi="Arial" w:cs="Arial"/>
          <w:sz w:val="18"/>
          <w:szCs w:val="18"/>
        </w:rPr>
        <w:t xml:space="preserve">Outro fator positivo do aleitamento dos bezerros com o leite de transição é que este contribui para   diminuição dos riscos de infecção intestinal, para uma maior área de superfície do intestino delgado e influência na altura das vilosidades intestinais </w:t>
      </w:r>
      <w:r>
        <w:rPr>
          <w:rFonts w:ascii="Arial" w:hAnsi="Arial" w:cs="Arial"/>
          <w:b/>
          <w:bCs/>
          <w:vertAlign w:val="superscript"/>
        </w:rPr>
        <w:t>5</w:t>
      </w:r>
      <w:r>
        <w:rPr>
          <w:rFonts w:ascii="Arial" w:hAnsi="Arial" w:cs="Arial"/>
          <w:sz w:val="18"/>
          <w:szCs w:val="18"/>
        </w:rPr>
        <w:t>. Os hormônios semelhantes a insulina, ou IGF, também contribuem para maturação e crescimento das vilosidades do TGI de bezerros neonatos.  O IGF é conhecido por promover a maturação do intestino delgado</w:t>
      </w:r>
      <w:r>
        <w:rPr>
          <w:rFonts w:ascii="Arial" w:hAnsi="Arial" w:eastAsia="Arial" w:cs="Arial"/>
          <w:sz w:val="18"/>
          <w:szCs w:val="18"/>
        </w:rPr>
        <w:t>⁶</w:t>
      </w:r>
      <w:r>
        <w:rPr>
          <w:rFonts w:ascii="Arial" w:hAnsi="Arial" w:cs="Arial"/>
          <w:sz w:val="18"/>
          <w:szCs w:val="18"/>
        </w:rPr>
        <w:t xml:space="preserve">. </w:t>
      </w:r>
      <w:r>
        <w:rPr>
          <w:rFonts w:ascii="Arial" w:hAnsi="Arial" w:cs="Arial"/>
          <w:sz w:val="18"/>
          <w:szCs w:val="18"/>
        </w:rPr>
      </w:r>
    </w:p>
    <w:p>
      <w:pPr>
        <w:spacing/>
        <w:jc w:val="both"/>
        <w:rPr>
          <w:rFonts w:ascii="Arial" w:hAnsi="Arial" w:cs="Arial"/>
          <w:sz w:val="18"/>
          <w:szCs w:val="18"/>
        </w:rPr>
      </w:pPr>
      <w:r>
        <w:rPr>
          <w:rFonts w:ascii="Arial" w:hAnsi="Arial" w:cs="Arial"/>
          <w:sz w:val="18"/>
          <w:szCs w:val="18"/>
        </w:rPr>
        <w:t xml:space="preserve">Esses compostos atuam, então, na saúde do animal ao longo da sua vida melhorando os mecanismos de absorção de nutrientes, visto que esse fato se dá com a capacidade e eficiência das vilosidades intestinais, e consequentemente com o melhor desempenho e funcionamento das atividades fisiológicas desses bezerros. Além disso, previne infecções causadas por microrganismos que podem invadir o lúmen intestinal. </w:t>
      </w:r>
    </w:p>
    <w:p>
      <w:pPr>
        <w:spacing/>
        <w:jc w:val="both"/>
        <w:rPr>
          <w:rFonts w:ascii="Arial" w:hAnsi="Arial" w:cs="Arial"/>
          <w:sz w:val="16"/>
          <w:szCs w:val="16"/>
        </w:rPr>
      </w:pPr>
      <w:r>
        <w:rPr>
          <w:rFonts w:ascii="Arial" w:hAnsi="Arial" w:cs="Arial"/>
          <w:sz w:val="18"/>
          <w:szCs w:val="18"/>
        </w:rPr>
        <w:t xml:space="preserve"> </w:t>
      </w:r>
      <w:r>
        <w:rPr>
          <w:rFonts w:ascii="Arial" w:hAnsi="Arial" w:cs="Arial"/>
          <w:sz w:val="16"/>
          <w:szCs w:val="16"/>
        </w:rPr>
        <w:t xml:space="preserve">               </w:t>
      </w:r>
      <w:r>
        <w:rPr>
          <w:rFonts w:ascii="Arial" w:hAnsi="Arial" w:cs="Arial"/>
          <w:sz w:val="16"/>
          <w:szCs w:val="16"/>
        </w:rPr>
      </w:r>
    </w:p>
    <w:p>
      <w:pPr>
        <w:spacing w:after="96"/>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eastAsia="Arial" w:cs="Arial"/>
          <w:b/>
          <w:color w:val="000000"/>
          <w:sz w:val="18"/>
          <w:szCs w:val="18"/>
        </w:rPr>
      </w:pPr>
      <w:r>
        <w:rPr>
          <w:rFonts w:ascii="Arial" w:hAnsi="Arial" w:eastAsia="Arial" w:cs="Arial"/>
          <w:b/>
          <w:color w:val="000000"/>
          <w:sz w:val="18"/>
          <w:szCs w:val="18"/>
        </w:rPr>
        <w:t>CONSIDERAÇÕES FINAIS</w:t>
      </w:r>
    </w:p>
    <w:p>
      <w:pPr>
        <w:spacing/>
        <w:jc w:val="both"/>
        <w:rPr>
          <w:rFonts w:ascii="Arial" w:hAnsi="Arial" w:cs="Arial"/>
          <w:sz w:val="18"/>
          <w:szCs w:val="18"/>
        </w:rPr>
      </w:pPr>
      <w:r>
        <w:rPr>
          <w:rFonts w:ascii="Arial" w:hAnsi="Arial" w:cs="Arial"/>
          <w:sz w:val="18"/>
          <w:szCs w:val="18"/>
        </w:rPr>
        <w:t>Para tanto, nota-se que o aleitamento dos bezerros com o leite de transição é de grande importância para eles, uma vez que, esse leite contribui para o crescimento, proteção e ainda influencia nos mecanismos de absorção através da maturação do tecido do trato gastrointestinal dos neonatos.</w:t>
      </w:r>
    </w:p>
    <w:p>
      <w:pPr>
        <w:spacing w:after="96"/>
        <w:rPr>
          <w:rFonts w:ascii="Arial" w:hAnsi="Arial" w:eastAsia="Arial" w:cs="Arial"/>
          <w:sz w:val="18"/>
          <w:szCs w:val="18"/>
        </w:rPr>
      </w:pPr>
      <w:r>
        <w:rPr>
          <w:rFonts w:ascii="Arial" w:hAnsi="Arial" w:eastAsia="Arial" w:cs="Arial"/>
          <w:sz w:val="18"/>
          <w:szCs w:val="18"/>
        </w:rPr>
      </w:r>
    </w:p>
    <w:p>
      <w:pPr>
        <w:spacing w:after="96"/>
        <w:rPr>
          <w:rFonts w:ascii="Arial" w:hAnsi="Arial" w:cs="Arial"/>
          <w:b/>
          <w:bCs/>
          <w:color w:val="000000"/>
          <w:sz w:val="14"/>
          <w:szCs w:val="14"/>
        </w:rPr>
      </w:pPr>
      <w:r>
        <w:rPr>
          <w:rFonts w:ascii="Arial" w:hAnsi="Arial" w:cs="Arial"/>
          <w:b/>
          <w:bCs/>
          <w:color w:val="000000"/>
          <w:sz w:val="14"/>
          <w:szCs w:val="14"/>
        </w:rPr>
        <w:t>APOIO:</w:t>
      </w:r>
    </w:p>
    <w:p>
      <w:pPr>
        <w:spacing w:after="96"/>
        <w:jc w:val="center"/>
        <w:rPr>
          <w:rFonts w:ascii="Arial" w:hAnsi="Arial" w:cs="Arial"/>
          <w:b/>
          <w:bCs/>
          <w:color w:val="000000"/>
          <w:sz w:val="14"/>
          <w:szCs w:val="14"/>
        </w:rPr>
      </w:pPr>
      <w:r>
        <w:rPr>
          <w:rFonts w:ascii="Arial" w:hAnsi="Arial" w:cs="Arial"/>
          <w:b/>
          <w:bCs/>
          <w:color w:val="000000"/>
          <w:sz w:val="14"/>
          <w:szCs w:val="14"/>
        </w:rPr>
      </w:r>
    </w:p>
    <w:p>
      <w:pPr>
        <w:spacing w:after="96"/>
        <w:jc w:val="center"/>
        <w:rPr>
          <w:rFonts w:ascii="Arial" w:hAnsi="Arial" w:cs="Arial"/>
          <w:b/>
          <w:bCs/>
          <w:color w:val="000000"/>
          <w:sz w:val="14"/>
          <w:szCs w:val="14"/>
        </w:rPr>
      </w:pPr>
      <w:r>
        <w:rPr>
          <w:noProof/>
        </w:rPr>
        <w:drawing>
          <wp:anchor distT="0" distB="0" distL="114300" distR="114300" simplePos="0" relativeHeight="251658242" behindDoc="1" locked="0" layoutInCell="0" hidden="0" allowOverlap="1">
            <wp:simplePos x="0" y="0"/>
            <wp:positionH relativeFrom="column">
              <wp:posOffset>145415</wp:posOffset>
            </wp:positionH>
            <wp:positionV relativeFrom="paragraph">
              <wp:posOffset>93345</wp:posOffset>
            </wp:positionV>
            <wp:extent cx="1104900" cy="572770"/>
            <wp:effectExtent l="0" t="0" r="0" b="0"/>
            <wp:wrapTight wrapText="bothSides">
              <wp:wrapPolygon edited="0">
                <wp:start x="1154" y="431"/>
                <wp:lineTo x="981" y="862"/>
                <wp:lineTo x="-385" y="1293"/>
                <wp:lineTo x="-1353" y="1724"/>
                <wp:lineTo x="-1353" y="2155"/>
                <wp:lineTo x="-1229" y="2586"/>
                <wp:lineTo x="-646" y="3017"/>
                <wp:lineTo x="-521" y="3448"/>
                <wp:lineTo x="-608" y="3879"/>
                <wp:lineTo x="-608" y="4310"/>
                <wp:lineTo x="-559" y="4741"/>
                <wp:lineTo x="-472" y="5173"/>
                <wp:lineTo x="99" y="5604"/>
                <wp:lineTo x="1688" y="6035"/>
                <wp:lineTo x="1428" y="6466"/>
                <wp:lineTo x="1378" y="6897"/>
                <wp:lineTo x="1341" y="7328"/>
                <wp:lineTo x="981" y="7759"/>
                <wp:lineTo x="807" y="8190"/>
                <wp:lineTo x="720" y="8621"/>
                <wp:lineTo x="583" y="9052"/>
                <wp:lineTo x="583" y="9483"/>
                <wp:lineTo x="497" y="9914"/>
                <wp:lineTo x="360" y="10345"/>
                <wp:lineTo x="149" y="10776"/>
                <wp:lineTo x="149" y="11207"/>
                <wp:lineTo x="62" y="11638"/>
                <wp:lineTo x="62" y="12931"/>
                <wp:lineTo x="99" y="13362"/>
                <wp:lineTo x="99" y="13793"/>
                <wp:lineTo x="670" y="14224"/>
                <wp:lineTo x="670" y="14655"/>
                <wp:lineTo x="807" y="15086"/>
                <wp:lineTo x="1341" y="15518"/>
                <wp:lineTo x="22109" y="15518"/>
                <wp:lineTo x="22109" y="15086"/>
                <wp:lineTo x="22059" y="14655"/>
                <wp:lineTo x="7001" y="14224"/>
                <wp:lineTo x="19328" y="13793"/>
                <wp:lineTo x="21712" y="13362"/>
                <wp:lineTo x="21799" y="12931"/>
                <wp:lineTo x="21886" y="12500"/>
                <wp:lineTo x="22022" y="12069"/>
                <wp:lineTo x="22109" y="11638"/>
                <wp:lineTo x="22146" y="11207"/>
                <wp:lineTo x="22283" y="10776"/>
                <wp:lineTo x="22370" y="10345"/>
                <wp:lineTo x="22506" y="9914"/>
                <wp:lineTo x="22593" y="9483"/>
                <wp:lineTo x="22817" y="9052"/>
                <wp:lineTo x="7659" y="8621"/>
                <wp:lineTo x="7709" y="8190"/>
                <wp:lineTo x="7659" y="7759"/>
                <wp:lineTo x="8057" y="7328"/>
                <wp:lineTo x="8057" y="6466"/>
                <wp:lineTo x="8106" y="6035"/>
                <wp:lineTo x="8280" y="5604"/>
                <wp:lineTo x="8367" y="5173"/>
                <wp:lineTo x="10179" y="4741"/>
                <wp:lineTo x="10403" y="4310"/>
                <wp:lineTo x="10663" y="3879"/>
                <wp:lineTo x="10837" y="3448"/>
                <wp:lineTo x="10887" y="3017"/>
                <wp:lineTo x="10887" y="2586"/>
                <wp:lineTo x="10800" y="2155"/>
                <wp:lineTo x="10490" y="1724"/>
                <wp:lineTo x="5760" y="1293"/>
                <wp:lineTo x="5810" y="862"/>
                <wp:lineTo x="5897" y="431"/>
                <wp:lineTo x="1154" y="431"/>
              </wp:wrapPolygon>
            </wp:wrapTight>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a:extLst>
                        <a:ext uri="smNativeData">
                          <sm:smNativeData xmlns:sm="smNativeData" val="SMDATA_14_OyZy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3QwAAAAAAAD0B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QAAAAAIwAAAAAAAAAAAAAAAAAAAgAAAOUAAAAAAAAAAgAAAJMAAADMBgAAhgMAAAAAAADwGAAADjQAACgAAAAIAAAAAQAAAAEAAAA="/>
                        </a:ext>
                      </a:extLst>
                    </pic:cNvPicPr>
                  </pic:nvPicPr>
                  <pic:blipFill>
                    <a:blip r:embed="rId10"/>
                    <a:srcRect l="32930" r="12680"/>
                    <a:stretch>
                      <a:fillRect/>
                    </a:stretch>
                  </pic:blipFill>
                  <pic:spPr>
                    <a:xfrm>
                      <a:off x="0" y="0"/>
                      <a:ext cx="1104900" cy="572770"/>
                    </a:xfrm>
                    <a:prstGeom prst="rect">
                      <a:avLst/>
                    </a:prstGeom>
                    <a:noFill/>
                    <a:ln w="12700">
                      <a:noFill/>
                    </a:ln>
                  </pic:spPr>
                </pic:pic>
              </a:graphicData>
            </a:graphic>
          </wp:anchor>
        </w:drawing>
      </w:r>
      <w:r>
        <w:rPr>
          <w:rFonts w:ascii="Arial" w:hAnsi="Arial" w:cs="Arial"/>
          <w:b/>
          <w:bCs/>
          <w:color w:val="000000"/>
          <w:sz w:val="14"/>
          <w:szCs w:val="14"/>
        </w:rPr>
        <w:t xml:space="preserve"> </w:t>
      </w:r>
    </w:p>
    <w:sectPr>
      <w:footnotePr>
        <w:pos w:val="pageBottom"/>
        <w:numFmt w:val="decimal"/>
        <w:numStart w:val="1"/>
        <w:numRestart w:val="continuous"/>
      </w:footnotePr>
      <w:endnotePr>
        <w:pos w:val="docEnd"/>
        <w:numFmt w:val="decimal"/>
        <w:numStart w:val="1"/>
        <w:numRestart w:val="continuous"/>
      </w:endnotePr>
      <w:type w:val="continuous"/>
      <w:pgSz w:h="16838" w:w="11906"/>
      <w:pgMar w:left="426" w:top="1560" w:right="424" w:bottom="720"/>
      <w:paperSrc w:first="0" w:other="0" a="0" b="0"/>
      <w:pgNumType w:fmt="decimal"/>
      <w:cols w:num="2" w:equalWidth="0" w:space="720">
        <w:col w:w="5326" w:space="402"/>
        <w:col w:w="5326"/>
      </w:cols>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Light">
    <w:panose1 w:val="020F0302020204030204"/>
    <w:charset w:val="00"/>
    <w:family w:val="swiss"/>
    <w:pitch w:val="default"/>
  </w:font>
  <w:font w:name="Segoe UI">
    <w:panose1 w:val="020B0502040204020203"/>
    <w:charset w:val="00"/>
    <w:family w:val="swiss"/>
    <w:pitch w:val="default"/>
  </w:font>
  <w:font w:name="Georgia">
    <w:panose1 w:val="02040502050405020303"/>
    <w:charset w:val="00"/>
    <w:family w:val="roman"/>
    <w:pitch w:val="default"/>
  </w:font>
  <w:font w:name="Arial Rounded MT Bold">
    <w:panose1 w:val="020F0704030504030204"/>
    <w:charset w:val="00"/>
    <w:family w:val="swiss"/>
    <w:pitch w:val="default"/>
  </w:font>
  <w:font w:name="Arial Rounded">
    <w:panose1 w:val="020B0604020202020204"/>
    <w:charset w:val="00"/>
    <w:family w:val="auto"/>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4"/>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tabs defTabSz="720">
        <w:tab w:val="center" w:pos="4252" w:leader="none"/>
        <w:tab w:val="right" w:pos="8504" w:leader="none"/>
      </w:tabs>
      <w:rPr>
        <w:rFonts w:ascii="Arial Rounded MT Bold" w:hAnsi="Arial Rounded MT Bold" w:eastAsia="Arial Rounded" w:cs="Arial Rounded"/>
        <w:color w:val="002060"/>
        <w:sz w:val="28"/>
        <w:szCs w:val="28"/>
      </w:rPr>
    </w:pPr>
    <w:r>
      <w:rPr>
        <w:noProof/>
      </w:rPr>
      <w:drawing>
        <wp:anchor distT="0" distB="0" distL="114300" distR="114300" simplePos="0" relativeHeight="251659265" behindDoc="0" locked="0" layoutInCell="0" hidden="0" allowOverlap="1">
          <wp:simplePos x="0" y="0"/>
          <wp:positionH relativeFrom="margin">
            <wp:align>right</wp:align>
          </wp:positionH>
          <wp:positionV relativeFrom="paragraph">
            <wp:posOffset>-133350</wp:posOffset>
          </wp:positionV>
          <wp:extent cx="762000" cy="724535"/>
          <wp:effectExtent l="0" t="0" r="0" b="0"/>
          <wp:wrapNone/>
          <wp:docPr id="10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 1"/>
                  <pic:cNvPicPr>
                    <a:picLocks noChangeAspect="1"/>
                    <a:extLst>
                      <a:ext uri="smNativeData">
                        <sm:smNativeData xmlns:sm="smNativeData" val="SMDATA_14_OyZy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DAAAAAQAAAAAAAAAAAAAAAgAAAC7///+wBAAAdQQAAAAAAAAqKAAA8gEAACgAAAAIAAAAAQAAAAEAAAA="/>
                      </a:ext>
                    </a:extLst>
                  </pic:cNvPicPr>
                </pic:nvPicPr>
                <pic:blipFill>
                  <a:blip r:embed="rId1"/>
                  <a:stretch>
                    <a:fillRect/>
                  </a:stretch>
                </pic:blipFill>
                <pic:spPr>
                  <a:xfrm>
                    <a:off x="0" y="0"/>
                    <a:ext cx="762000" cy="724535"/>
                  </a:xfrm>
                  <a:prstGeom prst="rect">
                    <a:avLst/>
                  </a:prstGeom>
                  <a:noFill/>
                  <a:ln w="12700">
                    <a:noFill/>
                  </a:ln>
                </pic:spPr>
              </pic:pic>
            </a:graphicData>
          </a:graphic>
        </wp:anchor>
      </w:drawing>
    </w:r>
    <w:r>
      <w:rPr>
        <w:rFonts w:ascii="Arial Rounded MT Bold" w:hAnsi="Arial Rounded MT Bold" w:eastAsia="Arial Rounded" w:cs="Arial Rounded"/>
        <w:color w:val="002060"/>
        <w:sz w:val="28"/>
        <w:szCs w:val="28"/>
      </w:rPr>
      <w:t xml:space="preserve">VII Colóquio Técnico Científico de Saúde Única, </w:t>
    </w:r>
  </w:p>
  <w:p>
    <w:pPr>
      <w:spacing/>
      <w:jc w:val="center"/>
      <w:tabs defTabSz="720">
        <w:tab w:val="center" w:pos="5670" w:leader="none"/>
        <w:tab w:val="right" w:pos="11056" w:leader="none"/>
      </w:tabs>
      <w:rPr>
        <w:rFonts w:ascii="Arial Rounded MT Bold" w:hAnsi="Arial Rounded MT Bold" w:eastAsia="Arial Rounded" w:cs="Arial Rounded"/>
        <w:color w:val="002060"/>
        <w:sz w:val="16"/>
        <w:szCs w:val="16"/>
      </w:rPr>
    </w:pPr>
    <w:r>
      <w:rPr>
        <w:rFonts w:ascii="Arial Rounded MT Bold" w:hAnsi="Arial Rounded MT Bold" w:eastAsia="Arial Rounded" w:cs="Arial Rounded"/>
        <w:color w:val="002060"/>
        <w:sz w:val="28"/>
        <w:szCs w:val="28"/>
      </w:rPr>
      <w:t>Ciências Agrárias e Meio Ambiente</w:t>
    </w:r>
    <w:r>
      <w:rPr>
        <w:rFonts w:ascii="Arial Rounded MT Bold" w:hAnsi="Arial Rounded MT Bold" w:eastAsia="Arial Rounded" w:cs="Arial Rounded"/>
        <w:color w:val="002060"/>
        <w:sz w:val="16"/>
        <w:szCs w:val="16"/>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9"/>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82"/>
    </w:tmLastPosCaret>
    <w:tmLastPosAnchor>
      <w:tmLastPosPgfIdx w:val="0"/>
      <w:tmLastPosIdx w:val="0"/>
    </w:tmLastPosAnchor>
    <w:tmLastPosTblRect w:left="0" w:top="0" w:right="0" w:bottom="0"/>
  </w:tmLastPos>
  <w:tmAppRevision w:date="161809362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jc w:val="both"/>
      <w:keepNext/>
      <w:outlineLvl w:val="2"/>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cs="Arial"/>
      <w:b/>
      <w:bCs/>
      <w:sz w:val="18"/>
      <w:szCs w:val="18"/>
    </w:rPr>
  </w:style>
  <w:style w:type="paragraph" w:styleId="para4">
    <w:name w:val="heading 4"/>
    <w:qFormat/>
    <w:basedOn w:val="para0"/>
    <w:next w:val="para0"/>
    <w:pPr>
      <w:spacing w:before="40"/>
      <w:keepNext/>
      <w:outlineLvl w:val="3"/>
      <w:keepLines/>
    </w:pPr>
    <w:rPr>
      <w:rFonts w:ascii="Calibri Light" w:hAnsi="Calibri Light" w:eastAsia="Calibri Light"/>
      <w:i/>
      <w:iCs/>
      <w:color w:val="2f5496"/>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rPr>
  </w:style>
  <w:style w:type="paragraph" w:styleId="para7">
    <w:name w:val="Title"/>
    <w:qFormat/>
    <w:basedOn w:val="para0"/>
    <w:next w:val="para0"/>
    <w:pPr>
      <w:spacing w:before="480" w:after="120"/>
      <w:keepNext/>
      <w:keepLines/>
    </w:pPr>
    <w:rPr>
      <w:b/>
      <w:sz w:val="72"/>
      <w:szCs w:val="72"/>
    </w:rPr>
  </w:style>
  <w:style w:type="paragraph" w:styleId="para8" w:customStyle="1">
    <w:name w:val="annotation text"/>
    <w:qFormat/>
    <w:basedOn w:val="para0"/>
    <w:pPr>
      <w:spacing/>
      <w:jc w:val="center"/>
    </w:pPr>
    <w:rPr>
      <w:color w:val="ff0000"/>
    </w:rPr>
  </w:style>
  <w:style w:type="paragraph" w:styleId="para9">
    <w:name w:val="Balloon Text"/>
    <w:qFormat/>
    <w:basedOn w:val="para0"/>
    <w:rPr>
      <w:rFonts w:ascii="Segoe UI" w:hAnsi="Segoe UI" w:cs="Segoe UI"/>
      <w:sz w:val="18"/>
      <w:szCs w:val="18"/>
    </w:rPr>
  </w:style>
  <w:style w:type="paragraph" w:styleId="para10">
    <w:name w:val="Body Text 2"/>
    <w:qFormat/>
    <w:basedOn w:val="para0"/>
    <w:rPr>
      <w:rFonts w:ascii="Arial" w:hAnsi="Arial" w:cs="Arial"/>
      <w:color w:val="000000"/>
      <w:sz w:val="18"/>
      <w:szCs w:val="18"/>
    </w:rPr>
  </w:style>
  <w:style w:type="paragraph" w:styleId="para11">
    <w:name w:val="Body Text Indent"/>
    <w:qFormat/>
    <w:basedOn w:val="para0"/>
    <w:pPr>
      <w:ind w:left="283"/>
      <w:spacing w:after="120"/>
    </w:pPr>
  </w:style>
  <w:style w:type="paragraph" w:styleId="para12">
    <w:name w:val="Footnote Text"/>
    <w:qFormat/>
    <w:basedOn w:val="para0"/>
  </w:style>
  <w:style w:type="paragraph" w:styleId="para13">
    <w:name w:val="Header"/>
    <w:qFormat/>
    <w:basedOn w:val="para0"/>
    <w:pPr>
      <w:tabs defTabSz="720">
        <w:tab w:val="center" w:pos="4252" w:leader="none"/>
        <w:tab w:val="right" w:pos="8504" w:leader="none"/>
      </w:tabs>
    </w:pPr>
  </w:style>
  <w:style w:type="paragraph" w:styleId="para14">
    <w:name w:val="Footer"/>
    <w:qFormat/>
    <w:basedOn w:val="para0"/>
    <w:pPr>
      <w:tabs defTabSz="720">
        <w:tab w:val="center" w:pos="4252" w:leader="none"/>
        <w:tab w:val="right" w:pos="8504" w:leader="none"/>
      </w:tabs>
    </w:pPr>
  </w:style>
  <w:style w:type="paragraph" w:styleId="para15">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6">
    <w:name w:val="Normal (Web)"/>
    <w:qFormat/>
    <w:basedOn w:val="para0"/>
    <w:pPr>
      <w:spacing w:before="100" w:after="100" w:beforeAutospacing="1" w:afterAutospacing="1"/>
    </w:pPr>
    <w:rPr>
      <w:sz w:val="24"/>
      <w:szCs w:val="24"/>
    </w:rPr>
  </w:style>
  <w:style w:type="character" w:styleId="char0" w:default="1">
    <w:name w:val="Default Paragraph Font"/>
  </w:style>
  <w:style w:type="character" w:styleId="char1" w:customStyle="1">
    <w:name w:val="Texto de comentário Char"/>
    <w:basedOn w:val="char0"/>
    <w:rPr>
      <w:rFonts w:ascii="Times New Roman" w:hAnsi="Times New Roman" w:eastAsia="Times New Roman" w:cs="Times New Roman"/>
      <w:color w:val="ff0000"/>
      <w:sz w:val="20"/>
      <w:szCs w:val="20"/>
    </w:rPr>
  </w:style>
  <w:style w:type="character" w:styleId="char2" w:customStyle="1">
    <w:name w:val="annotation reference"/>
    <w:basedOn w:val="char0"/>
    <w:rPr>
      <w:sz w:val="16"/>
      <w:szCs w:val="16"/>
    </w:rPr>
  </w:style>
  <w:style w:type="character" w:styleId="char3" w:customStyle="1">
    <w:name w:val="Texto de balão Char"/>
    <w:basedOn w:val="char0"/>
    <w:rPr>
      <w:rFonts w:ascii="Segoe UI" w:hAnsi="Segoe UI" w:eastAsia="Times New Roman" w:cs="Segoe UI"/>
      <w:sz w:val="18"/>
      <w:szCs w:val="18"/>
    </w:rPr>
  </w:style>
  <w:style w:type="character" w:styleId="char4" w:customStyle="1">
    <w:name w:val="Corpo de texto 2 Char"/>
    <w:basedOn w:val="char0"/>
    <w:rPr>
      <w:rFonts w:ascii="Arial" w:hAnsi="Arial" w:eastAsia="Times New Roman" w:cs="Arial"/>
      <w:color w:val="000000"/>
      <w:sz w:val="18"/>
      <w:szCs w:val="18"/>
    </w:rPr>
  </w:style>
  <w:style w:type="character" w:styleId="char5" w:customStyle="1">
    <w:name w:val="Título 3 Char"/>
    <w:basedOn w:val="char0"/>
    <w:rPr>
      <w:rFonts w:ascii="Arial" w:hAnsi="Arial" w:eastAsia="Times New Roman" w:cs="Arial"/>
      <w:b/>
      <w:bCs/>
      <w:sz w:val="18"/>
      <w:szCs w:val="18"/>
    </w:rPr>
  </w:style>
  <w:style w:type="character" w:styleId="char6" w:customStyle="1">
    <w:name w:val="Título 4 Char"/>
    <w:basedOn w:val="char0"/>
    <w:rPr>
      <w:rFonts w:ascii="Calibri Light" w:hAnsi="Calibri Light" w:eastAsia="Calibri Light"/>
      <w:i/>
      <w:iCs/>
      <w:color w:val="2f5496"/>
      <w:sz w:val="20"/>
      <w:szCs w:val="20"/>
    </w:rPr>
  </w:style>
  <w:style w:type="character" w:styleId="char7" w:customStyle="1">
    <w:name w:val="Recuo de corpo de texto Char"/>
    <w:basedOn w:val="char0"/>
    <w:rPr>
      <w:rFonts w:ascii="Times New Roman" w:hAnsi="Times New Roman" w:eastAsia="Times New Roman" w:cs="Times New Roman"/>
      <w:sz w:val="20"/>
      <w:szCs w:val="20"/>
    </w:rPr>
  </w:style>
  <w:style w:type="character" w:styleId="char8" w:customStyle="1">
    <w:name w:val="Texto de nota de rodapé Char"/>
    <w:basedOn w:val="char0"/>
    <w:rPr>
      <w:rFonts w:ascii="Times New Roman" w:hAnsi="Times New Roman" w:eastAsia="Times New Roman" w:cs="Times New Roman"/>
      <w:sz w:val="20"/>
      <w:szCs w:val="20"/>
    </w:rPr>
  </w:style>
  <w:style w:type="character" w:styleId="char9">
    <w:name w:val="Footnote Reference"/>
    <w:basedOn w:val="char0"/>
    <w:rPr>
      <w:vertAlign w:val="superscript"/>
    </w:rPr>
  </w:style>
  <w:style w:type="character" w:styleId="char10" w:customStyle="1">
    <w:name w:val="Cabeçalho Char"/>
    <w:basedOn w:val="char0"/>
    <w:rPr>
      <w:rFonts w:ascii="Times New Roman" w:hAnsi="Times New Roman" w:eastAsia="Times New Roman" w:cs="Times New Roman"/>
      <w:sz w:val="20"/>
      <w:szCs w:val="20"/>
    </w:rPr>
  </w:style>
  <w:style w:type="character" w:styleId="char11" w:customStyle="1">
    <w:name w:val="Rodapé Char"/>
    <w:basedOn w:val="char0"/>
    <w:rPr>
      <w:rFonts w:ascii="Times New Roman" w:hAnsi="Times New Roman" w:eastAsia="Times New Roman" w:cs="Times New Roman"/>
      <w:sz w:val="20"/>
      <w:szCs w:val="20"/>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jc w:val="both"/>
      <w:keepNext/>
      <w:outlineLvl w:val="2"/>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cs="Arial"/>
      <w:b/>
      <w:bCs/>
      <w:sz w:val="18"/>
      <w:szCs w:val="18"/>
    </w:rPr>
  </w:style>
  <w:style w:type="paragraph" w:styleId="para4">
    <w:name w:val="heading 4"/>
    <w:qFormat/>
    <w:basedOn w:val="para0"/>
    <w:next w:val="para0"/>
    <w:pPr>
      <w:spacing w:before="40"/>
      <w:keepNext/>
      <w:outlineLvl w:val="3"/>
      <w:keepLines/>
    </w:pPr>
    <w:rPr>
      <w:rFonts w:ascii="Calibri Light" w:hAnsi="Calibri Light" w:eastAsia="Calibri Light"/>
      <w:i/>
      <w:iCs/>
      <w:color w:val="2f5496"/>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rPr>
  </w:style>
  <w:style w:type="paragraph" w:styleId="para7">
    <w:name w:val="Title"/>
    <w:qFormat/>
    <w:basedOn w:val="para0"/>
    <w:next w:val="para0"/>
    <w:pPr>
      <w:spacing w:before="480" w:after="120"/>
      <w:keepNext/>
      <w:keepLines/>
    </w:pPr>
    <w:rPr>
      <w:b/>
      <w:sz w:val="72"/>
      <w:szCs w:val="72"/>
    </w:rPr>
  </w:style>
  <w:style w:type="paragraph" w:styleId="para8" w:customStyle="1">
    <w:name w:val="annotation text"/>
    <w:qFormat/>
    <w:basedOn w:val="para0"/>
    <w:pPr>
      <w:spacing/>
      <w:jc w:val="center"/>
    </w:pPr>
    <w:rPr>
      <w:color w:val="ff0000"/>
    </w:rPr>
  </w:style>
  <w:style w:type="paragraph" w:styleId="para9">
    <w:name w:val="Balloon Text"/>
    <w:qFormat/>
    <w:basedOn w:val="para0"/>
    <w:rPr>
      <w:rFonts w:ascii="Segoe UI" w:hAnsi="Segoe UI" w:cs="Segoe UI"/>
      <w:sz w:val="18"/>
      <w:szCs w:val="18"/>
    </w:rPr>
  </w:style>
  <w:style w:type="paragraph" w:styleId="para10">
    <w:name w:val="Body Text 2"/>
    <w:qFormat/>
    <w:basedOn w:val="para0"/>
    <w:rPr>
      <w:rFonts w:ascii="Arial" w:hAnsi="Arial" w:cs="Arial"/>
      <w:color w:val="000000"/>
      <w:sz w:val="18"/>
      <w:szCs w:val="18"/>
    </w:rPr>
  </w:style>
  <w:style w:type="paragraph" w:styleId="para11">
    <w:name w:val="Body Text Indent"/>
    <w:qFormat/>
    <w:basedOn w:val="para0"/>
    <w:pPr>
      <w:ind w:left="283"/>
      <w:spacing w:after="120"/>
    </w:pPr>
  </w:style>
  <w:style w:type="paragraph" w:styleId="para12">
    <w:name w:val="Footnote Text"/>
    <w:qFormat/>
    <w:basedOn w:val="para0"/>
  </w:style>
  <w:style w:type="paragraph" w:styleId="para13">
    <w:name w:val="Header"/>
    <w:qFormat/>
    <w:basedOn w:val="para0"/>
    <w:pPr>
      <w:tabs defTabSz="720">
        <w:tab w:val="center" w:pos="4252" w:leader="none"/>
        <w:tab w:val="right" w:pos="8504" w:leader="none"/>
      </w:tabs>
    </w:pPr>
  </w:style>
  <w:style w:type="paragraph" w:styleId="para14">
    <w:name w:val="Footer"/>
    <w:qFormat/>
    <w:basedOn w:val="para0"/>
    <w:pPr>
      <w:tabs defTabSz="720">
        <w:tab w:val="center" w:pos="4252" w:leader="none"/>
        <w:tab w:val="right" w:pos="8504" w:leader="none"/>
      </w:tabs>
    </w:pPr>
  </w:style>
  <w:style w:type="paragraph" w:styleId="para15">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6">
    <w:name w:val="Normal (Web)"/>
    <w:qFormat/>
    <w:basedOn w:val="para0"/>
    <w:pPr>
      <w:spacing w:before="100" w:after="100" w:beforeAutospacing="1" w:afterAutospacing="1"/>
    </w:pPr>
    <w:rPr>
      <w:sz w:val="24"/>
      <w:szCs w:val="24"/>
    </w:rPr>
  </w:style>
  <w:style w:type="character" w:styleId="char0" w:default="1">
    <w:name w:val="Default Paragraph Font"/>
  </w:style>
  <w:style w:type="character" w:styleId="char1" w:customStyle="1">
    <w:name w:val="Texto de comentário Char"/>
    <w:basedOn w:val="char0"/>
    <w:rPr>
      <w:rFonts w:ascii="Times New Roman" w:hAnsi="Times New Roman" w:eastAsia="Times New Roman" w:cs="Times New Roman"/>
      <w:color w:val="ff0000"/>
      <w:sz w:val="20"/>
      <w:szCs w:val="20"/>
    </w:rPr>
  </w:style>
  <w:style w:type="character" w:styleId="char2" w:customStyle="1">
    <w:name w:val="annotation reference"/>
    <w:basedOn w:val="char0"/>
    <w:rPr>
      <w:sz w:val="16"/>
      <w:szCs w:val="16"/>
    </w:rPr>
  </w:style>
  <w:style w:type="character" w:styleId="char3" w:customStyle="1">
    <w:name w:val="Texto de balão Char"/>
    <w:basedOn w:val="char0"/>
    <w:rPr>
      <w:rFonts w:ascii="Segoe UI" w:hAnsi="Segoe UI" w:eastAsia="Times New Roman" w:cs="Segoe UI"/>
      <w:sz w:val="18"/>
      <w:szCs w:val="18"/>
    </w:rPr>
  </w:style>
  <w:style w:type="character" w:styleId="char4" w:customStyle="1">
    <w:name w:val="Corpo de texto 2 Char"/>
    <w:basedOn w:val="char0"/>
    <w:rPr>
      <w:rFonts w:ascii="Arial" w:hAnsi="Arial" w:eastAsia="Times New Roman" w:cs="Arial"/>
      <w:color w:val="000000"/>
      <w:sz w:val="18"/>
      <w:szCs w:val="18"/>
    </w:rPr>
  </w:style>
  <w:style w:type="character" w:styleId="char5" w:customStyle="1">
    <w:name w:val="Título 3 Char"/>
    <w:basedOn w:val="char0"/>
    <w:rPr>
      <w:rFonts w:ascii="Arial" w:hAnsi="Arial" w:eastAsia="Times New Roman" w:cs="Arial"/>
      <w:b/>
      <w:bCs/>
      <w:sz w:val="18"/>
      <w:szCs w:val="18"/>
    </w:rPr>
  </w:style>
  <w:style w:type="character" w:styleId="char6" w:customStyle="1">
    <w:name w:val="Título 4 Char"/>
    <w:basedOn w:val="char0"/>
    <w:rPr>
      <w:rFonts w:ascii="Calibri Light" w:hAnsi="Calibri Light" w:eastAsia="Calibri Light"/>
      <w:i/>
      <w:iCs/>
      <w:color w:val="2f5496"/>
      <w:sz w:val="20"/>
      <w:szCs w:val="20"/>
    </w:rPr>
  </w:style>
  <w:style w:type="character" w:styleId="char7" w:customStyle="1">
    <w:name w:val="Recuo de corpo de texto Char"/>
    <w:basedOn w:val="char0"/>
    <w:rPr>
      <w:rFonts w:ascii="Times New Roman" w:hAnsi="Times New Roman" w:eastAsia="Times New Roman" w:cs="Times New Roman"/>
      <w:sz w:val="20"/>
      <w:szCs w:val="20"/>
    </w:rPr>
  </w:style>
  <w:style w:type="character" w:styleId="char8" w:customStyle="1">
    <w:name w:val="Texto de nota de rodapé Char"/>
    <w:basedOn w:val="char0"/>
    <w:rPr>
      <w:rFonts w:ascii="Times New Roman" w:hAnsi="Times New Roman" w:eastAsia="Times New Roman" w:cs="Times New Roman"/>
      <w:sz w:val="20"/>
      <w:szCs w:val="20"/>
    </w:rPr>
  </w:style>
  <w:style w:type="character" w:styleId="char9">
    <w:name w:val="Footnote Reference"/>
    <w:basedOn w:val="char0"/>
    <w:rPr>
      <w:vertAlign w:val="superscript"/>
    </w:rPr>
  </w:style>
  <w:style w:type="character" w:styleId="char10" w:customStyle="1">
    <w:name w:val="Cabeçalho Char"/>
    <w:basedOn w:val="char0"/>
    <w:rPr>
      <w:rFonts w:ascii="Times New Roman" w:hAnsi="Times New Roman" w:eastAsia="Times New Roman" w:cs="Times New Roman"/>
      <w:sz w:val="20"/>
      <w:szCs w:val="20"/>
    </w:rPr>
  </w:style>
  <w:style w:type="character" w:styleId="char11" w:customStyle="1">
    <w:name w:val="Rodapé Char"/>
    <w:basedOn w:val="char0"/>
    <w:rPr>
      <w:rFonts w:ascii="Times New Roman" w:hAnsi="Times New Roman" w:eastAsia="Times New Roman" w:cs="Times New Roman"/>
      <w:sz w:val="20"/>
      <w:szCs w:val="20"/>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
  <cp:revision>9</cp:revision>
  <dcterms:created xsi:type="dcterms:W3CDTF">2021-03-29T20:00:00Z</dcterms:created>
  <dcterms:modified xsi:type="dcterms:W3CDTF">2021-04-10T22:27:07Z</dcterms:modified>
</cp:coreProperties>
</file>