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E5FBD" w14:textId="77777777" w:rsidR="008F1DA1" w:rsidRDefault="008F1DA1">
      <w:pPr>
        <w:spacing w:line="360" w:lineRule="auto"/>
        <w:rPr>
          <w:sz w:val="24"/>
          <w:szCs w:val="24"/>
        </w:rPr>
      </w:pPr>
    </w:p>
    <w:p w14:paraId="45CBAD40" w14:textId="77777777" w:rsidR="008F1DA1" w:rsidRDefault="008F1DA1">
      <w:pPr>
        <w:spacing w:line="360" w:lineRule="auto"/>
        <w:jc w:val="center"/>
        <w:rPr>
          <w:b/>
          <w:bCs/>
          <w:sz w:val="24"/>
          <w:szCs w:val="24"/>
        </w:rPr>
      </w:pPr>
    </w:p>
    <w:p w14:paraId="31C2570E" w14:textId="77777777" w:rsidR="008F1DA1" w:rsidRDefault="008F1DA1">
      <w:pPr>
        <w:spacing w:line="360" w:lineRule="auto"/>
        <w:jc w:val="center"/>
        <w:rPr>
          <w:b/>
          <w:bCs/>
          <w:sz w:val="24"/>
          <w:szCs w:val="24"/>
        </w:rPr>
      </w:pPr>
    </w:p>
    <w:p w14:paraId="0E966132" w14:textId="77777777" w:rsidR="003B4C22" w:rsidRPr="003B4C22" w:rsidRDefault="003B4C22" w:rsidP="003B4C22">
      <w:pPr>
        <w:pStyle w:val="Corpodetexto"/>
        <w:spacing w:line="360" w:lineRule="auto"/>
        <w:jc w:val="center"/>
        <w:rPr>
          <w:rFonts w:ascii="Times New Roman" w:hAnsi="Times New Roman" w:cs="Times New Roman"/>
          <w:b/>
        </w:rPr>
      </w:pPr>
      <w:r w:rsidRPr="003B4C22">
        <w:rPr>
          <w:rFonts w:ascii="Times New Roman" w:hAnsi="Times New Roman" w:cs="Times New Roman"/>
          <w:b/>
          <w:bCs/>
        </w:rPr>
        <w:t>ABORDAGEM CLÍNICA E CIRURGICA DE FRATURA ESPIRAL DO MEMBRO PÉLVICO DIREITO EM CADELA SEM RAÇA DEFINIDA: RELATO DE CASO</w:t>
      </w:r>
    </w:p>
    <w:p w14:paraId="17D24305" w14:textId="77777777" w:rsidR="008F1DA1" w:rsidRDefault="008F1DA1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7861D920" w14:textId="3B4B39C5" w:rsidR="008F1DA1" w:rsidRDefault="003B4C22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Francisco Gabriel dos Santos Sousa</w:t>
      </w:r>
      <w:r>
        <w:rPr>
          <w:sz w:val="24"/>
          <w:szCs w:val="24"/>
          <w:vertAlign w:val="superscript"/>
        </w:rPr>
        <w:footnoteReference w:id="1"/>
      </w:r>
    </w:p>
    <w:p w14:paraId="5CD3974F" w14:textId="77EF8E64" w:rsidR="008F1DA1" w:rsidRDefault="003B4C22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Francisco </w:t>
      </w:r>
      <w:proofErr w:type="spellStart"/>
      <w:r>
        <w:rPr>
          <w:sz w:val="24"/>
          <w:szCs w:val="24"/>
        </w:rPr>
        <w:t>Jâmison</w:t>
      </w:r>
      <w:proofErr w:type="spellEnd"/>
      <w:r>
        <w:rPr>
          <w:sz w:val="24"/>
          <w:szCs w:val="24"/>
        </w:rPr>
        <w:t xml:space="preserve"> Costa Ximendes</w:t>
      </w:r>
      <w:r w:rsidR="004D6A0E">
        <w:rPr>
          <w:sz w:val="24"/>
          <w:szCs w:val="24"/>
        </w:rPr>
        <w:t>¹</w:t>
      </w:r>
      <w:r>
        <w:rPr>
          <w:sz w:val="24"/>
          <w:szCs w:val="24"/>
        </w:rPr>
        <w:t xml:space="preserve"> </w:t>
      </w:r>
    </w:p>
    <w:p w14:paraId="3C60A71D" w14:textId="110A6355" w:rsidR="008F1DA1" w:rsidRDefault="003B4C22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Clidenor Mendes de Cerqueira Neto</w:t>
      </w:r>
      <w:r w:rsidR="004D6A0E">
        <w:rPr>
          <w:sz w:val="24"/>
          <w:szCs w:val="24"/>
        </w:rPr>
        <w:t>¹</w:t>
      </w:r>
    </w:p>
    <w:p w14:paraId="62F7CF36" w14:textId="08AF6CBA" w:rsidR="008F1DA1" w:rsidRDefault="003B4C22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Paloma Medeiros Ferreira</w:t>
      </w:r>
      <w:r w:rsidR="004D6A0E">
        <w:rPr>
          <w:sz w:val="24"/>
          <w:szCs w:val="24"/>
          <w:vertAlign w:val="superscript"/>
        </w:rPr>
        <w:t>²</w:t>
      </w:r>
    </w:p>
    <w:p w14:paraId="40467705" w14:textId="102F6866" w:rsidR="004D6A0E" w:rsidRPr="004D6A0E" w:rsidRDefault="00F34547" w:rsidP="004D6A0E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Francisca Dácia Arruda Viana</w:t>
      </w:r>
      <w:r w:rsidR="004D6A0E">
        <w:rPr>
          <w:sz w:val="24"/>
          <w:szCs w:val="24"/>
          <w:vertAlign w:val="superscript"/>
        </w:rPr>
        <w:t>²</w:t>
      </w:r>
    </w:p>
    <w:p w14:paraId="57D535FD" w14:textId="3B1930F8" w:rsidR="008F1DA1" w:rsidRDefault="008F1DA1" w:rsidP="004D6A0E">
      <w:pPr>
        <w:tabs>
          <w:tab w:val="left" w:pos="2060"/>
          <w:tab w:val="left" w:pos="7240"/>
        </w:tabs>
        <w:spacing w:line="360" w:lineRule="auto"/>
        <w:rPr>
          <w:sz w:val="24"/>
          <w:szCs w:val="24"/>
        </w:rPr>
      </w:pPr>
    </w:p>
    <w:p w14:paraId="29850FEA" w14:textId="77777777" w:rsidR="008F1DA1" w:rsidRDefault="008F1DA1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70C05826" w14:textId="77777777" w:rsidR="008F1DA1" w:rsidRDefault="00000000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418AF9B4" w14:textId="77777777" w:rsidR="00EE7D5F" w:rsidRPr="00EE7D5F" w:rsidRDefault="00EE7D5F" w:rsidP="00EE7D5F">
      <w:pPr>
        <w:pStyle w:val="Corpodetexto"/>
        <w:spacing w:line="360" w:lineRule="auto"/>
        <w:jc w:val="both"/>
        <w:rPr>
          <w:rFonts w:ascii="Times New Roman" w:hAnsi="Times New Roman" w:cs="Times New Roman"/>
          <w:bCs/>
          <w:lang w:val="pt-BR"/>
        </w:rPr>
      </w:pPr>
      <w:r w:rsidRPr="00EE7D5F">
        <w:rPr>
          <w:rFonts w:ascii="Times New Roman" w:hAnsi="Times New Roman" w:cs="Times New Roman"/>
          <w:bCs/>
          <w:lang w:val="pt-BR"/>
        </w:rPr>
        <w:t>O presente artigo teve como objetivo descrever o atendimento clínico, achados radiográficos, conduta cirúrgica e a evolução pós-operatória de uma cadela sem raça definida acometida por fratura espiral completa de tíbia e fíbula no membro pélvico direito. O estudo foi desenvolvido por meio de revisão bibliográfica narrativa associada a um relato de caso clínico. A cadela apresentava claudicação, edema e processo inflamatório no membro acometido, sendo submetida à avaliação radiográfica, que evidenciou fratura completa em espiral na diáfise distal da tíbia e fíbula, associada ao desalinhamento ósseo e aumento de volume dos tecidos moles adjacentes. Considerando a gravidade da lesão, comprometimento funcional do membro e as condições de manejo do animal, optou-se pela amputação completa do membro pélvico direito. Após o procedimento cirúrgico, foram instituídos protocolos de analgesia, anti-inflamatórios, antibioticoterapia e cuidados locais com a ferida cirúrgica. Durante o acompanhamento pós-operatório, observou-se evolução clínica satisfatória, com adequada cicatrização, ausência de complicações infecciosas e adaptação progressiva à locomoção em três membros. Os resultados demonstraram que a amputação, quando corretamente indicada, pode representar uma alternativa terapêutica eficaz para casos de fraturas graves, proporcionando recuperação satisfatória, redução do sofrimento e melhoria da qualidade de vida dos pacientes.</w:t>
      </w:r>
    </w:p>
    <w:p w14:paraId="78A68738" w14:textId="77777777" w:rsidR="00365A54" w:rsidRDefault="00365A54">
      <w:pPr>
        <w:spacing w:line="360" w:lineRule="auto"/>
        <w:rPr>
          <w:b/>
          <w:bCs/>
          <w:sz w:val="24"/>
          <w:szCs w:val="24"/>
        </w:rPr>
      </w:pPr>
    </w:p>
    <w:p w14:paraId="5E79892B" w14:textId="279E5C4B" w:rsidR="008F1DA1" w:rsidRDefault="00000000">
      <w:pPr>
        <w:spacing w:line="360" w:lineRule="auto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EE7D5F" w:rsidRPr="00EE7D5F">
        <w:rPr>
          <w:bCs/>
          <w:sz w:val="24"/>
          <w:szCs w:val="24"/>
        </w:rPr>
        <w:t>Ortopedia veterinária; Fratura de tíbia e fíbula; Amputação de membro; Diagnóstico radiográfico.</w:t>
      </w:r>
    </w:p>
    <w:p w14:paraId="77901F98" w14:textId="77777777" w:rsidR="008F1DA1" w:rsidRDefault="008F1DA1">
      <w:pPr>
        <w:spacing w:line="360" w:lineRule="auto"/>
        <w:rPr>
          <w:sz w:val="24"/>
          <w:szCs w:val="24"/>
        </w:rPr>
      </w:pPr>
    </w:p>
    <w:p w14:paraId="6F18F66A" w14:textId="77777777" w:rsidR="008F1DA1" w:rsidRDefault="00000000">
      <w:pPr>
        <w:spacing w:line="360" w:lineRule="auto"/>
        <w:rPr>
          <w:sz w:val="24"/>
          <w:szCs w:val="24"/>
        </w:rPr>
      </w:pPr>
      <w:bookmarkStart w:id="1" w:name="f5vk82do5j7i" w:colFirst="0" w:colLast="0"/>
      <w:bookmarkEnd w:id="1"/>
      <w:r>
        <w:rPr>
          <w:b/>
          <w:bCs/>
          <w:sz w:val="24"/>
          <w:szCs w:val="24"/>
        </w:rPr>
        <w:t>1 INTRODUÇÃO</w:t>
      </w:r>
    </w:p>
    <w:p w14:paraId="4BB6F1C6" w14:textId="77777777" w:rsidR="004D6A0E" w:rsidRPr="004D6A0E" w:rsidRDefault="004D6A0E" w:rsidP="004D6A0E">
      <w:pPr>
        <w:pStyle w:val="NormalWeb"/>
        <w:spacing w:line="360" w:lineRule="auto"/>
        <w:ind w:firstLine="709"/>
        <w:jc w:val="both"/>
      </w:pPr>
      <w:r w:rsidRPr="004D6A0E">
        <w:rPr>
          <w:rStyle w:val="citation-556"/>
        </w:rPr>
        <w:t>No âmbito da clínica de pequenos animais, a ortopedia veterinária assume um papel de grande relevância, motivada principalmente pela expressiva quantidade de atendimentos decorrentes de traumas em ossos longos de caninos</w:t>
      </w:r>
      <w:r w:rsidRPr="004D6A0E">
        <w:t xml:space="preserve">. </w:t>
      </w:r>
      <w:r w:rsidRPr="004D6A0E">
        <w:rPr>
          <w:rStyle w:val="citation-555"/>
        </w:rPr>
        <w:t>Dentre as ocorrências ortopédicas mais rotineiras, as fraturas apendiculares — com ênfase nos membros pélvicos — destacam-se por comprometer severamente a capacidade de locomoção, o suporte de peso e o bem-estar geral dos pacientes</w:t>
      </w:r>
      <w:r w:rsidRPr="004D6A0E">
        <w:t xml:space="preserve">. </w:t>
      </w:r>
      <w:r w:rsidRPr="004D6A0E">
        <w:rPr>
          <w:rStyle w:val="citation-554"/>
        </w:rPr>
        <w:t xml:space="preserve">Na rotina cirúrgica, tais lesões são comumente diagnosticadas em decorrência de impactos de grande energia, como atropelamentos e quedas de altura </w:t>
      </w:r>
      <w:r w:rsidRPr="004D6A0E">
        <w:rPr>
          <w:lang w:val="pt-PT"/>
        </w:rPr>
        <w:t xml:space="preserve">(Campos </w:t>
      </w:r>
      <w:r w:rsidRPr="004D6A0E">
        <w:rPr>
          <w:i/>
          <w:iCs/>
          <w:lang w:val="pt-PT"/>
        </w:rPr>
        <w:t>et al</w:t>
      </w:r>
      <w:r w:rsidRPr="004D6A0E">
        <w:rPr>
          <w:lang w:val="pt-PT"/>
        </w:rPr>
        <w:t>., 2023)</w:t>
      </w:r>
      <w:r w:rsidRPr="004D6A0E">
        <w:t xml:space="preserve">. </w:t>
      </w:r>
    </w:p>
    <w:p w14:paraId="44660355" w14:textId="77777777" w:rsidR="004D6A0E" w:rsidRPr="004D6A0E" w:rsidRDefault="004D6A0E" w:rsidP="004D6A0E">
      <w:pPr>
        <w:pStyle w:val="NormalWeb"/>
        <w:spacing w:line="360" w:lineRule="auto"/>
        <w:ind w:firstLine="709"/>
        <w:jc w:val="both"/>
      </w:pPr>
      <w:r w:rsidRPr="004D6A0E">
        <w:rPr>
          <w:rStyle w:val="citation-553"/>
        </w:rPr>
        <w:t>Por atuarem diretamente na biomecânica de movimentação e na sustentação do corpo, os ossos longos são vitais para a locomoção animal</w:t>
      </w:r>
      <w:r w:rsidRPr="004D6A0E">
        <w:t xml:space="preserve">. </w:t>
      </w:r>
      <w:r w:rsidRPr="004D6A0E">
        <w:rPr>
          <w:rStyle w:val="citation-552"/>
        </w:rPr>
        <w:t xml:space="preserve">Consequentemente, soluções de continuidade nessas estruturas culminam em quadros de dor aguda, processos edematosos, deformidades locais, crepitação e perda funcional do membro afetado, </w:t>
      </w:r>
      <w:r w:rsidRPr="004D6A0E">
        <w:rPr>
          <w:rStyle w:val="citation-551"/>
        </w:rPr>
        <w:t>os traumas apendiculares figuram entre as principais afecções na rotina de cães e gatos, tendo os acidentes automobilísticos como a etiologia predominante</w:t>
      </w:r>
      <w:r w:rsidRPr="004D6A0E">
        <w:t xml:space="preserve">, além disso, </w:t>
      </w:r>
      <w:r w:rsidRPr="004D6A0E">
        <w:rPr>
          <w:rStyle w:val="citation-550"/>
        </w:rPr>
        <w:t>animais de pequeno porte, jovens e sem raça definida (SRD) são os perfis mais frequentemente acometidos por esse tipo de trauma (</w:t>
      </w:r>
      <w:proofErr w:type="spellStart"/>
      <w:r w:rsidRPr="004D6A0E">
        <w:t>Chitolina</w:t>
      </w:r>
      <w:proofErr w:type="spellEnd"/>
      <w:r w:rsidRPr="004D6A0E">
        <w:t xml:space="preserve"> </w:t>
      </w:r>
      <w:r w:rsidRPr="004D6A0E">
        <w:rPr>
          <w:i/>
          <w:iCs/>
        </w:rPr>
        <w:t>et al</w:t>
      </w:r>
      <w:r w:rsidRPr="004D6A0E">
        <w:t xml:space="preserve">. 2022). </w:t>
      </w:r>
    </w:p>
    <w:p w14:paraId="189ABBE2" w14:textId="77777777" w:rsidR="004D6A0E" w:rsidRPr="004D6A0E" w:rsidRDefault="004D6A0E" w:rsidP="004D6A0E">
      <w:pPr>
        <w:pStyle w:val="NormalWeb"/>
        <w:spacing w:line="360" w:lineRule="auto"/>
        <w:ind w:firstLine="709"/>
        <w:jc w:val="both"/>
      </w:pPr>
      <w:r w:rsidRPr="004D6A0E">
        <w:rPr>
          <w:rStyle w:val="citation-549"/>
        </w:rPr>
        <w:t>Especificamente, as fraturas que envolvem a tíbia e a fíbula demandam cuidados meticulosos na conduta veterinária</w:t>
      </w:r>
      <w:r w:rsidRPr="004D6A0E">
        <w:t xml:space="preserve">. </w:t>
      </w:r>
      <w:r w:rsidRPr="004D6A0E">
        <w:rPr>
          <w:rStyle w:val="citation-548"/>
        </w:rPr>
        <w:t>A escassa cobertura muscular na face medial da tíbia predispõe a região a uma maior instabilidade óssea, além de elevar o risco de exposições, danos severos aos tecidos moles circundantes e potenciais atrasos ou complicações na consolidação</w:t>
      </w:r>
      <w:r w:rsidRPr="004D6A0E">
        <w:t xml:space="preserve">. </w:t>
      </w:r>
      <w:r w:rsidRPr="004D6A0E">
        <w:rPr>
          <w:rStyle w:val="citation-547"/>
        </w:rPr>
        <w:t xml:space="preserve">Quando forças rotacionais severas agem sobre o osso, é comum a ocorrência de fraturas de padrão espiral, as quais geram desalinhamento anatômico e descontinuidade da diáfise (Ferreira </w:t>
      </w:r>
      <w:r w:rsidRPr="004D6A0E">
        <w:rPr>
          <w:rStyle w:val="citation-547"/>
          <w:i/>
          <w:iCs/>
        </w:rPr>
        <w:t>et al</w:t>
      </w:r>
      <w:r w:rsidRPr="004D6A0E">
        <w:rPr>
          <w:rStyle w:val="citation-547"/>
        </w:rPr>
        <w:t>., 2025)</w:t>
      </w:r>
      <w:r w:rsidRPr="004D6A0E">
        <w:t>.</w:t>
      </w:r>
      <w:r w:rsidRPr="004D6A0E">
        <w:rPr>
          <w:color w:val="C00000"/>
        </w:rPr>
        <w:t xml:space="preserve"> </w:t>
      </w:r>
    </w:p>
    <w:p w14:paraId="70BF1901" w14:textId="77777777" w:rsidR="00365A54" w:rsidRDefault="004D6A0E" w:rsidP="004D6A0E">
      <w:pPr>
        <w:pStyle w:val="NormalWeb"/>
        <w:spacing w:line="360" w:lineRule="auto"/>
        <w:ind w:firstLine="709"/>
        <w:jc w:val="both"/>
        <w:rPr>
          <w:lang w:val="pt-PT"/>
        </w:rPr>
      </w:pPr>
      <w:r w:rsidRPr="004D6A0E">
        <w:rPr>
          <w:lang w:val="pt-PT"/>
        </w:rPr>
        <w:t xml:space="preserve">O exame radiográfico é considerado indispensável para confirmação diagnóstica e planejamento terapêutico das fraturas ortopédicas. A utilização de incidências ortogonais possibilita avaliação precisa da localização da fratura, grau de deslocamento, alinhamento ósseo e comprometimento de tecidos adjacentes. Além disso, a correta classificação das fraturas </w:t>
      </w:r>
    </w:p>
    <w:p w14:paraId="3D309AE7" w14:textId="77777777" w:rsidR="00365A54" w:rsidRDefault="00365A54" w:rsidP="00365A54">
      <w:pPr>
        <w:pStyle w:val="NormalWeb"/>
        <w:spacing w:line="360" w:lineRule="auto"/>
        <w:jc w:val="both"/>
        <w:rPr>
          <w:lang w:val="pt-PT"/>
        </w:rPr>
      </w:pPr>
    </w:p>
    <w:p w14:paraId="03268514" w14:textId="0CB36869" w:rsidR="004D6A0E" w:rsidRPr="004D6A0E" w:rsidRDefault="004D6A0E" w:rsidP="004D6A0E">
      <w:pPr>
        <w:pStyle w:val="NormalWeb"/>
        <w:spacing w:line="360" w:lineRule="auto"/>
        <w:jc w:val="both"/>
        <w:rPr>
          <w:lang w:val="pt-PT"/>
        </w:rPr>
      </w:pPr>
      <w:r w:rsidRPr="004D6A0E">
        <w:rPr>
          <w:lang w:val="pt-PT"/>
        </w:rPr>
        <w:t xml:space="preserve">auxilia diretamente na definição da conduta terapêutica mais adequada. Em casos de lesões graves, com extenso comprometimento ósseo e de tecidos moles, a amputação pode ser indicada como alternativa terapêutica para eliminar a dor, prevenir complicações e restabelecer a qualidade de vida do paciente (Silva </w:t>
      </w:r>
      <w:r w:rsidRPr="004D6A0E">
        <w:rPr>
          <w:i/>
          <w:iCs/>
          <w:lang w:val="pt-PT"/>
        </w:rPr>
        <w:t>et al</w:t>
      </w:r>
      <w:r w:rsidRPr="004D6A0E">
        <w:rPr>
          <w:lang w:val="pt-PT"/>
        </w:rPr>
        <w:t xml:space="preserve">., 2021). </w:t>
      </w:r>
    </w:p>
    <w:p w14:paraId="6C5306F0" w14:textId="0EBADE58" w:rsidR="008F1DA1" w:rsidRPr="004D6A0E" w:rsidRDefault="004D6A0E" w:rsidP="00F34547">
      <w:pPr>
        <w:pStyle w:val="NormalWeb"/>
        <w:spacing w:line="360" w:lineRule="auto"/>
        <w:ind w:firstLine="709"/>
        <w:jc w:val="both"/>
        <w:rPr>
          <w:lang w:val="pt-PT"/>
        </w:rPr>
      </w:pPr>
      <w:r w:rsidRPr="004D6A0E">
        <w:rPr>
          <w:lang w:val="pt-PT"/>
        </w:rPr>
        <w:t xml:space="preserve">Outro aspecto importante relacionado às fraturas ósseas refere-se à necessidade de estabilização precoce e adequada, visando promover recuperação funcional satisfatória e evitar complicações como pseudoartrose, osteomielite e atraso na consolidação óssea. De acordo com Freitas </w:t>
      </w:r>
      <w:r w:rsidRPr="004D6A0E">
        <w:rPr>
          <w:i/>
          <w:iCs/>
          <w:lang w:val="pt-PT"/>
        </w:rPr>
        <w:t>et al</w:t>
      </w:r>
      <w:r w:rsidRPr="004D6A0E">
        <w:rPr>
          <w:lang w:val="pt-PT"/>
        </w:rPr>
        <w:t xml:space="preserve">. (2013), os traumas envolvendo fraturas ósseas possuem elevada importância na rotina clínico-cirúrgica veterinária, principalmente devido às alterações teciduais associadas e à necessidade de intervenções reconstrutivas eficientes. </w:t>
      </w:r>
    </w:p>
    <w:p w14:paraId="483E0971" w14:textId="77777777" w:rsidR="008F1DA1" w:rsidRDefault="00000000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0EFD0F64" w14:textId="3B5CB892" w:rsidR="008F1DA1" w:rsidRPr="00365A54" w:rsidRDefault="00365A54" w:rsidP="00365A54">
      <w:pPr>
        <w:spacing w:line="360" w:lineRule="auto"/>
        <w:ind w:firstLine="709"/>
        <w:jc w:val="both"/>
        <w:rPr>
          <w:sz w:val="24"/>
          <w:szCs w:val="24"/>
        </w:rPr>
      </w:pPr>
      <w:r w:rsidRPr="00365A54">
        <w:rPr>
          <w:sz w:val="24"/>
          <w:szCs w:val="24"/>
        </w:rPr>
        <w:t>O presente estudo teve como objetivo descrever e analisar o atendimento clínico-cirúrgico e os achados radiográficos de uma fratura espiral completa de tíbia e fíbula no membro pélvico direito de uma cadela sem raça definida, destacando a amputação como alternativa terapêutica viável e eficaz. Buscou-se também avaliar o protocolo farmacológico empregado, a evolução da cicatrização no pós-operatório e o processo de adaptação biomecânica e locomotora do animal a três membros, fornecendo subsídios para a tomada de decisão veterinária em casos de traumas ortopédicos graves em ambientes de manejo desafiadores.</w:t>
      </w:r>
    </w:p>
    <w:p w14:paraId="1D4432EA" w14:textId="5D8396BA" w:rsidR="008F1DA1" w:rsidRDefault="00000000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3 M</w:t>
      </w:r>
      <w:r w:rsidR="00170C3A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>TODO</w:t>
      </w:r>
      <w:r w:rsidR="00170C3A">
        <w:rPr>
          <w:b/>
          <w:bCs/>
          <w:sz w:val="24"/>
          <w:szCs w:val="24"/>
        </w:rPr>
        <w:t>LOGIA</w:t>
      </w:r>
    </w:p>
    <w:p w14:paraId="0416FFAB" w14:textId="72FB35E9" w:rsidR="00170C3A" w:rsidRPr="00170C3A" w:rsidRDefault="00170C3A" w:rsidP="00F34547">
      <w:pPr>
        <w:pStyle w:val="NormalWeb"/>
        <w:spacing w:line="360" w:lineRule="auto"/>
        <w:ind w:firstLine="709"/>
        <w:jc w:val="both"/>
        <w:rPr>
          <w:lang w:val="pt-PT"/>
        </w:rPr>
      </w:pPr>
      <w:r w:rsidRPr="00170C3A">
        <w:rPr>
          <w:lang w:val="pt-PT"/>
        </w:rPr>
        <w:t xml:space="preserve">Este estudo foi desenvolvido por meio de uma revisão bibliográfica narrativa, associada à descrição de um relato de caso clínico envolvendo fratura espiral completa de tíbia e fíbula em uma cadela sem raça definida submetida à amputação do membro pélvico direito. A pesquisa bibliográfica foi realizada utilizando livros de referência, artigos científicos publicados em periódicos especializados e plataformas eletrônicas de pesquisa, como Google Acadêmico, SciELO, PubVet e PubMed. O levantamento contemplou informações </w:t>
      </w:r>
      <w:r w:rsidR="00F34547">
        <w:rPr>
          <w:lang w:val="pt-PT"/>
        </w:rPr>
        <w:t xml:space="preserve"> </w:t>
      </w:r>
      <w:r w:rsidRPr="00170C3A">
        <w:rPr>
          <w:lang w:val="pt-PT"/>
        </w:rPr>
        <w:t>relacionadas à etiologia, classificação, diagnóstico radiográfico, indicação da amputação, manejo cirúrgico e acompanhamento clínico pós-operatório de cães acometidos por fraturas ortopédicas graves. Para a seleção dos materiais científicos, foram analisados títulos, resumos e palavras-chave, priorizando estudos com relevância clínica e abordagem cirúrgica veterinária publicados entre 1996 e 2025.</w:t>
      </w:r>
    </w:p>
    <w:p w14:paraId="618F2B7D" w14:textId="77777777" w:rsidR="00F34547" w:rsidRDefault="00F34547" w:rsidP="00365A54">
      <w:pPr>
        <w:pStyle w:val="NormalWeb"/>
        <w:spacing w:line="360" w:lineRule="auto"/>
        <w:ind w:firstLine="709"/>
        <w:jc w:val="both"/>
      </w:pPr>
    </w:p>
    <w:p w14:paraId="015AFACC" w14:textId="2A5031B1" w:rsidR="00170C3A" w:rsidRPr="00170C3A" w:rsidRDefault="00170C3A" w:rsidP="00365A54">
      <w:pPr>
        <w:pStyle w:val="NormalWeb"/>
        <w:spacing w:line="360" w:lineRule="auto"/>
        <w:ind w:firstLine="709"/>
        <w:jc w:val="both"/>
      </w:pPr>
      <w:r w:rsidRPr="00170C3A">
        <w:t>O relato de caso foi baseado no atendimento clínico da paciente Athena, submetida à avaliação ortopédica após trauma envolvendo o membro pélvico direito. Foram considerados os achados clínicos, exames radiográficos e informações relacionadas ao diagnóstico e</w:t>
      </w:r>
      <w:r w:rsidR="00365A54">
        <w:t xml:space="preserve"> </w:t>
      </w:r>
      <w:r w:rsidRPr="00170C3A">
        <w:t>planejamento terapêutico da fratura. As imagens radiográficas foram utilizadas para avaliação do padrão da fratura, alinhamento ósseo, grau de deslocamento e comprometimento de tecidos adjacentes, permitindo correlacionar os achados clínicos com as informações descritas na literatura científica.</w:t>
      </w:r>
    </w:p>
    <w:p w14:paraId="1A541604" w14:textId="0B61788C" w:rsidR="00170C3A" w:rsidRPr="00170C3A" w:rsidRDefault="00170C3A" w:rsidP="00170C3A">
      <w:pPr>
        <w:pStyle w:val="NormalWeb"/>
        <w:spacing w:line="360" w:lineRule="auto"/>
        <w:ind w:firstLine="709"/>
        <w:jc w:val="both"/>
      </w:pPr>
      <w:r w:rsidRPr="00170C3A">
        <w:t xml:space="preserve">Além da revisão bibliográfica, analisou-se o relato de caso clínico de uma cadela SRD, com aproximadamente cinco anos de idade e peso corporal de 16 kg. O animal apresentava claudicação no membro pélvico direito, edema, processo inflamatório. Após exames radiográficos foi constatado fratura completa em espiral na diáfise distal da tíbia e fíbula direita, </w:t>
      </w:r>
      <w:r w:rsidRPr="00170C3A">
        <w:rPr>
          <w:lang w:val="pt-PT"/>
        </w:rPr>
        <w:t>desalinhamento do eixo ósseo anatômico e aumento de volume de partes moles em membro avaliado</w:t>
      </w:r>
      <w:r w:rsidRPr="00170C3A">
        <w:t>. A conduta terapêutica foi iniciada no 3° dia após o surgimento da lesão (considerado Dia 0 do tratamento). Utilizou-se tramadol (</w:t>
      </w:r>
      <w:proofErr w:type="spellStart"/>
      <w:r w:rsidRPr="00170C3A">
        <w:t>Cronidor</w:t>
      </w:r>
      <w:proofErr w:type="spellEnd"/>
      <w:r w:rsidRPr="00170C3A">
        <w:t xml:space="preserve">® 2%), para redução da dor na dosagem de 2 mg/kg, totalizando 1,6 </w:t>
      </w:r>
      <w:proofErr w:type="spellStart"/>
      <w:r w:rsidRPr="00170C3A">
        <w:t>mL</w:t>
      </w:r>
      <w:proofErr w:type="spellEnd"/>
      <w:r w:rsidRPr="00170C3A">
        <w:t xml:space="preserve">, via intramuscular (IM), BID, por quatro dias, e </w:t>
      </w:r>
      <w:proofErr w:type="spellStart"/>
      <w:r w:rsidRPr="00170C3A">
        <w:t>carprofeno</w:t>
      </w:r>
      <w:proofErr w:type="spellEnd"/>
      <w:r w:rsidRPr="00170C3A">
        <w:t xml:space="preserve"> (</w:t>
      </w:r>
      <w:proofErr w:type="spellStart"/>
      <w:r w:rsidRPr="00170C3A">
        <w:t>Carproflan</w:t>
      </w:r>
      <w:proofErr w:type="spellEnd"/>
      <w:r w:rsidRPr="00170C3A">
        <w:t>®) para reduzir a inflamação na dosagem de 4,4 mg/kg, total</w:t>
      </w:r>
      <w:r w:rsidR="00F34547">
        <w:t>i</w:t>
      </w:r>
      <w:r w:rsidRPr="00170C3A">
        <w:t xml:space="preserve">zando 1 comprimido de 75 mg, via oral, SID, por quatro dias, o procedimento cirúrgico resultou na amputação completa do membro posterior direito, devido as condições do ambiente no qual o animal convive e pensando em uma recuperação mais rápida. </w:t>
      </w:r>
    </w:p>
    <w:p w14:paraId="26DD49E2" w14:textId="77777777" w:rsidR="00170C3A" w:rsidRDefault="00170C3A" w:rsidP="00170C3A">
      <w:pPr>
        <w:pStyle w:val="NormalWeb"/>
        <w:spacing w:line="360" w:lineRule="auto"/>
        <w:ind w:firstLine="709"/>
        <w:jc w:val="both"/>
      </w:pPr>
      <w:r w:rsidRPr="00170C3A">
        <w:t>No caso da paciente Athena, a gravidade da fratura espiral completa da tíbia e fíbula direita, associada ao comprometimento funcional do membro e às condições de manejo do animal, justificou a realização da amputação completa do membro pélvico direito como conduta terapêutica. A escolha do procedimento buscou proporcionar alívio da dor, prevenir complicações futuras e favorecer uma recuperação mais rápida, resultando em adequada adaptação locomotora e evolução clínica satisfatória.</w:t>
      </w:r>
    </w:p>
    <w:p w14:paraId="660F22F8" w14:textId="77777777" w:rsidR="00F34547" w:rsidRDefault="00F34547" w:rsidP="00170C3A">
      <w:pPr>
        <w:pStyle w:val="NormalWeb"/>
        <w:spacing w:line="360" w:lineRule="auto"/>
        <w:ind w:firstLine="709"/>
        <w:jc w:val="both"/>
      </w:pPr>
    </w:p>
    <w:p w14:paraId="17672D5E" w14:textId="77777777" w:rsidR="00F34547" w:rsidRDefault="00F34547" w:rsidP="00170C3A">
      <w:pPr>
        <w:pStyle w:val="NormalWeb"/>
        <w:spacing w:line="360" w:lineRule="auto"/>
        <w:ind w:firstLine="709"/>
        <w:jc w:val="both"/>
      </w:pPr>
    </w:p>
    <w:p w14:paraId="0CB7A863" w14:textId="77777777" w:rsidR="00F34547" w:rsidRDefault="00F34547" w:rsidP="00170C3A">
      <w:pPr>
        <w:pStyle w:val="NormalWeb"/>
        <w:spacing w:line="360" w:lineRule="auto"/>
        <w:ind w:firstLine="709"/>
        <w:jc w:val="both"/>
      </w:pPr>
    </w:p>
    <w:p w14:paraId="767E6468" w14:textId="77777777" w:rsidR="00F34547" w:rsidRPr="00170C3A" w:rsidRDefault="00F34547" w:rsidP="00170C3A">
      <w:pPr>
        <w:pStyle w:val="NormalWeb"/>
        <w:spacing w:line="360" w:lineRule="auto"/>
        <w:ind w:firstLine="709"/>
        <w:jc w:val="both"/>
      </w:pPr>
    </w:p>
    <w:p w14:paraId="18C55CAE" w14:textId="77777777" w:rsidR="00365A54" w:rsidRDefault="00365A54" w:rsidP="00170C3A">
      <w:pPr>
        <w:pStyle w:val="NormalWeb"/>
        <w:spacing w:line="360" w:lineRule="auto"/>
        <w:ind w:firstLine="709"/>
        <w:jc w:val="both"/>
        <w:rPr>
          <w:b/>
          <w:bCs/>
          <w:sz w:val="20"/>
          <w:szCs w:val="20"/>
          <w:lang w:val="pt-PT"/>
        </w:rPr>
      </w:pPr>
    </w:p>
    <w:p w14:paraId="5AF04A7C" w14:textId="34BF1BD3" w:rsidR="00170C3A" w:rsidRPr="00365A54" w:rsidRDefault="00170C3A" w:rsidP="00365A54">
      <w:pPr>
        <w:pStyle w:val="NormalWeb"/>
        <w:spacing w:line="360" w:lineRule="auto"/>
        <w:ind w:firstLine="709"/>
        <w:jc w:val="both"/>
        <w:rPr>
          <w:sz w:val="20"/>
          <w:szCs w:val="20"/>
        </w:rPr>
      </w:pPr>
      <w:r w:rsidRPr="00170C3A">
        <w:rPr>
          <w:b/>
          <w:bCs/>
          <w:sz w:val="20"/>
          <w:szCs w:val="20"/>
          <w:lang w:val="pt-PT"/>
        </w:rPr>
        <w:t>Figura 01.:</w:t>
      </w:r>
      <w:r w:rsidRPr="00170C3A">
        <w:rPr>
          <w:sz w:val="20"/>
          <w:szCs w:val="20"/>
          <w:lang w:val="pt-PT"/>
        </w:rPr>
        <w:t xml:space="preserve"> Imagens radiográficas da fratura de tibia e fíbula do membro posterior direito.</w:t>
      </w:r>
      <w:r>
        <w:rPr>
          <w:color w:val="EE0000"/>
        </w:rPr>
        <w:t xml:space="preserve">                                                                                              </w:t>
      </w:r>
    </w:p>
    <w:p w14:paraId="480AA150" w14:textId="77777777" w:rsidR="00365A54" w:rsidRDefault="00365A54" w:rsidP="00365A54">
      <w:pPr>
        <w:pStyle w:val="NormalWeb"/>
        <w:spacing w:line="360" w:lineRule="auto"/>
        <w:jc w:val="center"/>
        <w:rPr>
          <w:color w:val="EE0000"/>
        </w:rPr>
      </w:pPr>
      <w:r w:rsidRPr="00170C3A">
        <w:rPr>
          <w:noProof/>
          <w:color w:val="EE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DEB4BE" wp14:editId="1462191D">
                <wp:simplePos x="0" y="0"/>
                <wp:positionH relativeFrom="column">
                  <wp:posOffset>573405</wp:posOffset>
                </wp:positionH>
                <wp:positionV relativeFrom="paragraph">
                  <wp:posOffset>1915795</wp:posOffset>
                </wp:positionV>
                <wp:extent cx="236220" cy="243840"/>
                <wp:effectExtent l="0" t="0" r="11430" b="22860"/>
                <wp:wrapNone/>
                <wp:docPr id="966227697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CC11ED" w14:textId="77777777" w:rsidR="00170C3A" w:rsidRPr="00170C3A" w:rsidRDefault="00170C3A" w:rsidP="00170C3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0C3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DEB4BE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45.15pt;margin-top:150.85pt;width:18.6pt;height:1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" fillcolor="white [3201]" strokeweight=".5pt">
                <v:textbox>
                  <w:txbxContent>
                    <w:p w14:paraId="67CC11ED" w14:textId="77777777" w:rsidR="00170C3A" w:rsidRPr="00170C3A" w:rsidRDefault="00170C3A" w:rsidP="00170C3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70C3A">
                        <w:rPr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170C3A">
        <w:rPr>
          <w:noProof/>
          <w:color w:val="EE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A65F9D" wp14:editId="56A3B1AD">
                <wp:simplePos x="0" y="0"/>
                <wp:positionH relativeFrom="column">
                  <wp:posOffset>2181225</wp:posOffset>
                </wp:positionH>
                <wp:positionV relativeFrom="paragraph">
                  <wp:posOffset>1908175</wp:posOffset>
                </wp:positionV>
                <wp:extent cx="274320" cy="251460"/>
                <wp:effectExtent l="0" t="0" r="11430" b="15240"/>
                <wp:wrapNone/>
                <wp:docPr id="1283289266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2115FE" w14:textId="77777777" w:rsidR="00170C3A" w:rsidRPr="00170C3A" w:rsidRDefault="00170C3A" w:rsidP="00170C3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0C3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65F9D" id="Caixa de Texto 2" o:spid="_x0000_s1027" type="#_x0000_t202" style="position:absolute;left:0;text-align:left;margin-left:171.75pt;margin-top:150.25pt;width:21.6pt;height:1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" fillcolor="white [3201]" strokeweight=".5pt">
                <v:textbox>
                  <w:txbxContent>
                    <w:p w14:paraId="612115FE" w14:textId="77777777" w:rsidR="00170C3A" w:rsidRPr="00170C3A" w:rsidRDefault="00170C3A" w:rsidP="00170C3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70C3A">
                        <w:rPr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70C3A" w:rsidRPr="00170C3A">
        <w:rPr>
          <w:noProof/>
          <w:color w:val="EE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DD25DB" wp14:editId="567B3BC6">
                <wp:simplePos x="0" y="0"/>
                <wp:positionH relativeFrom="column">
                  <wp:posOffset>3811905</wp:posOffset>
                </wp:positionH>
                <wp:positionV relativeFrom="paragraph">
                  <wp:posOffset>1875155</wp:posOffset>
                </wp:positionV>
                <wp:extent cx="274320" cy="274320"/>
                <wp:effectExtent l="0" t="0" r="11430" b="11430"/>
                <wp:wrapNone/>
                <wp:docPr id="1783141861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E694E8" w14:textId="77777777" w:rsidR="00170C3A" w:rsidRPr="00170C3A" w:rsidRDefault="00170C3A" w:rsidP="00170C3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0C3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D25DB" id="Caixa de Texto 3" o:spid="_x0000_s1028" type="#_x0000_t202" style="position:absolute;left:0;text-align:left;margin-left:300.15pt;margin-top:147.65pt;width:21.6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" fillcolor="white [3201]" strokeweight=".5pt">
                <v:textbox>
                  <w:txbxContent>
                    <w:p w14:paraId="0EE694E8" w14:textId="77777777" w:rsidR="00170C3A" w:rsidRPr="00170C3A" w:rsidRDefault="00170C3A" w:rsidP="00170C3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70C3A">
                        <w:rPr>
                          <w:b/>
                          <w:bCs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70C3A" w:rsidRPr="00170C3A">
        <w:rPr>
          <w:noProof/>
          <w:color w:val="EE0000"/>
        </w:rPr>
        <w:drawing>
          <wp:inline distT="0" distB="0" distL="0" distR="0" wp14:anchorId="2A778771" wp14:editId="4693B671">
            <wp:extent cx="1562100" cy="2202180"/>
            <wp:effectExtent l="0" t="0" r="0" b="7620"/>
            <wp:docPr id="1977545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5456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EE0000"/>
        </w:rPr>
        <w:t xml:space="preserve"> </w:t>
      </w:r>
      <w:r w:rsidR="00170C3A" w:rsidRPr="00170C3A">
        <w:rPr>
          <w:noProof/>
          <w:color w:val="EE0000"/>
        </w:rPr>
        <w:drawing>
          <wp:inline distT="0" distB="0" distL="0" distR="0" wp14:anchorId="2BCAF654" wp14:editId="063907E7">
            <wp:extent cx="1592388" cy="2209165"/>
            <wp:effectExtent l="0" t="0" r="8255" b="635"/>
            <wp:docPr id="5610764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0764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20481" cy="2248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EE0000"/>
        </w:rPr>
        <w:t xml:space="preserve"> </w:t>
      </w:r>
      <w:r w:rsidR="00170C3A" w:rsidRPr="00170C3A">
        <w:rPr>
          <w:noProof/>
        </w:rPr>
        <w:drawing>
          <wp:inline distT="0" distB="0" distL="0" distR="0" wp14:anchorId="795F5F5D" wp14:editId="2968F517">
            <wp:extent cx="1485900" cy="2202180"/>
            <wp:effectExtent l="0" t="0" r="0" b="7620"/>
            <wp:docPr id="9713977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67216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0031" cy="223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FBDA0" w14:textId="6F6D1D51" w:rsidR="00170C3A" w:rsidRPr="00365A54" w:rsidRDefault="00170C3A" w:rsidP="00216663">
      <w:pPr>
        <w:pStyle w:val="NormalWeb"/>
        <w:spacing w:line="360" w:lineRule="auto"/>
        <w:jc w:val="both"/>
        <w:rPr>
          <w:color w:val="EE0000"/>
        </w:rPr>
      </w:pPr>
      <w:r w:rsidRPr="00170C3A">
        <w:rPr>
          <w:sz w:val="20"/>
          <w:szCs w:val="20"/>
        </w:rPr>
        <w:t>(A) Radiografia da região medial do membro posterior direito; (B) Radiografia da região lateral direita do membro posterior direito; (C) Radiografia da parte dorsal do membro posterior direito.</w:t>
      </w:r>
    </w:p>
    <w:p w14:paraId="5C620EB4" w14:textId="4A3567BE" w:rsidR="008F1DA1" w:rsidRPr="00170C3A" w:rsidRDefault="00170C3A" w:rsidP="00170C3A">
      <w:pPr>
        <w:pStyle w:val="NormalWeb"/>
        <w:spacing w:line="360" w:lineRule="auto"/>
        <w:jc w:val="both"/>
        <w:rPr>
          <w:sz w:val="20"/>
          <w:szCs w:val="20"/>
        </w:rPr>
      </w:pPr>
      <w:r w:rsidRPr="00170C3A">
        <w:rPr>
          <w:b/>
          <w:bCs/>
          <w:sz w:val="20"/>
          <w:szCs w:val="20"/>
        </w:rPr>
        <w:t xml:space="preserve">Fonte: </w:t>
      </w:r>
      <w:r w:rsidRPr="00170C3A">
        <w:rPr>
          <w:sz w:val="20"/>
          <w:szCs w:val="20"/>
        </w:rPr>
        <w:t>Próprio autor (2026).</w:t>
      </w:r>
    </w:p>
    <w:p w14:paraId="38DAE51C" w14:textId="77777777" w:rsidR="008F1DA1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p w14:paraId="29C0E601" w14:textId="77777777" w:rsidR="00170C3A" w:rsidRDefault="00170C3A" w:rsidP="00170C3A">
      <w:pPr>
        <w:pStyle w:val="NormalWeb"/>
        <w:spacing w:line="360" w:lineRule="auto"/>
        <w:jc w:val="both"/>
      </w:pPr>
      <w:r>
        <w:t>4.1 Resultados</w:t>
      </w:r>
    </w:p>
    <w:p w14:paraId="4C31E45F" w14:textId="3CFA62D0" w:rsidR="00216663" w:rsidRDefault="00DC3720" w:rsidP="00DC3720">
      <w:pPr>
        <w:pStyle w:val="NormalWeb"/>
        <w:spacing w:line="360" w:lineRule="auto"/>
        <w:ind w:firstLine="709"/>
        <w:jc w:val="both"/>
        <w:rPr>
          <w:lang w:val="pt-PT"/>
        </w:rPr>
      </w:pPr>
      <w:r>
        <w:t xml:space="preserve">Como anestésicos cirúrgicos foram utilizados </w:t>
      </w:r>
      <w:r w:rsidR="00F65281">
        <w:t>a</w:t>
      </w:r>
      <w:r w:rsidR="00216663">
        <w:t xml:space="preserve"> Dexmedetomidina 2mcg / kg / </w:t>
      </w:r>
      <w:proofErr w:type="spellStart"/>
      <w:r w:rsidR="00216663">
        <w:t>Im</w:t>
      </w:r>
      <w:proofErr w:type="spellEnd"/>
      <w:r w:rsidR="00216663">
        <w:t xml:space="preserve"> como pré-anestésico para s</w:t>
      </w:r>
      <w:r w:rsidR="00216663" w:rsidRPr="00216663">
        <w:t>edação, estabilização da dor e relaxamento muscular inicial</w:t>
      </w:r>
      <w:r w:rsidR="00216663">
        <w:t>,</w:t>
      </w:r>
      <w:r>
        <w:t xml:space="preserve"> </w:t>
      </w:r>
      <w:proofErr w:type="spellStart"/>
      <w:r>
        <w:t>Propofol</w:t>
      </w:r>
      <w:proofErr w:type="spellEnd"/>
      <w:r>
        <w:t xml:space="preserve"> 2mg /kg para </w:t>
      </w:r>
      <w:r w:rsidRPr="00DC3720">
        <w:t>perda rápida da consciência, relaxamento muscular profundo e perda dos reflexos laríngeos</w:t>
      </w:r>
      <w:r>
        <w:t xml:space="preserve">, com manutenção de 0,05 mg/kg por minuto, </w:t>
      </w:r>
      <w:proofErr w:type="spellStart"/>
      <w:r>
        <w:t>Remifentanil</w:t>
      </w:r>
      <w:proofErr w:type="spellEnd"/>
      <w:r>
        <w:t xml:space="preserve"> 5-12 mcg / kg / hora para bloqueio</w:t>
      </w:r>
      <w:r w:rsidRPr="00DC3720">
        <w:t xml:space="preserve"> </w:t>
      </w:r>
      <w:r>
        <w:t>d</w:t>
      </w:r>
      <w:r w:rsidRPr="00DC3720">
        <w:t>a resposta nociceptiva</w:t>
      </w:r>
      <w:r>
        <w:t xml:space="preserve"> </w:t>
      </w:r>
      <w:r w:rsidRPr="00DC3720">
        <w:t>contra o estímulo cirúrgico agudo</w:t>
      </w:r>
      <w:r>
        <w:t xml:space="preserve">, Ketamina 1 mg/kg / hora para </w:t>
      </w:r>
      <w:r w:rsidRPr="00DC3720">
        <w:t>suporte simpático</w:t>
      </w:r>
      <w:r w:rsidR="00216663">
        <w:t xml:space="preserve">, </w:t>
      </w:r>
      <w:r w:rsidRPr="00DC3720">
        <w:t>ajuda a sustentar a frequência cardíaca e a pressão arterial durante a cirurgia</w:t>
      </w:r>
      <w:r>
        <w:t>, Lidocaína 33 mcg/ kg /min</w:t>
      </w:r>
      <w:r w:rsidR="00216663">
        <w:t xml:space="preserve"> para analgesia local. </w:t>
      </w:r>
      <w:r w:rsidR="00F34547">
        <w:t xml:space="preserve">O procedimento operatório consistiu na desarticulação </w:t>
      </w:r>
      <w:proofErr w:type="spellStart"/>
      <w:r w:rsidR="00F34547" w:rsidRPr="00F34547">
        <w:t>femorotibial</w:t>
      </w:r>
      <w:proofErr w:type="spellEnd"/>
      <w:r w:rsidR="00216663">
        <w:t xml:space="preserve"> com sutura </w:t>
      </w:r>
      <w:r w:rsidR="0071285D">
        <w:t xml:space="preserve">invaginante </w:t>
      </w:r>
      <w:r w:rsidR="00216663">
        <w:t>contínua no músculo para realizar a aproximação e diminuir a tensão da região</w:t>
      </w:r>
      <w:r w:rsidR="0071285D">
        <w:t>, sutura contínua na tela subcutânea</w:t>
      </w:r>
      <w:r w:rsidR="00216663">
        <w:t xml:space="preserve"> e sutura simples na pele</w:t>
      </w:r>
      <w:r w:rsidR="00F34547">
        <w:t xml:space="preserve">, </w:t>
      </w:r>
      <w:r w:rsidR="00216663" w:rsidRPr="00170C3A">
        <w:t>após</w:t>
      </w:r>
      <w:r w:rsidR="00170C3A" w:rsidRPr="00170C3A">
        <w:t xml:space="preserve"> o procedimento cirúrgico</w:t>
      </w:r>
      <w:r w:rsidR="00170C3A" w:rsidRPr="00170C3A">
        <w:rPr>
          <w:color w:val="EE0000"/>
        </w:rPr>
        <w:t xml:space="preserve"> </w:t>
      </w:r>
      <w:r w:rsidR="00170C3A" w:rsidRPr="00170C3A">
        <w:t xml:space="preserve">foi utilizado </w:t>
      </w:r>
      <w:proofErr w:type="spellStart"/>
      <w:r w:rsidR="00170C3A" w:rsidRPr="00170C3A">
        <w:t>carprofeno</w:t>
      </w:r>
      <w:proofErr w:type="spellEnd"/>
      <w:r w:rsidR="00170C3A" w:rsidRPr="00170C3A">
        <w:t xml:space="preserve"> (</w:t>
      </w:r>
      <w:proofErr w:type="spellStart"/>
      <w:r w:rsidR="00170C3A" w:rsidRPr="00170C3A">
        <w:t>Carproflan</w:t>
      </w:r>
      <w:proofErr w:type="spellEnd"/>
      <w:r w:rsidR="00170C3A" w:rsidRPr="00170C3A">
        <w:t xml:space="preserve">®) com o objetivo de controlar o processo inflamatório na dosagem de 1 comprimido/17 kg, via oral, SID, por mais dez dias. Como antibioticoterapia, foi utilizada </w:t>
      </w:r>
      <w:proofErr w:type="spellStart"/>
      <w:r w:rsidR="00170C3A" w:rsidRPr="00170C3A">
        <w:t>amoxilina</w:t>
      </w:r>
      <w:proofErr w:type="spellEnd"/>
      <w:r w:rsidR="00170C3A" w:rsidRPr="00170C3A">
        <w:t xml:space="preserve"> com clavulanato de potássio (</w:t>
      </w:r>
      <w:proofErr w:type="spellStart"/>
      <w:r w:rsidR="00170C3A" w:rsidRPr="00170C3A">
        <w:t>Silmox</w:t>
      </w:r>
      <w:proofErr w:type="spellEnd"/>
      <w:r w:rsidR="00170C3A" w:rsidRPr="00170C3A">
        <w:t xml:space="preserve">®) de 150 mg para reduzir infecções bacterianas secundárias na dosagem de 12,5 mg/kg, via oral, BID, por sete dias e sulfato de gentamicina, sulfanilamida, </w:t>
      </w:r>
      <w:proofErr w:type="spellStart"/>
      <w:r w:rsidR="00170C3A" w:rsidRPr="00170C3A">
        <w:t>sulfadiazina</w:t>
      </w:r>
      <w:proofErr w:type="spellEnd"/>
      <w:r w:rsidR="00170C3A" w:rsidRPr="00170C3A">
        <w:t>, ureia e palmitato de vitamina A (</w:t>
      </w:r>
      <w:proofErr w:type="spellStart"/>
      <w:r w:rsidR="00170C3A" w:rsidRPr="00170C3A">
        <w:t>Vetaglos</w:t>
      </w:r>
      <w:proofErr w:type="spellEnd"/>
      <w:r w:rsidR="00170C3A" w:rsidRPr="00170C3A">
        <w:t xml:space="preserve">®) para acelerar o processo de cicatrização, via tópica, </w:t>
      </w:r>
      <w:r w:rsidR="00170C3A" w:rsidRPr="00170C3A">
        <w:lastRenderedPageBreak/>
        <w:t xml:space="preserve">BID. </w:t>
      </w:r>
      <w:r w:rsidR="00170C3A" w:rsidRPr="00170C3A">
        <w:rPr>
          <w:lang w:val="pt-PT"/>
        </w:rPr>
        <w:t xml:space="preserve">Durante </w:t>
      </w:r>
      <w:r w:rsidR="00F34547">
        <w:rPr>
          <w:lang w:val="pt-PT"/>
        </w:rPr>
        <w:t>o</w:t>
      </w:r>
      <w:r w:rsidR="00170C3A" w:rsidRPr="00170C3A">
        <w:rPr>
          <w:lang w:val="pt-PT"/>
        </w:rPr>
        <w:t xml:space="preserve"> período pós-operatório, o animal permaneceu sob acompanhamento clínico, sendo mantido em ambiente limpo, confortável e </w:t>
      </w:r>
    </w:p>
    <w:p w14:paraId="041920F2" w14:textId="77777777" w:rsidR="00216663" w:rsidRDefault="00216663" w:rsidP="00216663">
      <w:pPr>
        <w:pStyle w:val="NormalWeb"/>
        <w:spacing w:line="360" w:lineRule="auto"/>
        <w:jc w:val="both"/>
        <w:rPr>
          <w:lang w:val="pt-PT"/>
        </w:rPr>
      </w:pPr>
    </w:p>
    <w:p w14:paraId="7BE243FE" w14:textId="5296F3F0" w:rsidR="00170C3A" w:rsidRPr="00170C3A" w:rsidRDefault="00170C3A" w:rsidP="00216663">
      <w:pPr>
        <w:pStyle w:val="NormalWeb"/>
        <w:spacing w:line="360" w:lineRule="auto"/>
        <w:jc w:val="both"/>
      </w:pPr>
      <w:r w:rsidRPr="00170C3A">
        <w:rPr>
          <w:lang w:val="pt-PT"/>
        </w:rPr>
        <w:t>com restrição temporária das atividades físicas. Ao longo da recuperação, observou-se evolução satisfatória da ferida cirúrgica, com redução progressiva do edema local, ausência de sinais de infecção e adequada cicatrização dos tecidos. O paciente apresentou adaptação gradual à locomoção em três membros, demonstrando melhora progressiva na mobilidade e no equilíbrio corporal. Ao final do acompanhamento clínico, verificou-se completa cicatrização da ferida cirúrgica, boa adaptação funcional à amputação e recuperação satisfatória da qualidade de vida do animal.</w:t>
      </w:r>
    </w:p>
    <w:p w14:paraId="5EEFDC11" w14:textId="77777777" w:rsidR="00170C3A" w:rsidRPr="00170C3A" w:rsidRDefault="00170C3A" w:rsidP="00170C3A">
      <w:pPr>
        <w:pStyle w:val="NormalWeb"/>
        <w:spacing w:line="360" w:lineRule="auto"/>
        <w:ind w:firstLine="709"/>
        <w:rPr>
          <w:sz w:val="20"/>
          <w:szCs w:val="20"/>
          <w:lang w:val="pt-PT"/>
        </w:rPr>
      </w:pPr>
      <w:r w:rsidRPr="00170C3A">
        <w:rPr>
          <w:b/>
          <w:bCs/>
          <w:sz w:val="20"/>
          <w:szCs w:val="20"/>
          <w:lang w:val="pt-PT"/>
        </w:rPr>
        <w:t>Figura 02.:</w:t>
      </w:r>
      <w:r w:rsidRPr="00170C3A">
        <w:rPr>
          <w:sz w:val="20"/>
          <w:szCs w:val="20"/>
          <w:lang w:val="pt-PT"/>
        </w:rPr>
        <w:t xml:space="preserve"> Imagens do pós-opetaório e recuperação da cadela.</w:t>
      </w:r>
    </w:p>
    <w:p w14:paraId="32DA681F" w14:textId="77777777" w:rsidR="00170C3A" w:rsidRPr="00170C3A" w:rsidRDefault="00170C3A" w:rsidP="00170C3A">
      <w:pPr>
        <w:pStyle w:val="NormalWeb"/>
        <w:spacing w:line="360" w:lineRule="auto"/>
      </w:pPr>
      <w:r w:rsidRPr="00170C3A">
        <w:rPr>
          <w:noProof/>
          <w:color w:val="EE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F97182" wp14:editId="0D845D93">
                <wp:simplePos x="0" y="0"/>
                <wp:positionH relativeFrom="column">
                  <wp:posOffset>1472565</wp:posOffset>
                </wp:positionH>
                <wp:positionV relativeFrom="paragraph">
                  <wp:posOffset>1593215</wp:posOffset>
                </wp:positionV>
                <wp:extent cx="251460" cy="251460"/>
                <wp:effectExtent l="0" t="0" r="15240" b="15240"/>
                <wp:wrapNone/>
                <wp:docPr id="1141696791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D9C2F4" w14:textId="77777777" w:rsidR="00170C3A" w:rsidRPr="00170C3A" w:rsidRDefault="00170C3A" w:rsidP="00170C3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0C3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97182" id="Caixa de Texto 4" o:spid="_x0000_s1029" type="#_x0000_t202" style="position:absolute;margin-left:115.95pt;margin-top:125.45pt;width:19.8pt;height:19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" fillcolor="white [3201]" strokeweight=".5pt">
                <v:textbox>
                  <w:txbxContent>
                    <w:p w14:paraId="7DD9C2F4" w14:textId="77777777" w:rsidR="00170C3A" w:rsidRPr="00170C3A" w:rsidRDefault="00170C3A" w:rsidP="00170C3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70C3A">
                        <w:rPr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170C3A">
        <w:rPr>
          <w:noProof/>
          <w:color w:val="EE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067F9C" wp14:editId="565A47C8">
                <wp:simplePos x="0" y="0"/>
                <wp:positionH relativeFrom="column">
                  <wp:posOffset>47625</wp:posOffset>
                </wp:positionH>
                <wp:positionV relativeFrom="paragraph">
                  <wp:posOffset>1585595</wp:posOffset>
                </wp:positionV>
                <wp:extent cx="274320" cy="241935"/>
                <wp:effectExtent l="0" t="0" r="11430" b="24765"/>
                <wp:wrapNone/>
                <wp:docPr id="2015068399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241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8DE91C" w14:textId="77777777" w:rsidR="00170C3A" w:rsidRPr="00170C3A" w:rsidRDefault="00170C3A" w:rsidP="00170C3A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0C3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67F9C" id="_x0000_s1030" type="#_x0000_t202" style="position:absolute;margin-left:3.75pt;margin-top:124.85pt;width:21.6pt;height:19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" fillcolor="white [3201]" strokeweight=".5pt">
                <v:textbox>
                  <w:txbxContent>
                    <w:p w14:paraId="2A8DE91C" w14:textId="77777777" w:rsidR="00170C3A" w:rsidRPr="00170C3A" w:rsidRDefault="00170C3A" w:rsidP="00170C3A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70C3A">
                        <w:rPr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170C3A">
        <w:rPr>
          <w:noProof/>
          <w:color w:val="EE0000"/>
        </w:rPr>
        <w:drawing>
          <wp:inline distT="0" distB="0" distL="0" distR="0" wp14:anchorId="6080A1C4" wp14:editId="41CABB70">
            <wp:extent cx="1356360" cy="1857402"/>
            <wp:effectExtent l="0" t="0" r="0" b="9525"/>
            <wp:docPr id="12051211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121163" name="Imagem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575" cy="1998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70C3A">
        <w:t xml:space="preserve">  </w:t>
      </w:r>
      <w:r w:rsidRPr="00170C3A">
        <w:rPr>
          <w:noProof/>
          <w:color w:val="EE0000"/>
        </w:rPr>
        <w:drawing>
          <wp:inline distT="0" distB="0" distL="0" distR="0" wp14:anchorId="19858C5C" wp14:editId="336662A4">
            <wp:extent cx="1356360" cy="1882140"/>
            <wp:effectExtent l="0" t="0" r="0" b="3810"/>
            <wp:docPr id="15115445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8855" name="Imagem 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" r="152" b="6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493" cy="1901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D92EF8" w14:textId="27D31878" w:rsidR="00170C3A" w:rsidRPr="00170C3A" w:rsidRDefault="00170C3A" w:rsidP="00170C3A">
      <w:pPr>
        <w:pStyle w:val="NormalWeb"/>
        <w:spacing w:line="360" w:lineRule="auto"/>
        <w:jc w:val="both"/>
        <w:rPr>
          <w:sz w:val="20"/>
          <w:szCs w:val="20"/>
        </w:rPr>
      </w:pPr>
      <w:r w:rsidRPr="00170C3A">
        <w:rPr>
          <w:sz w:val="20"/>
          <w:szCs w:val="20"/>
        </w:rPr>
        <w:t xml:space="preserve">(A) Cadela se movimentando normalmente após o procedimento cirúrgico; (B) Cadela reconhecendo o espaço </w:t>
      </w:r>
      <w:r>
        <w:rPr>
          <w:sz w:val="20"/>
          <w:szCs w:val="20"/>
        </w:rPr>
        <w:t xml:space="preserve">no qual </w:t>
      </w:r>
      <w:r w:rsidRPr="00170C3A">
        <w:rPr>
          <w:sz w:val="20"/>
          <w:szCs w:val="20"/>
        </w:rPr>
        <w:t>vai se movimentar.</w:t>
      </w:r>
    </w:p>
    <w:p w14:paraId="49EBEBC3" w14:textId="77777777" w:rsidR="00170C3A" w:rsidRPr="00170C3A" w:rsidRDefault="00170C3A" w:rsidP="00170C3A">
      <w:pPr>
        <w:pStyle w:val="NormalWeb"/>
        <w:spacing w:line="360" w:lineRule="auto"/>
        <w:jc w:val="both"/>
        <w:rPr>
          <w:sz w:val="20"/>
          <w:szCs w:val="20"/>
        </w:rPr>
      </w:pPr>
      <w:r w:rsidRPr="00170C3A">
        <w:rPr>
          <w:b/>
          <w:bCs/>
          <w:sz w:val="20"/>
          <w:szCs w:val="20"/>
        </w:rPr>
        <w:t xml:space="preserve">Fonte: </w:t>
      </w:r>
      <w:r w:rsidRPr="00170C3A">
        <w:rPr>
          <w:sz w:val="20"/>
          <w:szCs w:val="20"/>
        </w:rPr>
        <w:t>Próprio autor (2026).</w:t>
      </w:r>
    </w:p>
    <w:p w14:paraId="7AC0617E" w14:textId="6029D52D" w:rsidR="00170C3A" w:rsidRPr="00170C3A" w:rsidRDefault="00170C3A" w:rsidP="00170C3A">
      <w:pPr>
        <w:pStyle w:val="NormalWeb"/>
        <w:spacing w:before="100" w:beforeAutospacing="1" w:after="100" w:afterAutospacing="1" w:line="360" w:lineRule="auto"/>
        <w:jc w:val="both"/>
      </w:pPr>
      <w:r>
        <w:t>4.2</w:t>
      </w:r>
      <w:r w:rsidRPr="00170C3A">
        <w:t xml:space="preserve"> Discussão</w:t>
      </w:r>
    </w:p>
    <w:p w14:paraId="41690DD1" w14:textId="77777777" w:rsidR="00170C3A" w:rsidRPr="00170C3A" w:rsidRDefault="00170C3A" w:rsidP="00170C3A">
      <w:pPr>
        <w:pStyle w:val="NormalWeb"/>
        <w:spacing w:line="360" w:lineRule="auto"/>
        <w:ind w:firstLine="709"/>
        <w:jc w:val="both"/>
      </w:pPr>
      <w:r w:rsidRPr="00170C3A">
        <w:t xml:space="preserve"> A fratura espiral completa de tíbia e fíbula observada na paciente Athena representa uma das lesões ortopédicas mais frequentemente associadas a traumas de alta energia em cães, especialmente atropelamentos, quedas e acidentes que promovem forças rotacionais intensas sobre o membro acometido, esse tipo de fratura apresenta elevada instabilidade mecânica, deslocamento dos fragmentos ósseos e importante comprometimento funcional, fatores que dificultam a recuperação do membro e exigem uma avaliação criteriosa da gravidade da lesão  (Ferreira </w:t>
      </w:r>
      <w:r w:rsidRPr="00170C3A">
        <w:rPr>
          <w:i/>
          <w:iCs/>
        </w:rPr>
        <w:t>et al</w:t>
      </w:r>
      <w:r w:rsidRPr="00170C3A">
        <w:t xml:space="preserve">., 2025), além disso as fraturas de ossos longos figuram entre as principais causas </w:t>
      </w:r>
      <w:r w:rsidRPr="00170C3A">
        <w:lastRenderedPageBreak/>
        <w:t>de atendimento emergencial em pequenos animais, sendo os membros pélvicos frequentemente acometidos devido à sua função de sustentação e locomoção.</w:t>
      </w:r>
    </w:p>
    <w:p w14:paraId="2CE61E0B" w14:textId="77777777" w:rsidR="00170C3A" w:rsidRDefault="00170C3A" w:rsidP="00170C3A">
      <w:pPr>
        <w:pStyle w:val="NormalWeb"/>
        <w:spacing w:line="360" w:lineRule="auto"/>
        <w:ind w:firstLine="709"/>
        <w:jc w:val="both"/>
        <w:rPr>
          <w:rStyle w:val="citation-549"/>
        </w:rPr>
      </w:pPr>
    </w:p>
    <w:p w14:paraId="7643EC41" w14:textId="131B5C79" w:rsidR="00170C3A" w:rsidRPr="00170C3A" w:rsidRDefault="00170C3A" w:rsidP="00365A54">
      <w:pPr>
        <w:pStyle w:val="NormalWeb"/>
        <w:spacing w:line="360" w:lineRule="auto"/>
        <w:ind w:firstLine="709"/>
        <w:jc w:val="both"/>
      </w:pPr>
      <w:r w:rsidRPr="00170C3A">
        <w:rPr>
          <w:rStyle w:val="citation-549"/>
        </w:rPr>
        <w:t>Especificamente, as fraturas que envolvem a tíbia e a fíbula demandam cuidados meticulosos na conduta veterinária</w:t>
      </w:r>
      <w:r w:rsidRPr="00170C3A">
        <w:t xml:space="preserve">. </w:t>
      </w:r>
      <w:r w:rsidRPr="00170C3A">
        <w:rPr>
          <w:rStyle w:val="citation-548"/>
        </w:rPr>
        <w:t>A escassa cobertura muscular na face medial da tíbia predispõe a região a uma maior instabilidade óssea, além de elevar o risco de exposições, danos severos aos tecidos moles circundantes e potenciais atrasos ou complicações na consolidação</w:t>
      </w:r>
      <w:r w:rsidRPr="00170C3A">
        <w:t xml:space="preserve">. </w:t>
      </w:r>
      <w:r w:rsidRPr="00170C3A">
        <w:rPr>
          <w:rStyle w:val="citation-547"/>
        </w:rPr>
        <w:t xml:space="preserve">Quando forças rotacionais severas agem sobre o osso, é comum a ocorrência de fraturas de padrão espiral, as quais geram desalinhamento anatômico e descontinuidade da diáfise (Ferreira </w:t>
      </w:r>
      <w:r w:rsidRPr="00170C3A">
        <w:rPr>
          <w:rStyle w:val="citation-547"/>
          <w:i/>
          <w:iCs/>
        </w:rPr>
        <w:t>et al</w:t>
      </w:r>
      <w:r w:rsidRPr="00170C3A">
        <w:rPr>
          <w:rStyle w:val="citation-547"/>
        </w:rPr>
        <w:t>., 2025)</w:t>
      </w:r>
      <w:r w:rsidRPr="00170C3A">
        <w:t>.</w:t>
      </w:r>
      <w:r w:rsidRPr="00170C3A">
        <w:rPr>
          <w:color w:val="C00000"/>
        </w:rPr>
        <w:t xml:space="preserve"> </w:t>
      </w:r>
    </w:p>
    <w:p w14:paraId="26CB77F2" w14:textId="77777777" w:rsidR="00170C3A" w:rsidRPr="00170C3A" w:rsidRDefault="00170C3A" w:rsidP="00170C3A">
      <w:pPr>
        <w:pStyle w:val="NormalWeb"/>
        <w:spacing w:line="360" w:lineRule="auto"/>
        <w:ind w:firstLine="709"/>
        <w:jc w:val="both"/>
      </w:pPr>
      <w:r w:rsidRPr="00170C3A">
        <w:t>Os achados radiográficos observados neste caso, caracterizados pela presença de fratura espiral completa na diáfise distal da tíbia e fíbula, desalinhamento do eixo anatômico e aumento de volume dos tecidos moles adjacentes, estão em conformidade com as alterações descritas em lesões traumáticas graves dos membros pélvicos. A radiografia desempenha papel fundamental na avaliação ortopédica, permitindo identificar a extensão do dano ósseo, o grau de deslocamento dos fragmentos e o comprometimento das estruturas adjacentes, fornecendo informações essenciais para a definição da conduta terapêutica e do prognóstico do paciente (</w:t>
      </w:r>
      <w:proofErr w:type="spellStart"/>
      <w:r w:rsidRPr="00170C3A">
        <w:t>Chitolina</w:t>
      </w:r>
      <w:proofErr w:type="spellEnd"/>
      <w:r w:rsidRPr="00170C3A">
        <w:t xml:space="preserve"> </w:t>
      </w:r>
      <w:r w:rsidRPr="00170C3A">
        <w:rPr>
          <w:i/>
          <w:iCs/>
        </w:rPr>
        <w:t>et al</w:t>
      </w:r>
      <w:r w:rsidRPr="00170C3A">
        <w:t>., 2022).</w:t>
      </w:r>
    </w:p>
    <w:p w14:paraId="66C53BFB" w14:textId="77777777" w:rsidR="00170C3A" w:rsidRPr="00170C3A" w:rsidRDefault="00170C3A" w:rsidP="00170C3A">
      <w:pPr>
        <w:pStyle w:val="NormalWeb"/>
        <w:spacing w:line="360" w:lineRule="auto"/>
        <w:ind w:firstLine="709"/>
        <w:jc w:val="both"/>
      </w:pPr>
      <w:r w:rsidRPr="00170C3A">
        <w:t>A decisão pela amputação completa do membro pélvico direito foi fundamentada com base na gravidade da lesão observada e no ambiente no qual essa cadela vive. A amputação constitui uma alternativa terapêutica indicada em situações nas quais a preservação do membro não oferece benefícios clínicos significativos ou apresenta elevado risco de complicações (</w:t>
      </w:r>
      <w:proofErr w:type="spellStart"/>
      <w:r w:rsidRPr="00170C3A">
        <w:t>Fossum</w:t>
      </w:r>
      <w:proofErr w:type="spellEnd"/>
      <w:r w:rsidRPr="00170C3A">
        <w:t xml:space="preserve">; 2019). Além disso, a avaliação do comprometimento ósseo e dos tecidos moles é determinante para a escolha da abordagem cirúrgica mais adequada em pacientes com fraturas complexas (Ferreira </w:t>
      </w:r>
      <w:r w:rsidRPr="00170C3A">
        <w:rPr>
          <w:i/>
          <w:iCs/>
        </w:rPr>
        <w:t>et al</w:t>
      </w:r>
      <w:r w:rsidRPr="00170C3A">
        <w:t>., 2025).</w:t>
      </w:r>
    </w:p>
    <w:p w14:paraId="379AE772" w14:textId="77777777" w:rsidR="00170C3A" w:rsidRPr="00170C3A" w:rsidRDefault="00170C3A" w:rsidP="00170C3A">
      <w:pPr>
        <w:pStyle w:val="NormalWeb"/>
        <w:spacing w:line="360" w:lineRule="auto"/>
        <w:ind w:firstLine="709"/>
        <w:jc w:val="both"/>
      </w:pPr>
      <w:r w:rsidRPr="00170C3A">
        <w:t>A evolução clínica observada após o procedimento foi considerada satisfatória, evidenciada pela adequada cicatrização da ferida cirúrgica, ausência de sinais de infecção e adaptação progressiva da paciente à locomoção em três membros. Estudos demonstram que cães submetidos à amputação apresentam elevada capacidade de compensação biomecânica, conseguindo redistribuir o peso corporal e retomar suas atividades habituais após o período de recuperação (</w:t>
      </w:r>
      <w:proofErr w:type="spellStart"/>
      <w:r w:rsidRPr="00170C3A">
        <w:t>Kirpensteijn</w:t>
      </w:r>
      <w:proofErr w:type="spellEnd"/>
      <w:r w:rsidRPr="00170C3A">
        <w:t xml:space="preserve"> </w:t>
      </w:r>
      <w:r w:rsidRPr="00170C3A">
        <w:rPr>
          <w:i/>
          <w:iCs/>
        </w:rPr>
        <w:t>et al</w:t>
      </w:r>
      <w:r w:rsidRPr="00170C3A">
        <w:t xml:space="preserve">., 1999). Esse aspecto foi claramente observado no presente caso, </w:t>
      </w:r>
      <w:r w:rsidRPr="00170C3A">
        <w:lastRenderedPageBreak/>
        <w:t>no qual o animal apresentou melhora gradual da mobilidade e do estado geral durante o acompanhamento pós-operatório.</w:t>
      </w:r>
    </w:p>
    <w:p w14:paraId="78643F6E" w14:textId="77777777" w:rsidR="00170C3A" w:rsidRDefault="00170C3A" w:rsidP="00170C3A">
      <w:pPr>
        <w:pStyle w:val="NormalWeb"/>
        <w:spacing w:line="360" w:lineRule="auto"/>
        <w:ind w:firstLine="709"/>
        <w:jc w:val="both"/>
      </w:pPr>
    </w:p>
    <w:p w14:paraId="40943538" w14:textId="6166BB2D" w:rsidR="008F1DA1" w:rsidRPr="00170C3A" w:rsidRDefault="00170C3A" w:rsidP="00170C3A">
      <w:pPr>
        <w:pStyle w:val="NormalWeb"/>
        <w:spacing w:line="360" w:lineRule="auto"/>
        <w:ind w:firstLine="709"/>
        <w:jc w:val="both"/>
      </w:pPr>
      <w:r w:rsidRPr="00170C3A">
        <w:t xml:space="preserve">O protocolo terapêutico empregado, composto por analgesia, anti-inflamatórios, antibioticoterapia e cuidados locais com a ferida cirúrgica, contribuiu diretamente para o sucesso da recuperação. O acompanhamento clínico contínuo é indispensável para monitorar a evolução dos pacientes submetidos a procedimentos ortopédicos, permitindo a identificação precoce de possíveis complicações e a adoção de medidas corretivas quando necessário (Canola </w:t>
      </w:r>
      <w:r w:rsidRPr="00170C3A">
        <w:rPr>
          <w:i/>
          <w:iCs/>
        </w:rPr>
        <w:t>et al</w:t>
      </w:r>
      <w:r w:rsidRPr="00170C3A">
        <w:t>., 1996). Dessa forma, os resultados obtidos corroboram a literatura científica ao demonstrar que a associação entre diagnóstico radiográfico adequado, indicação cirúrgica criteriosa e manejo pós-operatório eficiente é fundamental para proporcionar recuperação satisfatória e qualidade de vida aos cães acometidos por fraturas graves dos membros pélvicos.</w:t>
      </w:r>
    </w:p>
    <w:p w14:paraId="10CA7B37" w14:textId="77777777" w:rsidR="008F1DA1" w:rsidRDefault="00000000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02D4CBB1" w14:textId="77777777" w:rsidR="00170C3A" w:rsidRPr="00170C3A" w:rsidRDefault="00170C3A" w:rsidP="00170C3A">
      <w:pPr>
        <w:pStyle w:val="NormalWeb"/>
        <w:spacing w:line="360" w:lineRule="auto"/>
        <w:ind w:firstLine="709"/>
        <w:jc w:val="both"/>
      </w:pPr>
      <w:r w:rsidRPr="00170C3A">
        <w:t>O presente estudo permitiu compreender a importância do diagnóstico e da tomada de decisão terapêutica em casos de fraturas ortopédicas graves em cães, por meio da descrição do atendimento clínico e cirúrgico de uma cadela sem raça definida acometida por fratura espiral completa de tíbia e fíbula. A avaliação clínica associada aos exames radiográficos foi fundamental para determinar a extensão da lesão e demonstrar que a preservação do membro não ofereceria um prognóstico funcional satisfatório, tornando a amputação a alternativa mais adequada para o caso.</w:t>
      </w:r>
    </w:p>
    <w:p w14:paraId="3896F57B" w14:textId="77777777" w:rsidR="00170C3A" w:rsidRPr="00170C3A" w:rsidRDefault="00170C3A" w:rsidP="00170C3A">
      <w:pPr>
        <w:pStyle w:val="NormalWeb"/>
        <w:spacing w:line="360" w:lineRule="auto"/>
        <w:ind w:firstLine="709"/>
        <w:jc w:val="both"/>
      </w:pPr>
      <w:r w:rsidRPr="00170C3A">
        <w:t>Os resultados obtidos evidenciaram que a conduta adotada foi eficiente, uma vez que a paciente apresentou boa evolução clínica após o procedimento cirúrgico. A associação entre a amputação, o tratamento medicamentoso e os cuidados pós-operatórios possibilitaram adequada cicatrização da ferida cirúrgica, ausência de complicações infecciosas e adaptação progressiva à locomoção em três membros. A recuperação observada ao longo do acompanhamento demonstrou que, quando corretamente indicada, a amputação pode proporcionar conforto, bem-estar e qualidade de vida ao animal.</w:t>
      </w:r>
    </w:p>
    <w:p w14:paraId="15354B26" w14:textId="77777777" w:rsidR="00170C3A" w:rsidRDefault="00170C3A" w:rsidP="00170C3A">
      <w:pPr>
        <w:pStyle w:val="NormalWeb"/>
        <w:spacing w:line="360" w:lineRule="auto"/>
        <w:ind w:firstLine="709"/>
        <w:jc w:val="both"/>
      </w:pPr>
      <w:r w:rsidRPr="00170C3A">
        <w:t xml:space="preserve">Além disso, este relato reforça a importância da avaliação individualizada de cada paciente, considerando não apenas a gravidade da lesão, mas também fatores relacionados ao manejo, ao ambiente e às condições gerais de recuperação. Embora muitas fraturas possam ser tratadas por técnicas reconstrutivas, existem situações em que a amputação representa a opção </w:t>
      </w:r>
    </w:p>
    <w:p w14:paraId="206B4AC9" w14:textId="77777777" w:rsidR="00170C3A" w:rsidRDefault="00170C3A" w:rsidP="00170C3A">
      <w:pPr>
        <w:pStyle w:val="NormalWeb"/>
        <w:spacing w:line="360" w:lineRule="auto"/>
        <w:ind w:firstLine="709"/>
        <w:jc w:val="both"/>
      </w:pPr>
    </w:p>
    <w:p w14:paraId="63702C77" w14:textId="77777777" w:rsidR="00170C3A" w:rsidRDefault="00170C3A" w:rsidP="00170C3A">
      <w:pPr>
        <w:pStyle w:val="NormalWeb"/>
        <w:spacing w:line="360" w:lineRule="auto"/>
        <w:jc w:val="both"/>
      </w:pPr>
    </w:p>
    <w:p w14:paraId="12A581A7" w14:textId="77777777" w:rsidR="00D31EE8" w:rsidRDefault="00D31EE8" w:rsidP="00170C3A">
      <w:pPr>
        <w:pStyle w:val="NormalWeb"/>
        <w:spacing w:line="360" w:lineRule="auto"/>
        <w:jc w:val="both"/>
      </w:pPr>
    </w:p>
    <w:p w14:paraId="125441A9" w14:textId="4B262D52" w:rsidR="00170C3A" w:rsidRPr="00170C3A" w:rsidRDefault="00170C3A" w:rsidP="00170C3A">
      <w:pPr>
        <w:pStyle w:val="NormalWeb"/>
        <w:spacing w:line="360" w:lineRule="auto"/>
        <w:jc w:val="both"/>
      </w:pPr>
      <w:r w:rsidRPr="00170C3A">
        <w:t>mais segura e humanitária, reduzindo o sofrimento do animal e favorecendo uma recuperação mais rápida.</w:t>
      </w:r>
    </w:p>
    <w:p w14:paraId="4567AFEF" w14:textId="77777777" w:rsidR="00170C3A" w:rsidRPr="00170C3A" w:rsidRDefault="00170C3A" w:rsidP="00170C3A">
      <w:pPr>
        <w:pStyle w:val="NormalWeb"/>
        <w:spacing w:line="360" w:lineRule="auto"/>
        <w:ind w:firstLine="709"/>
        <w:jc w:val="both"/>
      </w:pPr>
      <w:r w:rsidRPr="00170C3A">
        <w:t>Por fim, o trabalho evidencia a necessidade de diagnóstico precoce, planejamento terapêutico adequado e acompanhamento clínico contínuo para obtenção de resultados satisfatórios em casos de traumas ortopédicos severos. Recomenda-se que novas pesquisas investiguem aspectos relacionados à adaptação locomotora, qualidade de vida e reabilitação de cães amputados, contribuindo para o aperfeiçoamento das condutas clínicas e cirúrgicas empregadas na ortopedia veterinária.</w:t>
      </w:r>
    </w:p>
    <w:p w14:paraId="42E5A69A" w14:textId="77777777" w:rsidR="008F1DA1" w:rsidRDefault="008F1DA1">
      <w:pPr>
        <w:spacing w:line="360" w:lineRule="auto"/>
        <w:rPr>
          <w:b/>
          <w:bCs/>
          <w:sz w:val="24"/>
          <w:szCs w:val="24"/>
        </w:rPr>
      </w:pPr>
    </w:p>
    <w:p w14:paraId="7F352F91" w14:textId="523EB803" w:rsidR="008F1DA1" w:rsidRDefault="00000000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  <w:r w:rsidR="00D31EE8">
        <w:rPr>
          <w:b/>
          <w:bCs/>
          <w:sz w:val="24"/>
          <w:szCs w:val="24"/>
        </w:rPr>
        <w:t xml:space="preserve"> BIBLIOGRÁFICAS</w:t>
      </w:r>
    </w:p>
    <w:p w14:paraId="0DCEB6F8" w14:textId="77777777" w:rsidR="00D31EE8" w:rsidRPr="00D31EE8" w:rsidRDefault="00D31EE8" w:rsidP="00D31EE8">
      <w:pPr>
        <w:pStyle w:val="Corpodetexto"/>
        <w:rPr>
          <w:rFonts w:ascii="Times New Roman" w:hAnsi="Times New Roman" w:cs="Times New Roman"/>
        </w:rPr>
      </w:pPr>
      <w:r w:rsidRPr="00D31EE8">
        <w:rPr>
          <w:rFonts w:ascii="Times New Roman" w:hAnsi="Times New Roman" w:cs="Times New Roman"/>
        </w:rPr>
        <w:t xml:space="preserve">CANOLA, J. C.; CANSI, E. R.; SCHOSSLER, J. E. W. Avaliação radiográfica do processo de consolidação óssea em cães. </w:t>
      </w:r>
      <w:r w:rsidRPr="00D31EE8">
        <w:rPr>
          <w:rFonts w:ascii="Times New Roman" w:hAnsi="Times New Roman" w:cs="Times New Roman"/>
          <w:i/>
          <w:iCs/>
        </w:rPr>
        <w:t>Ciência Rural</w:t>
      </w:r>
      <w:r w:rsidRPr="00D31EE8">
        <w:rPr>
          <w:rFonts w:ascii="Times New Roman" w:hAnsi="Times New Roman" w:cs="Times New Roman"/>
        </w:rPr>
        <w:t>, Santa Maria, v. 26, n. 1, p. 123-128, 1996.</w:t>
      </w:r>
    </w:p>
    <w:p w14:paraId="4E4DFCEB" w14:textId="5987715A" w:rsidR="00D31EE8" w:rsidRPr="00D31EE8" w:rsidRDefault="00D31EE8" w:rsidP="00D31EE8">
      <w:pPr>
        <w:pStyle w:val="Corpodetexto"/>
        <w:rPr>
          <w:rFonts w:ascii="Times New Roman" w:hAnsi="Times New Roman" w:cs="Times New Roman"/>
        </w:rPr>
      </w:pPr>
      <w:r w:rsidRPr="00D31EE8">
        <w:rPr>
          <w:rFonts w:ascii="Times New Roman" w:hAnsi="Times New Roman" w:cs="Times New Roman"/>
        </w:rPr>
        <w:t xml:space="preserve">CAMPOS, Y. G. R, </w:t>
      </w:r>
      <w:r w:rsidRPr="00D31EE8">
        <w:rPr>
          <w:rFonts w:ascii="Times New Roman" w:hAnsi="Times New Roman" w:cs="Times New Roman"/>
          <w:i/>
          <w:iCs/>
        </w:rPr>
        <w:t>et al</w:t>
      </w:r>
      <w:r w:rsidRPr="00D31EE8">
        <w:rPr>
          <w:rFonts w:ascii="Times New Roman" w:hAnsi="Times New Roman" w:cs="Times New Roman"/>
        </w:rPr>
        <w:t>., Estudo retrospectivo multicêntrico das principais afecções ortopédicas em membros pélvicos de cães em Manaus, Amazonas no período de 2018 a 2021. Pubvet, </w:t>
      </w:r>
      <w:r w:rsidRPr="00D31EE8">
        <w:rPr>
          <w:rFonts w:ascii="Times New Roman" w:hAnsi="Times New Roman" w:cs="Times New Roman"/>
          <w:i/>
          <w:iCs/>
        </w:rPr>
        <w:t>[S. l.]</w:t>
      </w:r>
      <w:r w:rsidRPr="00D31EE8">
        <w:rPr>
          <w:rFonts w:ascii="Times New Roman" w:hAnsi="Times New Roman" w:cs="Times New Roman"/>
        </w:rPr>
        <w:t xml:space="preserve">, v. 17, n. 11, p. e1474, 2023. </w:t>
      </w:r>
    </w:p>
    <w:p w14:paraId="20EC9F63" w14:textId="529FDA53" w:rsidR="00D31EE8" w:rsidRPr="00D31EE8" w:rsidRDefault="00D31EE8" w:rsidP="00D31EE8">
      <w:pPr>
        <w:pStyle w:val="Corpodetexto"/>
        <w:rPr>
          <w:rFonts w:ascii="Times New Roman" w:hAnsi="Times New Roman" w:cs="Times New Roman"/>
        </w:rPr>
      </w:pPr>
      <w:r w:rsidRPr="00D31EE8">
        <w:rPr>
          <w:rFonts w:ascii="Times New Roman" w:hAnsi="Times New Roman" w:cs="Times New Roman"/>
        </w:rPr>
        <w:t xml:space="preserve">CHITOLINA, T, </w:t>
      </w:r>
      <w:r w:rsidRPr="00D31EE8">
        <w:rPr>
          <w:rFonts w:ascii="Times New Roman" w:hAnsi="Times New Roman" w:cs="Times New Roman"/>
          <w:i/>
          <w:iCs/>
        </w:rPr>
        <w:t>et al</w:t>
      </w:r>
      <w:r w:rsidRPr="00D31EE8">
        <w:rPr>
          <w:rFonts w:ascii="Times New Roman" w:hAnsi="Times New Roman" w:cs="Times New Roman"/>
        </w:rPr>
        <w:t>., FRATURAS APENDICULARES EM CÃES E GATOS: CASUÍSTICA. Ciência Animal, </w:t>
      </w:r>
      <w:r w:rsidRPr="00D31EE8">
        <w:rPr>
          <w:rFonts w:ascii="Times New Roman" w:hAnsi="Times New Roman" w:cs="Times New Roman"/>
          <w:i/>
          <w:iCs/>
        </w:rPr>
        <w:t>[S. l.]</w:t>
      </w:r>
      <w:r w:rsidRPr="00D31EE8">
        <w:rPr>
          <w:rFonts w:ascii="Times New Roman" w:hAnsi="Times New Roman" w:cs="Times New Roman"/>
        </w:rPr>
        <w:t xml:space="preserve">, v. 32, n. 1, p. 45–54, 2022. </w:t>
      </w:r>
    </w:p>
    <w:p w14:paraId="30AB4E8A" w14:textId="2FAE73DE" w:rsidR="00D31EE8" w:rsidRPr="00D31EE8" w:rsidRDefault="00D31EE8" w:rsidP="00D31EE8">
      <w:pPr>
        <w:pStyle w:val="Corpodetexto"/>
        <w:rPr>
          <w:rFonts w:ascii="Times New Roman" w:hAnsi="Times New Roman" w:cs="Times New Roman"/>
        </w:rPr>
      </w:pPr>
      <w:r w:rsidRPr="00D31EE8">
        <w:rPr>
          <w:rFonts w:ascii="Times New Roman" w:hAnsi="Times New Roman" w:cs="Times New Roman"/>
        </w:rPr>
        <w:t xml:space="preserve">FERREIRA, B, </w:t>
      </w:r>
      <w:r w:rsidRPr="00D31EE8">
        <w:rPr>
          <w:rFonts w:ascii="Times New Roman" w:hAnsi="Times New Roman" w:cs="Times New Roman"/>
          <w:i/>
          <w:iCs/>
        </w:rPr>
        <w:t>et al</w:t>
      </w:r>
      <w:r w:rsidRPr="00D31EE8">
        <w:rPr>
          <w:rFonts w:ascii="Times New Roman" w:hAnsi="Times New Roman" w:cs="Times New Roman"/>
        </w:rPr>
        <w:t>., Osteossíntese de tíbia e fíbula em cão adulto. Pubvet, </w:t>
      </w:r>
      <w:r w:rsidRPr="00D31EE8">
        <w:rPr>
          <w:rFonts w:ascii="Times New Roman" w:hAnsi="Times New Roman" w:cs="Times New Roman"/>
          <w:i/>
          <w:iCs/>
        </w:rPr>
        <w:t>[S. l.]</w:t>
      </w:r>
      <w:r w:rsidRPr="00D31EE8">
        <w:rPr>
          <w:rFonts w:ascii="Times New Roman" w:hAnsi="Times New Roman" w:cs="Times New Roman"/>
        </w:rPr>
        <w:t xml:space="preserve">, v. 19, n. 11, p. e1867, 2025. </w:t>
      </w:r>
    </w:p>
    <w:p w14:paraId="36F0D91A" w14:textId="77777777" w:rsidR="00D31EE8" w:rsidRPr="00D31EE8" w:rsidRDefault="00D31EE8" w:rsidP="00D31EE8">
      <w:pPr>
        <w:pStyle w:val="Corpodetexto"/>
        <w:rPr>
          <w:rFonts w:ascii="Times New Roman" w:hAnsi="Times New Roman" w:cs="Times New Roman"/>
        </w:rPr>
      </w:pPr>
      <w:r w:rsidRPr="00D31EE8">
        <w:rPr>
          <w:rFonts w:ascii="Times New Roman" w:hAnsi="Times New Roman" w:cs="Times New Roman"/>
        </w:rPr>
        <w:t>FOSSUM, Theresa Welch. Cirurgia de pequenos animais. 5. ed. Rio de Janeiro: Elsevier, 2019.</w:t>
      </w:r>
    </w:p>
    <w:p w14:paraId="50C59389" w14:textId="6739CE5B" w:rsidR="00D31EE8" w:rsidRPr="00D31EE8" w:rsidRDefault="00D31EE8" w:rsidP="00D31EE8">
      <w:pPr>
        <w:pStyle w:val="Corpodetexto"/>
        <w:rPr>
          <w:rFonts w:ascii="Times New Roman" w:hAnsi="Times New Roman" w:cs="Times New Roman"/>
        </w:rPr>
      </w:pPr>
      <w:r w:rsidRPr="00D31EE8">
        <w:rPr>
          <w:rFonts w:ascii="Times New Roman" w:hAnsi="Times New Roman" w:cs="Times New Roman"/>
        </w:rPr>
        <w:t xml:space="preserve">FREITAS, S. H.; DÓRIA, R. G. S.; MENDONÇA, F. S.; CAMARGO, L. M.; PRESSER, C. I.; SANTOS, M. D.; SHIMANO, A. C.; AMBRÓSIO, C. E. Avaliação morfológica e por imagem radiográfica da matriz óssea mineralizada heteróloga fragmentada e metilmetacrilato, preservados em glicerina para reparação de falhas ósseas em tíbias de coelhos. </w:t>
      </w:r>
      <w:r w:rsidRPr="00D31EE8">
        <w:rPr>
          <w:rFonts w:ascii="Times New Roman" w:hAnsi="Times New Roman" w:cs="Times New Roman"/>
          <w:i/>
          <w:iCs/>
        </w:rPr>
        <w:t>Pesquisa Veterinária Brasileira</w:t>
      </w:r>
      <w:r w:rsidRPr="00D31EE8">
        <w:rPr>
          <w:rFonts w:ascii="Times New Roman" w:hAnsi="Times New Roman" w:cs="Times New Roman"/>
        </w:rPr>
        <w:t xml:space="preserve">, v. 33, n. 6, p. 765-770, 2013. </w:t>
      </w:r>
    </w:p>
    <w:p w14:paraId="46B9C77C" w14:textId="5311A6D3" w:rsidR="00D31EE8" w:rsidRPr="00D31EE8" w:rsidRDefault="00D31EE8" w:rsidP="00D31EE8">
      <w:pPr>
        <w:pStyle w:val="Corpodetexto"/>
        <w:rPr>
          <w:rFonts w:ascii="Times New Roman" w:hAnsi="Times New Roman" w:cs="Times New Roman"/>
        </w:rPr>
      </w:pPr>
      <w:r w:rsidRPr="00D31EE8">
        <w:rPr>
          <w:rFonts w:ascii="Times New Roman" w:hAnsi="Times New Roman" w:cs="Times New Roman"/>
        </w:rPr>
        <w:t>Kirpensteijn J, van den Bos R, Endenburg N. Adaptation of dogs to the amputation of a limb and their owners' satisfaction with the procedure. </w:t>
      </w:r>
      <w:r w:rsidRPr="00D31EE8">
        <w:rPr>
          <w:rFonts w:ascii="Times New Roman" w:hAnsi="Times New Roman" w:cs="Times New Roman"/>
          <w:i/>
          <w:iCs/>
        </w:rPr>
        <w:t>Vet Rec</w:t>
      </w:r>
      <w:r w:rsidRPr="00D31EE8">
        <w:rPr>
          <w:rFonts w:ascii="Times New Roman" w:hAnsi="Times New Roman" w:cs="Times New Roman"/>
        </w:rPr>
        <w:t xml:space="preserve">. 1999;144(5):115-118. </w:t>
      </w:r>
    </w:p>
    <w:p w14:paraId="366ED4C6" w14:textId="77777777" w:rsidR="008F1DA1" w:rsidRDefault="008F1DA1" w:rsidP="00D31EE8">
      <w:pPr>
        <w:spacing w:line="360" w:lineRule="auto"/>
        <w:rPr>
          <w:sz w:val="24"/>
          <w:szCs w:val="24"/>
        </w:rPr>
      </w:pPr>
    </w:p>
    <w:p w14:paraId="54E57696" w14:textId="77777777" w:rsidR="008F1DA1" w:rsidRDefault="008F1DA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02033D5A" w14:textId="77777777" w:rsidR="008F1DA1" w:rsidRDefault="008F1DA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5155458A" w14:textId="77777777" w:rsidR="008F1DA1" w:rsidRDefault="008F1DA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4F59A08B" w14:textId="77777777" w:rsidR="008F1DA1" w:rsidRDefault="008F1DA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p w14:paraId="3C70C412" w14:textId="77777777" w:rsidR="008F1DA1" w:rsidRDefault="008F1DA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sectPr w:rsidR="008F1DA1">
      <w:headerReference w:type="default" r:id="rId11"/>
      <w:footerReference w:type="default" r:id="rId12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3C836" w14:textId="77777777" w:rsidR="00660D85" w:rsidRDefault="00660D85">
      <w:r>
        <w:separator/>
      </w:r>
    </w:p>
  </w:endnote>
  <w:endnote w:type="continuationSeparator" w:id="0">
    <w:p w14:paraId="29BEA14D" w14:textId="77777777" w:rsidR="00660D85" w:rsidRDefault="00660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B0A5364-E416-4B36-828F-23C6119C344E}"/>
  </w:font>
  <w:font w:name="Arial MT">
    <w:altName w:val="Arial"/>
    <w:charset w:val="01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371B343-8668-4CE6-BD06-99959204C9EF}"/>
    <w:embedBold r:id="rId3" w:fontKey="{E8EB9F69-38F6-4D89-9D9B-53BB88782B6F}"/>
    <w:embedItalic r:id="rId4" w:fontKey="{9BFC4C61-61A8-4490-9623-A251259BFB3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D63043B-6279-4DFD-A554-48D6E3AD87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5422A" w14:textId="77777777" w:rsidR="008F1DA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83120B9" wp14:editId="4FC13837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20830ED" w14:textId="77777777" w:rsidR="008F1DA1" w:rsidRDefault="008F1D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3F49F50D" w14:textId="77777777" w:rsidR="008F1DA1" w:rsidRDefault="008F1D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FA9D4" w14:textId="77777777" w:rsidR="00660D85" w:rsidRDefault="00660D85">
      <w:r>
        <w:separator/>
      </w:r>
    </w:p>
  </w:footnote>
  <w:footnote w:type="continuationSeparator" w:id="0">
    <w:p w14:paraId="6FAF2505" w14:textId="77777777" w:rsidR="00660D85" w:rsidRDefault="00660D85">
      <w:r>
        <w:continuationSeparator/>
      </w:r>
    </w:p>
  </w:footnote>
  <w:footnote w:id="1">
    <w:p w14:paraId="1F35BB62" w14:textId="65F3C343" w:rsidR="00EE7D5F" w:rsidRDefault="004D6A0E" w:rsidP="00EE7D5F">
      <w:pPr>
        <w:tabs>
          <w:tab w:val="left" w:pos="1843"/>
          <w:tab w:val="left" w:pos="7240"/>
        </w:tabs>
        <w:spacing w:line="276" w:lineRule="auto"/>
        <w:ind w:right="-285"/>
        <w:rPr>
          <w:sz w:val="20"/>
          <w:szCs w:val="20"/>
        </w:rPr>
      </w:pPr>
      <w:r>
        <w:rPr>
          <w:sz w:val="20"/>
          <w:szCs w:val="20"/>
          <w:vertAlign w:val="superscript"/>
        </w:rPr>
        <w:t>¹</w:t>
      </w:r>
      <w:r>
        <w:rPr>
          <w:sz w:val="20"/>
          <w:szCs w:val="20"/>
        </w:rPr>
        <w:t>Graduando em Medicina Veterinária da UNICHRISFAPI</w:t>
      </w:r>
      <w:r w:rsidR="00EE7D5F" w:rsidRPr="00774BF1">
        <w:rPr>
          <w:sz w:val="20"/>
          <w:szCs w:val="20"/>
        </w:rPr>
        <w:t xml:space="preserve">. </w:t>
      </w:r>
    </w:p>
    <w:p w14:paraId="76D0D016" w14:textId="1131E77C" w:rsidR="00EE7D5F" w:rsidRDefault="004D6A0E" w:rsidP="00EE7D5F">
      <w:pPr>
        <w:tabs>
          <w:tab w:val="left" w:pos="2060"/>
          <w:tab w:val="left" w:pos="7240"/>
        </w:tabs>
        <w:spacing w:line="276" w:lineRule="auto"/>
        <w:ind w:right="-285"/>
        <w:rPr>
          <w:sz w:val="20"/>
          <w:szCs w:val="20"/>
        </w:rPr>
      </w:pPr>
      <w:bookmarkStart w:id="0" w:name="_Hlk176423396"/>
      <w:r>
        <w:rPr>
          <w:sz w:val="20"/>
          <w:szCs w:val="20"/>
          <w:vertAlign w:val="superscript"/>
        </w:rPr>
        <w:t>²</w:t>
      </w:r>
      <w:r w:rsidR="00EE7D5F" w:rsidRPr="00774BF1">
        <w:rPr>
          <w:sz w:val="20"/>
          <w:szCs w:val="20"/>
        </w:rPr>
        <w:t>Médic</w:t>
      </w:r>
      <w:r w:rsidR="00EE7D5F">
        <w:rPr>
          <w:sz w:val="20"/>
          <w:szCs w:val="20"/>
        </w:rPr>
        <w:t xml:space="preserve">o </w:t>
      </w:r>
      <w:r w:rsidR="00EE7D5F" w:rsidRPr="00774BF1">
        <w:rPr>
          <w:sz w:val="20"/>
          <w:szCs w:val="20"/>
        </w:rPr>
        <w:t>Veterinári</w:t>
      </w:r>
      <w:r w:rsidR="00EE7D5F">
        <w:rPr>
          <w:sz w:val="20"/>
          <w:szCs w:val="20"/>
        </w:rPr>
        <w:t>o</w:t>
      </w:r>
      <w:r w:rsidR="00EE7D5F" w:rsidRPr="00774BF1">
        <w:rPr>
          <w:sz w:val="20"/>
          <w:szCs w:val="20"/>
        </w:rPr>
        <w:t xml:space="preserve"> - UFPI. Docente </w:t>
      </w:r>
      <w:r>
        <w:rPr>
          <w:sz w:val="20"/>
          <w:szCs w:val="20"/>
        </w:rPr>
        <w:t>UNI</w:t>
      </w:r>
      <w:r w:rsidR="00EE7D5F" w:rsidRPr="00774BF1">
        <w:rPr>
          <w:sz w:val="20"/>
          <w:szCs w:val="20"/>
        </w:rPr>
        <w:t xml:space="preserve">CHRISFAPI, </w:t>
      </w:r>
      <w:r>
        <w:rPr>
          <w:sz w:val="20"/>
          <w:szCs w:val="20"/>
        </w:rPr>
        <w:t>p</w:t>
      </w:r>
      <w:r w:rsidR="00EE7D5F" w:rsidRPr="00774BF1">
        <w:rPr>
          <w:sz w:val="20"/>
          <w:szCs w:val="20"/>
        </w:rPr>
        <w:t xml:space="preserve">rofessor do curso Bacharelado em Medicina Veterinária. </w:t>
      </w:r>
      <w:bookmarkEnd w:id="0"/>
    </w:p>
    <w:p w14:paraId="42967C1C" w14:textId="43CBDEAB" w:rsidR="008F1DA1" w:rsidRDefault="008F1DA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E127C" w14:textId="77777777" w:rsidR="008F1DA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6033B505" wp14:editId="3AB47674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DA1"/>
    <w:rsid w:val="00170C3A"/>
    <w:rsid w:val="00216663"/>
    <w:rsid w:val="0030238F"/>
    <w:rsid w:val="003566A9"/>
    <w:rsid w:val="00365A54"/>
    <w:rsid w:val="003B4C22"/>
    <w:rsid w:val="004D6A0E"/>
    <w:rsid w:val="00572D75"/>
    <w:rsid w:val="00660D85"/>
    <w:rsid w:val="0071285D"/>
    <w:rsid w:val="008E469B"/>
    <w:rsid w:val="008F1DA1"/>
    <w:rsid w:val="00A65BDC"/>
    <w:rsid w:val="00AC57C5"/>
    <w:rsid w:val="00B81D27"/>
    <w:rsid w:val="00D31EE8"/>
    <w:rsid w:val="00DB1326"/>
    <w:rsid w:val="00DC3720"/>
    <w:rsid w:val="00EE7D5F"/>
    <w:rsid w:val="00F34547"/>
    <w:rsid w:val="00F6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D0FA8"/>
  <w15:docId w15:val="{F8B9B21C-83F8-446C-8A4C-CFDF57C9F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rpodetexto">
    <w:name w:val="Body Text"/>
    <w:basedOn w:val="Normal"/>
    <w:link w:val="CorpodetextoChar"/>
    <w:uiPriority w:val="1"/>
    <w:qFormat/>
    <w:rsid w:val="003B4C22"/>
    <w:pPr>
      <w:widowControl w:val="0"/>
      <w:autoSpaceDE w:val="0"/>
      <w:autoSpaceDN w:val="0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B4C22"/>
    <w:rPr>
      <w:rFonts w:ascii="Arial MT" w:eastAsia="Arial MT" w:hAnsi="Arial MT" w:cs="Arial MT"/>
      <w:sz w:val="24"/>
      <w:szCs w:val="24"/>
      <w:lang w:val="pt-PT" w:eastAsia="en-US"/>
    </w:rPr>
  </w:style>
  <w:style w:type="paragraph" w:styleId="NormalWeb">
    <w:name w:val="Normal (Web)"/>
    <w:basedOn w:val="Normal"/>
    <w:uiPriority w:val="99"/>
    <w:unhideWhenUsed/>
    <w:rsid w:val="004D6A0E"/>
    <w:pPr>
      <w:spacing w:after="160" w:line="259" w:lineRule="auto"/>
    </w:pPr>
    <w:rPr>
      <w:rFonts w:eastAsia="Calibri"/>
      <w:sz w:val="24"/>
      <w:szCs w:val="24"/>
    </w:rPr>
  </w:style>
  <w:style w:type="character" w:customStyle="1" w:styleId="citation-556">
    <w:name w:val="citation-556"/>
    <w:basedOn w:val="Fontepargpadro"/>
    <w:rsid w:val="004D6A0E"/>
  </w:style>
  <w:style w:type="character" w:customStyle="1" w:styleId="citation-555">
    <w:name w:val="citation-555"/>
    <w:basedOn w:val="Fontepargpadro"/>
    <w:rsid w:val="004D6A0E"/>
  </w:style>
  <w:style w:type="character" w:customStyle="1" w:styleId="citation-554">
    <w:name w:val="citation-554"/>
    <w:basedOn w:val="Fontepargpadro"/>
    <w:rsid w:val="004D6A0E"/>
  </w:style>
  <w:style w:type="character" w:customStyle="1" w:styleId="citation-553">
    <w:name w:val="citation-553"/>
    <w:basedOn w:val="Fontepargpadro"/>
    <w:rsid w:val="004D6A0E"/>
  </w:style>
  <w:style w:type="character" w:customStyle="1" w:styleId="citation-552">
    <w:name w:val="citation-552"/>
    <w:basedOn w:val="Fontepargpadro"/>
    <w:rsid w:val="004D6A0E"/>
  </w:style>
  <w:style w:type="character" w:customStyle="1" w:styleId="citation-551">
    <w:name w:val="citation-551"/>
    <w:basedOn w:val="Fontepargpadro"/>
    <w:rsid w:val="004D6A0E"/>
  </w:style>
  <w:style w:type="character" w:customStyle="1" w:styleId="citation-550">
    <w:name w:val="citation-550"/>
    <w:basedOn w:val="Fontepargpadro"/>
    <w:rsid w:val="004D6A0E"/>
  </w:style>
  <w:style w:type="character" w:customStyle="1" w:styleId="citation-549">
    <w:name w:val="citation-549"/>
    <w:basedOn w:val="Fontepargpadro"/>
    <w:rsid w:val="004D6A0E"/>
  </w:style>
  <w:style w:type="character" w:customStyle="1" w:styleId="citation-548">
    <w:name w:val="citation-548"/>
    <w:basedOn w:val="Fontepargpadro"/>
    <w:rsid w:val="004D6A0E"/>
  </w:style>
  <w:style w:type="character" w:customStyle="1" w:styleId="citation-547">
    <w:name w:val="citation-547"/>
    <w:basedOn w:val="Fontepargpadro"/>
    <w:rsid w:val="004D6A0E"/>
  </w:style>
  <w:style w:type="character" w:styleId="Hyperlink">
    <w:name w:val="Hyperlink"/>
    <w:basedOn w:val="Fontepargpadro"/>
    <w:uiPriority w:val="99"/>
    <w:unhideWhenUsed/>
    <w:rsid w:val="00D31E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2932</Words>
  <Characters>15834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 Gabriel</dc:creator>
  <cp:lastModifiedBy>Francisco Gabriel</cp:lastModifiedBy>
  <cp:revision>2</cp:revision>
  <cp:lastPrinted>2026-09-03T18:58:00Z</cp:lastPrinted>
  <dcterms:created xsi:type="dcterms:W3CDTF">2026-09-04T19:35:00Z</dcterms:created>
  <dcterms:modified xsi:type="dcterms:W3CDTF">2026-09-04T19:35:00Z</dcterms:modified>
</cp:coreProperties>
</file>