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82B8" w14:textId="10E1F859" w:rsidR="008A238B" w:rsidRDefault="008A238B" w:rsidP="008A238B">
      <w:pPr>
        <w:shd w:val="clear" w:color="auto" w:fill="FFFFFF"/>
        <w:tabs>
          <w:tab w:val="left" w:pos="2500"/>
        </w:tabs>
        <w:spacing w:line="360" w:lineRule="auto"/>
        <w:jc w:val="center"/>
        <w:rPr>
          <w:b/>
          <w:sz w:val="24"/>
          <w:szCs w:val="24"/>
        </w:rPr>
      </w:pPr>
      <w:r>
        <w:rPr>
          <w:b/>
          <w:sz w:val="24"/>
          <w:szCs w:val="24"/>
        </w:rPr>
        <w:t xml:space="preserve">INFLUÊNCIA DA MODIFICAÇÃO TÉRMICA NA DENSIDADE BÁSICA NA MADEIRA DE </w:t>
      </w:r>
      <w:r w:rsidR="00853C44" w:rsidRPr="00B40A94">
        <w:rPr>
          <w:b/>
          <w:i/>
          <w:iCs/>
          <w:sz w:val="24"/>
          <w:szCs w:val="24"/>
        </w:rPr>
        <w:t>Pouteria oblanceolata</w:t>
      </w:r>
      <w:r w:rsidR="00853C44">
        <w:rPr>
          <w:b/>
          <w:i/>
          <w:iCs/>
          <w:sz w:val="24"/>
          <w:szCs w:val="24"/>
        </w:rPr>
        <w:t xml:space="preserve"> </w:t>
      </w:r>
      <w:r w:rsidR="00853C44" w:rsidRPr="00853C44">
        <w:rPr>
          <w:b/>
          <w:sz w:val="24"/>
          <w:szCs w:val="24"/>
        </w:rPr>
        <w:t>Pires</w:t>
      </w:r>
      <w:r>
        <w:rPr>
          <w:b/>
          <w:sz w:val="24"/>
          <w:szCs w:val="24"/>
        </w:rPr>
        <w:t xml:space="preserve"> (TUTURUBÁ)</w:t>
      </w:r>
    </w:p>
    <w:p w14:paraId="3D9E9D3D" w14:textId="77777777" w:rsidR="008A238B" w:rsidRDefault="008A238B" w:rsidP="003949CE">
      <w:pPr>
        <w:shd w:val="clear" w:color="auto" w:fill="FFFFFF"/>
        <w:tabs>
          <w:tab w:val="left" w:pos="2500"/>
        </w:tabs>
        <w:jc w:val="center"/>
        <w:rPr>
          <w:color w:val="FF0000"/>
          <w:sz w:val="24"/>
          <w:szCs w:val="24"/>
        </w:rPr>
      </w:pPr>
    </w:p>
    <w:p w14:paraId="2F212F3E" w14:textId="1C2D7F85" w:rsidR="003949CE" w:rsidRPr="0022063B" w:rsidRDefault="008A238B" w:rsidP="003949CE">
      <w:pPr>
        <w:shd w:val="clear" w:color="auto" w:fill="FFFFFF"/>
        <w:tabs>
          <w:tab w:val="left" w:pos="2500"/>
        </w:tabs>
        <w:jc w:val="center"/>
        <w:rPr>
          <w:sz w:val="24"/>
          <w:szCs w:val="24"/>
        </w:rPr>
      </w:pPr>
      <w:r>
        <w:rPr>
          <w:sz w:val="24"/>
          <w:szCs w:val="24"/>
        </w:rPr>
        <w:t>Luidy Henrique da Silva Ferreira</w:t>
      </w:r>
      <w:r w:rsidR="003949CE">
        <w:rPr>
          <w:sz w:val="24"/>
          <w:szCs w:val="24"/>
          <w:vertAlign w:val="superscript"/>
        </w:rPr>
        <w:t>1</w:t>
      </w:r>
      <w:r w:rsidR="003949CE">
        <w:rPr>
          <w:sz w:val="24"/>
          <w:szCs w:val="24"/>
        </w:rPr>
        <w:t xml:space="preserve">; </w:t>
      </w:r>
      <w:r>
        <w:rPr>
          <w:sz w:val="24"/>
          <w:szCs w:val="24"/>
        </w:rPr>
        <w:t>Andressandra</w:t>
      </w:r>
      <w:r w:rsidR="0022063B">
        <w:rPr>
          <w:sz w:val="24"/>
          <w:szCs w:val="24"/>
        </w:rPr>
        <w:t xml:space="preserve"> de Oliveira Muniz</w:t>
      </w:r>
      <w:r w:rsidR="003949CE">
        <w:rPr>
          <w:sz w:val="24"/>
          <w:szCs w:val="24"/>
          <w:vertAlign w:val="superscript"/>
        </w:rPr>
        <w:t>2</w:t>
      </w:r>
      <w:r w:rsidR="003949CE">
        <w:rPr>
          <w:sz w:val="24"/>
          <w:szCs w:val="24"/>
        </w:rPr>
        <w:t>;</w:t>
      </w:r>
      <w:r w:rsidR="00253F65">
        <w:rPr>
          <w:sz w:val="24"/>
          <w:szCs w:val="24"/>
        </w:rPr>
        <w:t xml:space="preserve"> Ana Tércia Nascimento de Lima</w:t>
      </w:r>
      <w:r w:rsidR="00253F65">
        <w:rPr>
          <w:sz w:val="24"/>
          <w:szCs w:val="24"/>
          <w:vertAlign w:val="superscript"/>
        </w:rPr>
        <w:t>3</w:t>
      </w:r>
      <w:r w:rsidR="005A1E40">
        <w:rPr>
          <w:sz w:val="24"/>
          <w:szCs w:val="24"/>
          <w:vertAlign w:val="superscript"/>
        </w:rPr>
        <w:t xml:space="preserve">; </w:t>
      </w:r>
      <w:r w:rsidR="005A1E40" w:rsidRPr="005A1E40">
        <w:rPr>
          <w:sz w:val="24"/>
          <w:szCs w:val="24"/>
        </w:rPr>
        <w:t>Nelivelton Gomes dos Santos</w:t>
      </w:r>
      <w:r w:rsidR="005A1E40">
        <w:rPr>
          <w:sz w:val="24"/>
          <w:szCs w:val="24"/>
          <w:vertAlign w:val="superscript"/>
        </w:rPr>
        <w:t>4</w:t>
      </w:r>
      <w:r w:rsidR="00253F65">
        <w:rPr>
          <w:sz w:val="24"/>
          <w:szCs w:val="24"/>
        </w:rPr>
        <w:t>; Madson Alan Rocha de Sousa</w:t>
      </w:r>
      <w:r w:rsidR="005A1E40">
        <w:rPr>
          <w:sz w:val="24"/>
          <w:szCs w:val="24"/>
          <w:vertAlign w:val="superscript"/>
        </w:rPr>
        <w:t>5</w:t>
      </w:r>
      <w:r w:rsidR="0022063B">
        <w:rPr>
          <w:sz w:val="24"/>
          <w:szCs w:val="24"/>
        </w:rPr>
        <w:t>;</w:t>
      </w:r>
      <w:r w:rsidR="00313311">
        <w:rPr>
          <w:sz w:val="24"/>
          <w:szCs w:val="24"/>
        </w:rPr>
        <w:t xml:space="preserve"> </w:t>
      </w:r>
      <w:r>
        <w:rPr>
          <w:sz w:val="24"/>
          <w:szCs w:val="24"/>
        </w:rPr>
        <w:t>Maria Naruna Felix de Almeida</w:t>
      </w:r>
      <w:r w:rsidR="005A1E40">
        <w:rPr>
          <w:sz w:val="24"/>
          <w:szCs w:val="24"/>
          <w:vertAlign w:val="superscript"/>
        </w:rPr>
        <w:t>6</w:t>
      </w:r>
    </w:p>
    <w:p w14:paraId="488A52A5" w14:textId="77777777" w:rsidR="003949CE" w:rsidRDefault="003949CE" w:rsidP="008A238B">
      <w:pPr>
        <w:shd w:val="clear" w:color="auto" w:fill="FFFFFF"/>
        <w:tabs>
          <w:tab w:val="left" w:pos="2500"/>
        </w:tabs>
        <w:rPr>
          <w:b/>
          <w:color w:val="FF0000"/>
          <w:sz w:val="24"/>
          <w:szCs w:val="24"/>
        </w:rPr>
      </w:pPr>
    </w:p>
    <w:p w14:paraId="7D915DB4" w14:textId="2A9396B2" w:rsidR="003949CE" w:rsidRDefault="003949CE" w:rsidP="003949CE">
      <w:pPr>
        <w:keepLines/>
        <w:shd w:val="clear" w:color="auto" w:fill="FFFFFF"/>
        <w:tabs>
          <w:tab w:val="left" w:pos="2500"/>
        </w:tabs>
        <w:jc w:val="center"/>
        <w:rPr>
          <w:sz w:val="24"/>
          <w:szCs w:val="24"/>
        </w:rPr>
      </w:pPr>
      <w:r>
        <w:rPr>
          <w:sz w:val="24"/>
          <w:szCs w:val="24"/>
          <w:vertAlign w:val="superscript"/>
        </w:rPr>
        <w:t>1</w:t>
      </w:r>
      <w:r w:rsidR="008A238B">
        <w:rPr>
          <w:sz w:val="24"/>
          <w:szCs w:val="24"/>
        </w:rPr>
        <w:t>Graduando em Engenharia Florestal.</w:t>
      </w:r>
      <w:r w:rsidR="0022478A">
        <w:rPr>
          <w:sz w:val="24"/>
          <w:szCs w:val="24"/>
        </w:rPr>
        <w:t xml:space="preserve"> </w:t>
      </w:r>
      <w:r w:rsidR="008A238B">
        <w:rPr>
          <w:sz w:val="24"/>
          <w:szCs w:val="24"/>
        </w:rPr>
        <w:t>Universidade do Estado do Pará</w:t>
      </w:r>
      <w:r>
        <w:rPr>
          <w:sz w:val="24"/>
          <w:szCs w:val="24"/>
        </w:rPr>
        <w:t>. E-mail</w:t>
      </w:r>
      <w:r w:rsidR="008A238B">
        <w:rPr>
          <w:sz w:val="24"/>
          <w:szCs w:val="24"/>
        </w:rPr>
        <w:t xml:space="preserve">: </w:t>
      </w:r>
      <w:hyperlink r:id="rId7" w:history="1">
        <w:r w:rsidR="008A238B" w:rsidRPr="001E2AF3">
          <w:rPr>
            <w:rStyle w:val="Hyperlink"/>
            <w:sz w:val="24"/>
            <w:szCs w:val="24"/>
          </w:rPr>
          <w:t>luidy.ferreira@aluno.uepa.br</w:t>
        </w:r>
      </w:hyperlink>
      <w:r w:rsidR="008A238B">
        <w:rPr>
          <w:sz w:val="24"/>
          <w:szCs w:val="24"/>
        </w:rPr>
        <w:t xml:space="preserve"> </w:t>
      </w:r>
    </w:p>
    <w:p w14:paraId="6DB532BD" w14:textId="3D16B110" w:rsidR="008A238B" w:rsidRDefault="00D75744" w:rsidP="008A238B">
      <w:pPr>
        <w:keepLines/>
        <w:shd w:val="clear" w:color="auto" w:fill="FFFFFF"/>
        <w:tabs>
          <w:tab w:val="left" w:pos="2500"/>
        </w:tabs>
        <w:jc w:val="center"/>
        <w:rPr>
          <w:sz w:val="24"/>
          <w:szCs w:val="24"/>
        </w:rPr>
      </w:pPr>
      <w:r>
        <w:rPr>
          <w:sz w:val="24"/>
          <w:szCs w:val="24"/>
          <w:vertAlign w:val="superscript"/>
        </w:rPr>
        <w:t>2</w:t>
      </w:r>
      <w:r w:rsidR="008A238B">
        <w:rPr>
          <w:sz w:val="24"/>
          <w:szCs w:val="24"/>
        </w:rPr>
        <w:t>Graduanda em Engenharia Florestal</w:t>
      </w:r>
      <w:r w:rsidR="003949CE">
        <w:rPr>
          <w:sz w:val="24"/>
          <w:szCs w:val="24"/>
        </w:rPr>
        <w:t xml:space="preserve">. </w:t>
      </w:r>
      <w:r w:rsidR="008A238B">
        <w:rPr>
          <w:sz w:val="24"/>
          <w:szCs w:val="24"/>
        </w:rPr>
        <w:t>Universidade do Estado do Pará</w:t>
      </w:r>
      <w:r w:rsidR="003949CE">
        <w:rPr>
          <w:sz w:val="24"/>
          <w:szCs w:val="24"/>
        </w:rPr>
        <w:t>.</w:t>
      </w:r>
    </w:p>
    <w:p w14:paraId="68E233A8" w14:textId="6583B165" w:rsidR="0012317F" w:rsidRDefault="00D75744" w:rsidP="0012317F">
      <w:pPr>
        <w:keepLines/>
        <w:shd w:val="clear" w:color="auto" w:fill="FFFFFF"/>
        <w:tabs>
          <w:tab w:val="left" w:pos="2500"/>
        </w:tabs>
        <w:jc w:val="center"/>
        <w:rPr>
          <w:sz w:val="24"/>
          <w:szCs w:val="24"/>
        </w:rPr>
      </w:pPr>
      <w:r>
        <w:rPr>
          <w:sz w:val="24"/>
          <w:szCs w:val="24"/>
          <w:vertAlign w:val="superscript"/>
        </w:rPr>
        <w:t>3</w:t>
      </w:r>
      <w:r w:rsidR="0012317F">
        <w:rPr>
          <w:sz w:val="24"/>
          <w:szCs w:val="24"/>
        </w:rPr>
        <w:t xml:space="preserve">Graduanda em </w:t>
      </w:r>
      <w:r w:rsidR="00253F65">
        <w:rPr>
          <w:sz w:val="24"/>
          <w:szCs w:val="24"/>
        </w:rPr>
        <w:t>Licenciatura em Química</w:t>
      </w:r>
      <w:r w:rsidR="0012317F">
        <w:rPr>
          <w:sz w:val="24"/>
          <w:szCs w:val="24"/>
        </w:rPr>
        <w:t>. Universidade do Estado do Pará.</w:t>
      </w:r>
    </w:p>
    <w:p w14:paraId="08395346" w14:textId="396AFCF8" w:rsidR="005A1E40" w:rsidRPr="005A1E40" w:rsidRDefault="005A1E40" w:rsidP="0012317F">
      <w:pPr>
        <w:keepLines/>
        <w:shd w:val="clear" w:color="auto" w:fill="FFFFFF"/>
        <w:tabs>
          <w:tab w:val="left" w:pos="2500"/>
        </w:tabs>
        <w:jc w:val="center"/>
        <w:rPr>
          <w:color w:val="FF0000"/>
          <w:sz w:val="24"/>
          <w:szCs w:val="24"/>
        </w:rPr>
      </w:pPr>
      <w:r>
        <w:rPr>
          <w:sz w:val="24"/>
          <w:szCs w:val="24"/>
          <w:vertAlign w:val="superscript"/>
        </w:rPr>
        <w:t>4</w:t>
      </w:r>
      <w:r>
        <w:rPr>
          <w:sz w:val="24"/>
          <w:szCs w:val="24"/>
        </w:rPr>
        <w:t>Mestre em Administração. Universidade do Estado do Pará.</w:t>
      </w:r>
    </w:p>
    <w:p w14:paraId="48E4B309" w14:textId="44C398CA" w:rsidR="0012317F" w:rsidRPr="008A238B" w:rsidRDefault="005A1E40" w:rsidP="0012317F">
      <w:pPr>
        <w:keepLines/>
        <w:shd w:val="clear" w:color="auto" w:fill="FFFFFF"/>
        <w:tabs>
          <w:tab w:val="left" w:pos="2500"/>
        </w:tabs>
        <w:jc w:val="center"/>
        <w:rPr>
          <w:color w:val="FF0000"/>
          <w:sz w:val="24"/>
          <w:szCs w:val="24"/>
        </w:rPr>
      </w:pPr>
      <w:r>
        <w:rPr>
          <w:sz w:val="24"/>
          <w:szCs w:val="24"/>
          <w:vertAlign w:val="superscript"/>
        </w:rPr>
        <w:t>5</w:t>
      </w:r>
      <w:r w:rsidR="00253F65">
        <w:rPr>
          <w:sz w:val="24"/>
          <w:szCs w:val="24"/>
        </w:rPr>
        <w:t>Mestre em Biodiversidade Tropical</w:t>
      </w:r>
      <w:r w:rsidR="0012317F">
        <w:rPr>
          <w:sz w:val="24"/>
          <w:szCs w:val="24"/>
        </w:rPr>
        <w:t>. Universidade do Estado do Pará.</w:t>
      </w:r>
    </w:p>
    <w:p w14:paraId="23A4A0C1" w14:textId="7BC00DAD" w:rsidR="008A238B" w:rsidRDefault="005A1E40" w:rsidP="005A1E40">
      <w:pPr>
        <w:keepLines/>
        <w:shd w:val="clear" w:color="auto" w:fill="FFFFFF"/>
        <w:tabs>
          <w:tab w:val="left" w:pos="2500"/>
        </w:tabs>
        <w:jc w:val="center"/>
        <w:rPr>
          <w:color w:val="FF0000"/>
          <w:sz w:val="24"/>
          <w:szCs w:val="24"/>
        </w:rPr>
      </w:pPr>
      <w:r>
        <w:rPr>
          <w:sz w:val="24"/>
          <w:szCs w:val="24"/>
          <w:vertAlign w:val="superscript"/>
        </w:rPr>
        <w:t>6</w:t>
      </w:r>
      <w:r w:rsidR="008A238B">
        <w:rPr>
          <w:sz w:val="24"/>
          <w:szCs w:val="24"/>
        </w:rPr>
        <w:t>Doutora em Ciências Florestais. Universidade do Estado do Pará</w:t>
      </w:r>
    </w:p>
    <w:p w14:paraId="11D9A8FA" w14:textId="77777777" w:rsidR="005A1E40" w:rsidRPr="005A1E40" w:rsidRDefault="005A1E40" w:rsidP="005A1E40">
      <w:pPr>
        <w:keepLines/>
        <w:shd w:val="clear" w:color="auto" w:fill="FFFFFF"/>
        <w:tabs>
          <w:tab w:val="left" w:pos="2500"/>
        </w:tabs>
        <w:jc w:val="center"/>
        <w:rPr>
          <w:color w:val="FF0000"/>
          <w:sz w:val="24"/>
          <w:szCs w:val="24"/>
        </w:rPr>
      </w:pPr>
    </w:p>
    <w:p w14:paraId="0F0BAD8C" w14:textId="77777777" w:rsidR="005A1E40" w:rsidRDefault="003949CE" w:rsidP="005A1E40">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42D75990" w14:textId="7AC2678E" w:rsidR="003949CE" w:rsidRPr="005A1E40" w:rsidRDefault="000802C9" w:rsidP="005A1E40">
      <w:pPr>
        <w:pBdr>
          <w:bottom w:val="none" w:sz="0" w:space="8" w:color="000000"/>
        </w:pBdr>
        <w:shd w:val="clear" w:color="auto" w:fill="FFFFFF"/>
        <w:tabs>
          <w:tab w:val="left" w:pos="2500"/>
        </w:tabs>
        <w:jc w:val="both"/>
        <w:rPr>
          <w:b/>
          <w:sz w:val="28"/>
          <w:szCs w:val="28"/>
          <w:u w:val="single"/>
        </w:rPr>
      </w:pPr>
      <w:r w:rsidRPr="005A1E40">
        <w:rPr>
          <w:sz w:val="24"/>
          <w:szCs w:val="24"/>
        </w:rPr>
        <w:t xml:space="preserve">O presente estudo teve como objeto de pesquisa a madeira de </w:t>
      </w:r>
      <w:r w:rsidRPr="005A1E40">
        <w:rPr>
          <w:rStyle w:val="nfase"/>
          <w:sz w:val="24"/>
          <w:szCs w:val="24"/>
        </w:rPr>
        <w:t>Pouteria oblanceolata</w:t>
      </w:r>
      <w:r w:rsidRPr="005A1E40">
        <w:rPr>
          <w:sz w:val="24"/>
          <w:szCs w:val="24"/>
        </w:rPr>
        <w:t xml:space="preserve"> (tuturubá), espécie nativa da Amazônia, com o objetivo de avaliar os efeitos da modificação térmica sobre suas propriedades físicas, em especial a densidade básica e a estabilidade dimensional. A problemática abordada baseia-se na escassez de estudos voltados à aplicação de tratamentos térmicos em madeiras tropicais amazônicas, visto que a maioria das pesquisas se concentra em espécies exóticas de reflorestamento, como </w:t>
      </w:r>
      <w:r w:rsidRPr="005A1E40">
        <w:rPr>
          <w:rStyle w:val="nfase"/>
          <w:sz w:val="24"/>
          <w:szCs w:val="24"/>
        </w:rPr>
        <w:t>Eucalyptus</w:t>
      </w:r>
      <w:r w:rsidRPr="005A1E40">
        <w:rPr>
          <w:sz w:val="24"/>
          <w:szCs w:val="24"/>
        </w:rPr>
        <w:t xml:space="preserve"> e </w:t>
      </w:r>
      <w:r w:rsidRPr="005A1E40">
        <w:rPr>
          <w:rStyle w:val="nfase"/>
          <w:sz w:val="24"/>
          <w:szCs w:val="24"/>
        </w:rPr>
        <w:t>Pinus</w:t>
      </w:r>
      <w:r w:rsidRPr="005A1E40">
        <w:rPr>
          <w:sz w:val="24"/>
          <w:szCs w:val="24"/>
        </w:rPr>
        <w:t xml:space="preserve">. Nesse contexto, a investigação justifica-se pela necessidade de ampliar o conhecimento sobre o comportamento físico de espécies nativas e de promover o uso sustentável e tecnológico desses recursos. Foram aplicados tratamentos térmicos em amostras de tuturubá coletadas no município de Dom Eliseu – PA. As amostras foram submetidas a temperaturas de 180 °C e 200 °C, com tempos de exposição de 1h30min e 3h, totalizando quatro tratamentos, além de um controle. Após os tratamentos, foram avaliadas a perda de massa, a densidade básica, a contração volumétrica máxima e o fator de anisotropia, de acordo com a norma ABNT NBR 11941. Os resultados demonstraram que a perda de massa variou entre 3,47% e 3,68%, indicando degradação moderada dos componentes termossensíveis, como as hemiceluloses. A densidade básica apresentou leve variação, entre 0,792 e 0,817 g.cm⁻³, evidenciando que o tratamento térmico não comprometeu a integridade estrutural da madeira. Observou-se, ainda, a redução da contração volumétrica máxima de 16,80% (controle) para 13,46% (tratamento a 200 °C por 3h), bem como diminuição do fator de anisotropia de 1,97 para 1,43, o que demonstra maior estabilidade dimensional. Conclui-se que a modificação térmica contribui para a melhoria da estabilidade da madeira de </w:t>
      </w:r>
      <w:r w:rsidRPr="005A1E40">
        <w:rPr>
          <w:rStyle w:val="nfase"/>
          <w:sz w:val="24"/>
          <w:szCs w:val="24"/>
        </w:rPr>
        <w:t>Pouteria oblanceolata</w:t>
      </w:r>
      <w:r w:rsidRPr="005A1E40">
        <w:rPr>
          <w:sz w:val="24"/>
          <w:szCs w:val="24"/>
        </w:rPr>
        <w:t>, reduzindo sua higroscopicidade e potencializando seu uso em aplicações externas. Esses resultados reforçam a viabilidade do tratamento térmico como técnica sustentável para valorização tecnológica de madeiras nativas amazônicas.</w:t>
      </w:r>
    </w:p>
    <w:p w14:paraId="71340687" w14:textId="0756475B" w:rsidR="003949CE" w:rsidRPr="000802C9" w:rsidRDefault="003949CE" w:rsidP="000802C9">
      <w:pPr>
        <w:shd w:val="clear" w:color="auto" w:fill="FFFFFF"/>
        <w:tabs>
          <w:tab w:val="left" w:pos="2500"/>
        </w:tabs>
        <w:rPr>
          <w:color w:val="FF0000"/>
          <w:sz w:val="24"/>
          <w:szCs w:val="24"/>
        </w:rPr>
      </w:pPr>
      <w:r>
        <w:rPr>
          <w:b/>
          <w:sz w:val="24"/>
          <w:szCs w:val="24"/>
        </w:rPr>
        <w:t>Palavras-chave:</w:t>
      </w:r>
      <w:r w:rsidR="00C33F6D">
        <w:rPr>
          <w:b/>
          <w:sz w:val="24"/>
          <w:szCs w:val="24"/>
        </w:rPr>
        <w:t xml:space="preserve"> </w:t>
      </w:r>
      <w:r w:rsidR="00DE57A1" w:rsidRPr="00C33F6D">
        <w:rPr>
          <w:bCs/>
          <w:sz w:val="24"/>
          <w:szCs w:val="24"/>
        </w:rPr>
        <w:t>tratamento térmico.</w:t>
      </w:r>
      <w:r w:rsidR="00C33F6D" w:rsidRPr="00C33F6D">
        <w:rPr>
          <w:bCs/>
          <w:sz w:val="24"/>
          <w:szCs w:val="24"/>
        </w:rPr>
        <w:t xml:space="preserve"> propriedades físicas. </w:t>
      </w:r>
      <w:r w:rsidR="00DE57A1" w:rsidRPr="00C33F6D">
        <w:rPr>
          <w:bCs/>
          <w:sz w:val="24"/>
          <w:szCs w:val="24"/>
        </w:rPr>
        <w:t>tuturubá.</w:t>
      </w:r>
    </w:p>
    <w:p w14:paraId="03392E40" w14:textId="4D797598" w:rsidR="003949CE" w:rsidRPr="000802C9" w:rsidRDefault="003949CE" w:rsidP="000802C9">
      <w:pPr>
        <w:shd w:val="clear" w:color="auto" w:fill="FFFFFF"/>
        <w:tabs>
          <w:tab w:val="left" w:pos="2500"/>
        </w:tabs>
        <w:rPr>
          <w:b/>
          <w:color w:val="0000FF"/>
          <w:sz w:val="24"/>
          <w:szCs w:val="24"/>
          <w:u w:val="single"/>
        </w:rPr>
      </w:pPr>
      <w:r>
        <w:rPr>
          <w:b/>
          <w:sz w:val="24"/>
          <w:szCs w:val="24"/>
        </w:rPr>
        <w:t>Área de Interesse do Simpósio</w:t>
      </w:r>
      <w:r>
        <w:rPr>
          <w:sz w:val="24"/>
          <w:szCs w:val="24"/>
        </w:rPr>
        <w:t xml:space="preserve">: </w:t>
      </w:r>
      <w:r w:rsidR="000A1B4B">
        <w:rPr>
          <w:sz w:val="24"/>
          <w:szCs w:val="24"/>
        </w:rPr>
        <w:t>Ciências Agr</w:t>
      </w:r>
      <w:r w:rsidR="000436E8">
        <w:rPr>
          <w:sz w:val="24"/>
          <w:szCs w:val="24"/>
        </w:rPr>
        <w:t>á</w:t>
      </w:r>
      <w:r w:rsidR="000A1B4B">
        <w:rPr>
          <w:sz w:val="24"/>
          <w:szCs w:val="24"/>
        </w:rPr>
        <w:t>rias</w:t>
      </w:r>
      <w:r w:rsidR="0038413E">
        <w:rPr>
          <w:sz w:val="24"/>
          <w:szCs w:val="24"/>
        </w:rPr>
        <w:t>.</w:t>
      </w:r>
    </w:p>
    <w:p w14:paraId="6B35A14B" w14:textId="4EBAE126" w:rsidR="003949CE" w:rsidRDefault="003949CE" w:rsidP="003949CE">
      <w:pPr>
        <w:pBdr>
          <w:bottom w:val="none" w:sz="0" w:space="18" w:color="000000"/>
        </w:pBdr>
        <w:shd w:val="clear" w:color="auto" w:fill="FFFFFF"/>
        <w:tabs>
          <w:tab w:val="left" w:pos="2500"/>
        </w:tabs>
        <w:spacing w:line="360" w:lineRule="auto"/>
        <w:jc w:val="both"/>
        <w:rPr>
          <w:color w:val="FF0000"/>
          <w:sz w:val="24"/>
          <w:szCs w:val="24"/>
        </w:rPr>
      </w:pPr>
      <w:r>
        <w:rPr>
          <w:b/>
          <w:sz w:val="24"/>
          <w:szCs w:val="24"/>
        </w:rPr>
        <w:lastRenderedPageBreak/>
        <w:t>1. INTRODUÇÃO</w:t>
      </w:r>
    </w:p>
    <w:p w14:paraId="475B32B8" w14:textId="77777777" w:rsidR="007154A6" w:rsidRDefault="003949CE" w:rsidP="00117B55">
      <w:pPr>
        <w:pBdr>
          <w:bottom w:val="none" w:sz="0" w:space="8" w:color="000000"/>
        </w:pBdr>
        <w:shd w:val="clear" w:color="auto" w:fill="FFFFFF"/>
        <w:tabs>
          <w:tab w:val="left" w:pos="699"/>
        </w:tabs>
        <w:spacing w:line="360" w:lineRule="auto"/>
        <w:jc w:val="both"/>
        <w:rPr>
          <w:sz w:val="24"/>
          <w:szCs w:val="24"/>
        </w:rPr>
      </w:pPr>
      <w:r>
        <w:rPr>
          <w:sz w:val="24"/>
          <w:szCs w:val="24"/>
        </w:rPr>
        <w:tab/>
      </w:r>
      <w:r w:rsidR="00117B55" w:rsidRPr="00117B55">
        <w:rPr>
          <w:sz w:val="24"/>
          <w:szCs w:val="24"/>
        </w:rPr>
        <w:t>A região amazônica apresenta a maior diversidade e reserva de espécies arbóreas do mundo (SLIK et al., 2015), o que contribui para seu papel fundamental como fornecedora de madeiras tropicais para os mercados nacional e internacional. As madeiras de espécies tropicais são particularmente atraentes para as indústrias de construção civil, painéis e moveleiras devido aos seus grandes diâmetros, texturas variadas e alta durabilidade e resistência natural. Entretanto, o setor madeireiro local é limitado pela falta de tecnologias de processamento adequadas e de pouca informação sobre as matérias-primas potenciais ainda pouco exploradas (REIS et al., 2015).</w:t>
      </w:r>
    </w:p>
    <w:p w14:paraId="702A5B3A" w14:textId="5738EB81" w:rsidR="007154A6" w:rsidRDefault="007154A6" w:rsidP="00117B55">
      <w:pPr>
        <w:pBdr>
          <w:bottom w:val="none" w:sz="0" w:space="8" w:color="000000"/>
        </w:pBdr>
        <w:shd w:val="clear" w:color="auto" w:fill="FFFFFF"/>
        <w:tabs>
          <w:tab w:val="left" w:pos="699"/>
        </w:tabs>
        <w:spacing w:line="360" w:lineRule="auto"/>
        <w:jc w:val="both"/>
        <w:rPr>
          <w:sz w:val="24"/>
          <w:szCs w:val="24"/>
        </w:rPr>
      </w:pPr>
      <w:r>
        <w:rPr>
          <w:sz w:val="24"/>
          <w:szCs w:val="24"/>
        </w:rPr>
        <w:tab/>
      </w:r>
      <w:r w:rsidRPr="007154A6">
        <w:rPr>
          <w:sz w:val="24"/>
          <w:szCs w:val="24"/>
        </w:rPr>
        <w:t>O conhecimento das características anatômicas, físicas e mecânicas da madeira é fundamental para possibilitar o uso do material de maneira mais econômica e segura (DE MOURA; DOURADO, 2018). Um dos maiores desafios para profissionais da tecnologia da madeira tem sido encontrar soluções para a instabilidade dimensional e durabilidade da madeira (POUBEL et al., 2013). Tais características podem ser melhoradas com aplicação de tratamentos térmicos.</w:t>
      </w:r>
    </w:p>
    <w:p w14:paraId="3DAFA861" w14:textId="3427DCDA" w:rsidR="007154A6" w:rsidRDefault="007154A6" w:rsidP="00117B55">
      <w:pPr>
        <w:pBdr>
          <w:bottom w:val="none" w:sz="0" w:space="8" w:color="000000"/>
        </w:pBdr>
        <w:shd w:val="clear" w:color="auto" w:fill="FFFFFF"/>
        <w:tabs>
          <w:tab w:val="left" w:pos="699"/>
        </w:tabs>
        <w:spacing w:line="360" w:lineRule="auto"/>
        <w:jc w:val="both"/>
        <w:rPr>
          <w:sz w:val="24"/>
          <w:szCs w:val="24"/>
        </w:rPr>
      </w:pPr>
      <w:r w:rsidRPr="007154A6">
        <w:rPr>
          <w:sz w:val="24"/>
          <w:szCs w:val="24"/>
        </w:rPr>
        <w:tab/>
        <w:t xml:space="preserve">A modificação térmica de peças de madeira pode ser realizada pela aplicação de temperaturas que podem variar entre 180 e 260 °C (HILL, 2006). Entretanto, conforme Cademartori et al. (2012), a partir de 200 °C, as modificações nas propriedades físico-mecânicas passam a ser mais significativas. Adicionalmente, o tempo de exposição da madeira ao calor também varia na literatura. Mendes et al. (2013) diminuíram o caráter hidrofílico da madeira de </w:t>
      </w:r>
      <w:r w:rsidRPr="007154A6">
        <w:rPr>
          <w:i/>
          <w:iCs/>
          <w:sz w:val="24"/>
          <w:szCs w:val="24"/>
        </w:rPr>
        <w:t>Pinus taeda</w:t>
      </w:r>
      <w:r w:rsidRPr="007154A6">
        <w:rPr>
          <w:sz w:val="24"/>
          <w:szCs w:val="24"/>
        </w:rPr>
        <w:t xml:space="preserve"> aplicando tratamentos térmicos de 200 e 240°C por 1h. Já Gunduz et al. (2009) utilizaram uma temperatura de 160°C por um período de exposição ao calor mais longo de 2h para melhorar a estabilidade dimensional da madeira de </w:t>
      </w:r>
      <w:r w:rsidRPr="007154A6">
        <w:rPr>
          <w:i/>
          <w:iCs/>
          <w:sz w:val="24"/>
          <w:szCs w:val="24"/>
        </w:rPr>
        <w:t>Pyrus elaeagnifolia</w:t>
      </w:r>
      <w:r w:rsidRPr="007154A6">
        <w:rPr>
          <w:sz w:val="24"/>
          <w:szCs w:val="24"/>
        </w:rPr>
        <w:t>.</w:t>
      </w:r>
    </w:p>
    <w:p w14:paraId="01266D95" w14:textId="7850674A" w:rsidR="00414D2E" w:rsidRDefault="00414D2E" w:rsidP="00117B55">
      <w:pPr>
        <w:pBdr>
          <w:bottom w:val="none" w:sz="0" w:space="8" w:color="000000"/>
        </w:pBdr>
        <w:shd w:val="clear" w:color="auto" w:fill="FFFFFF"/>
        <w:tabs>
          <w:tab w:val="left" w:pos="699"/>
        </w:tabs>
        <w:spacing w:line="360" w:lineRule="auto"/>
        <w:jc w:val="both"/>
        <w:rPr>
          <w:sz w:val="24"/>
          <w:szCs w:val="24"/>
        </w:rPr>
      </w:pPr>
      <w:r>
        <w:tab/>
      </w:r>
      <w:r w:rsidRPr="00414D2E">
        <w:rPr>
          <w:sz w:val="24"/>
          <w:szCs w:val="24"/>
        </w:rPr>
        <w:t>Este processo vem sendo desenvolvido na Europa nos últimos 20 anos e já é adotado em escala industrial em vários países, como Finlândia, (ThermoWood®), França (Retification® e Le Bois Perdure®), Holanda (PlatoProcess®) e Alemanha (Oil-Heat-Treatment) (POUBEL et al., 2013). As principais diferenças entre esses tratamentos são a temperatura máxima aplicada, tempo de tratamento, uso ou não de atmosfera inerte com nitrogênio ou com vapor, uso de óleos e/ou se o processo é aplicado para madeira seca ou úmida (HILL, 2006).</w:t>
      </w:r>
    </w:p>
    <w:p w14:paraId="6314AAC1" w14:textId="13C3FA5C" w:rsidR="00435B29" w:rsidRDefault="00C57763" w:rsidP="00435B29">
      <w:pPr>
        <w:pBdr>
          <w:bottom w:val="none" w:sz="0" w:space="8" w:color="000000"/>
        </w:pBdr>
        <w:shd w:val="clear" w:color="auto" w:fill="FFFFFF"/>
        <w:tabs>
          <w:tab w:val="left" w:pos="699"/>
        </w:tabs>
        <w:spacing w:line="360" w:lineRule="auto"/>
        <w:jc w:val="both"/>
        <w:rPr>
          <w:sz w:val="24"/>
          <w:szCs w:val="24"/>
        </w:rPr>
      </w:pPr>
      <w:r w:rsidRPr="00C57763">
        <w:rPr>
          <w:sz w:val="24"/>
          <w:szCs w:val="24"/>
        </w:rPr>
        <w:lastRenderedPageBreak/>
        <w:tab/>
        <w:t>No Brasil, as pesquisas sobre modificação térmica ainda são pouco exploradas quando comparadas a outros processos de industrialização da madeira, tais como desdobro, secagem, polpação, carbonização e produção de painéis (BATISTA, 2019). Além disso, grande parte dessas pesquisas são realizadas em madeiras exóticas utilizadas em reflorestamentos, como as do gênero Eucalyptus e Pinus, já que as mesmas são abundantes em plantios comerciais (DELUCIS et al., 2014). Existe, portanto, uma lacuna de conhecimento para espécies tropicais da região amazônica, que permanecem com os seus potenciais tecnológicos madeireiros ainda pouco empreendidos. Neste contexto, o objetivo deste estudo é avaliar as propriedades físicas da madeira de</w:t>
      </w:r>
      <w:r w:rsidR="000A6139">
        <w:rPr>
          <w:sz w:val="24"/>
          <w:szCs w:val="24"/>
        </w:rPr>
        <w:t xml:space="preserve"> Tuturubá</w:t>
      </w:r>
      <w:r w:rsidRPr="00C57763">
        <w:rPr>
          <w:sz w:val="24"/>
          <w:szCs w:val="24"/>
        </w:rPr>
        <w:t xml:space="preserve"> após tratamentos com modificação térmica realizados com variações na temperatura e tempo de exposição.</w:t>
      </w:r>
    </w:p>
    <w:p w14:paraId="2B57461A" w14:textId="77777777" w:rsidR="003974B5" w:rsidRDefault="003974B5" w:rsidP="00435B29">
      <w:pPr>
        <w:pBdr>
          <w:bottom w:val="none" w:sz="0" w:space="8" w:color="000000"/>
        </w:pBdr>
        <w:shd w:val="clear" w:color="auto" w:fill="FFFFFF"/>
        <w:tabs>
          <w:tab w:val="left" w:pos="699"/>
        </w:tabs>
        <w:spacing w:line="360" w:lineRule="auto"/>
        <w:jc w:val="both"/>
        <w:rPr>
          <w:sz w:val="24"/>
          <w:szCs w:val="24"/>
        </w:rPr>
      </w:pPr>
    </w:p>
    <w:p w14:paraId="00A6E83E" w14:textId="77777777" w:rsidR="003974B5" w:rsidRDefault="003949CE" w:rsidP="003974B5">
      <w:pPr>
        <w:pBdr>
          <w:bottom w:val="none" w:sz="0" w:space="18" w:color="000000"/>
        </w:pBdr>
        <w:shd w:val="clear" w:color="auto" w:fill="FFFFFF"/>
        <w:tabs>
          <w:tab w:val="left" w:pos="2500"/>
        </w:tabs>
        <w:spacing w:line="310" w:lineRule="auto"/>
        <w:jc w:val="both"/>
        <w:rPr>
          <w:b/>
          <w:sz w:val="24"/>
          <w:szCs w:val="24"/>
        </w:rPr>
      </w:pPr>
      <w:r>
        <w:rPr>
          <w:b/>
          <w:sz w:val="24"/>
          <w:szCs w:val="24"/>
        </w:rPr>
        <w:t>2. MATERIAL E MÉTODOS</w:t>
      </w:r>
    </w:p>
    <w:p w14:paraId="31207591" w14:textId="053C982F" w:rsidR="00435B29" w:rsidRPr="00435B29" w:rsidRDefault="000B3F66" w:rsidP="003974B5">
      <w:pPr>
        <w:pBdr>
          <w:bottom w:val="none" w:sz="0" w:space="18" w:color="000000"/>
        </w:pBdr>
        <w:shd w:val="clear" w:color="auto" w:fill="FFFFFF"/>
        <w:tabs>
          <w:tab w:val="left" w:pos="2500"/>
        </w:tabs>
        <w:spacing w:line="310" w:lineRule="auto"/>
        <w:jc w:val="both"/>
        <w:rPr>
          <w:b/>
          <w:bCs/>
          <w:sz w:val="24"/>
          <w:szCs w:val="24"/>
        </w:rPr>
      </w:pPr>
      <w:r>
        <w:rPr>
          <w:b/>
          <w:bCs/>
          <w:sz w:val="24"/>
          <w:szCs w:val="24"/>
        </w:rPr>
        <w:t xml:space="preserve">2.1 </w:t>
      </w:r>
      <w:r w:rsidR="00435B29" w:rsidRPr="00435B29">
        <w:rPr>
          <w:b/>
          <w:bCs/>
          <w:sz w:val="24"/>
          <w:szCs w:val="24"/>
        </w:rPr>
        <w:t>Caracterização do material e amostragem</w:t>
      </w:r>
    </w:p>
    <w:p w14:paraId="09A0D061" w14:textId="4D652A31" w:rsidR="00435B29" w:rsidRDefault="00435B29" w:rsidP="0095298E">
      <w:pPr>
        <w:adjustRightInd w:val="0"/>
        <w:spacing w:line="360" w:lineRule="auto"/>
        <w:ind w:firstLine="709"/>
        <w:jc w:val="both"/>
        <w:rPr>
          <w:sz w:val="24"/>
          <w:szCs w:val="24"/>
        </w:rPr>
      </w:pPr>
      <w:r w:rsidRPr="00435B29">
        <w:rPr>
          <w:sz w:val="24"/>
          <w:szCs w:val="24"/>
        </w:rPr>
        <w:t>A madeira do presente estudo foi coletada na propriedade particular Gênesis - Salém, localizada no km 49 da BR-222 (margem esquerda), no município de Dom Eliseu – PA, sob as coordenadas 47°49’6,967’’W e 04°32’29,352’’S</w:t>
      </w:r>
      <w:r>
        <w:rPr>
          <w:sz w:val="24"/>
          <w:szCs w:val="24"/>
        </w:rPr>
        <w:t xml:space="preserve"> (Figura 1)</w:t>
      </w:r>
      <w:r w:rsidRPr="00435B29">
        <w:rPr>
          <w:sz w:val="24"/>
          <w:szCs w:val="24"/>
        </w:rPr>
        <w:t xml:space="preserve">. A propriedade apresenta área total de 589,59 ha, sendo 471,39 ha como área de efetivo manejo. Quatros árvores foram selecionadas aleatoriamente para estudo posterior com base em seu diâmetro à altura do peito (DAP) e altura comercial. Toretes medindo 7 cm de espessura e 100 cm de comprimento foram retiradas de quatros indivíduos da mesma espécie, </w:t>
      </w:r>
      <w:r w:rsidRPr="00435B29">
        <w:rPr>
          <w:i/>
          <w:iCs/>
          <w:sz w:val="24"/>
          <w:szCs w:val="24"/>
        </w:rPr>
        <w:t>Pouteria Oblanceolata</w:t>
      </w:r>
      <w:r w:rsidRPr="00435B29">
        <w:rPr>
          <w:sz w:val="24"/>
          <w:szCs w:val="24"/>
        </w:rPr>
        <w:t xml:space="preserve"> (Tuturubá), e foram enviadas ao Laboratório Multidisciplinar de Engenharia Florestal da Universidade do Estado do Pará – UEPA, Campus Paragominas/PA.</w:t>
      </w:r>
      <w:r w:rsidR="0095298E">
        <w:rPr>
          <w:sz w:val="24"/>
          <w:szCs w:val="24"/>
        </w:rPr>
        <w:t xml:space="preserve"> </w:t>
      </w:r>
      <w:r w:rsidRPr="00435B29">
        <w:rPr>
          <w:sz w:val="24"/>
          <w:szCs w:val="24"/>
        </w:rPr>
        <w:t>De cada árvore foram obtidas dez amostras medindo 2 x 3 x 5 cm (comprimento radial x tangencial x longitudinal) para caracterização física da madeira.</w:t>
      </w:r>
    </w:p>
    <w:p w14:paraId="4B6A6F3E" w14:textId="2B1019A4" w:rsidR="00435B29" w:rsidRPr="00435B29" w:rsidRDefault="00435B29" w:rsidP="00435B29">
      <w:pPr>
        <w:pStyle w:val="Legenda"/>
        <w:keepNext/>
        <w:jc w:val="center"/>
        <w:rPr>
          <w:rFonts w:ascii="Times New Roman" w:hAnsi="Times New Roman" w:cs="Times New Roman"/>
          <w:i w:val="0"/>
          <w:iCs w:val="0"/>
          <w:color w:val="000000" w:themeColor="text1"/>
          <w:sz w:val="24"/>
          <w:szCs w:val="24"/>
        </w:rPr>
      </w:pPr>
      <w:r w:rsidRPr="00435B29">
        <w:rPr>
          <w:rFonts w:ascii="Times New Roman" w:hAnsi="Times New Roman" w:cs="Times New Roman"/>
          <w:i w:val="0"/>
          <w:iCs w:val="0"/>
          <w:color w:val="000000" w:themeColor="text1"/>
          <w:sz w:val="24"/>
          <w:szCs w:val="24"/>
        </w:rPr>
        <w:lastRenderedPageBreak/>
        <w:t xml:space="preserve">Figura </w:t>
      </w:r>
      <w:r w:rsidRPr="00435B29">
        <w:rPr>
          <w:rFonts w:ascii="Times New Roman" w:hAnsi="Times New Roman" w:cs="Times New Roman"/>
          <w:i w:val="0"/>
          <w:iCs w:val="0"/>
          <w:color w:val="000000" w:themeColor="text1"/>
          <w:sz w:val="24"/>
          <w:szCs w:val="24"/>
        </w:rPr>
        <w:fldChar w:fldCharType="begin"/>
      </w:r>
      <w:r w:rsidRPr="00435B29">
        <w:rPr>
          <w:rFonts w:ascii="Times New Roman" w:hAnsi="Times New Roman" w:cs="Times New Roman"/>
          <w:i w:val="0"/>
          <w:iCs w:val="0"/>
          <w:color w:val="000000" w:themeColor="text1"/>
          <w:sz w:val="24"/>
          <w:szCs w:val="24"/>
        </w:rPr>
        <w:instrText xml:space="preserve"> SEQ Figura \* ARABIC </w:instrText>
      </w:r>
      <w:r w:rsidRPr="00435B29">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1</w:t>
      </w:r>
      <w:r w:rsidRPr="00435B29">
        <w:rPr>
          <w:rFonts w:ascii="Times New Roman" w:hAnsi="Times New Roman" w:cs="Times New Roman"/>
          <w:i w:val="0"/>
          <w:iCs w:val="0"/>
          <w:color w:val="000000" w:themeColor="text1"/>
          <w:sz w:val="24"/>
          <w:szCs w:val="24"/>
        </w:rPr>
        <w:fldChar w:fldCharType="end"/>
      </w:r>
      <w:r w:rsidRPr="00435B29">
        <w:rPr>
          <w:rFonts w:ascii="Times New Roman" w:hAnsi="Times New Roman" w:cs="Times New Roman"/>
          <w:i w:val="0"/>
          <w:iCs w:val="0"/>
          <w:color w:val="000000" w:themeColor="text1"/>
          <w:sz w:val="24"/>
          <w:szCs w:val="24"/>
        </w:rPr>
        <w:t xml:space="preserve"> - Mapa de localização da propriedade Fazenda Gênesis-</w:t>
      </w:r>
      <w:proofErr w:type="spellStart"/>
      <w:r w:rsidRPr="00435B29">
        <w:rPr>
          <w:rFonts w:ascii="Times New Roman" w:hAnsi="Times New Roman" w:cs="Times New Roman"/>
          <w:i w:val="0"/>
          <w:iCs w:val="0"/>
          <w:color w:val="000000" w:themeColor="text1"/>
          <w:sz w:val="24"/>
          <w:szCs w:val="24"/>
        </w:rPr>
        <w:t>Salém</w:t>
      </w:r>
      <w:proofErr w:type="spellEnd"/>
      <w:r w:rsidRPr="00435B29">
        <w:rPr>
          <w:rFonts w:ascii="Times New Roman" w:hAnsi="Times New Roman" w:cs="Times New Roman"/>
          <w:i w:val="0"/>
          <w:iCs w:val="0"/>
          <w:color w:val="000000" w:themeColor="text1"/>
          <w:sz w:val="24"/>
          <w:szCs w:val="24"/>
        </w:rPr>
        <w:t>.</w:t>
      </w:r>
    </w:p>
    <w:p w14:paraId="06FE9054" w14:textId="77777777" w:rsidR="00435B29" w:rsidRDefault="00435B29" w:rsidP="00435B29">
      <w:pPr>
        <w:keepNext/>
        <w:spacing w:line="360" w:lineRule="auto"/>
        <w:ind w:left="284"/>
        <w:jc w:val="center"/>
      </w:pPr>
      <w:r>
        <w:rPr>
          <w:noProof/>
        </w:rPr>
        <w:drawing>
          <wp:inline distT="0" distB="0" distL="0" distR="0" wp14:anchorId="13EB857D" wp14:editId="4D6CD29E">
            <wp:extent cx="4410826" cy="3122762"/>
            <wp:effectExtent l="0" t="0" r="889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9812" cy="3150363"/>
                    </a:xfrm>
                    <a:prstGeom prst="rect">
                      <a:avLst/>
                    </a:prstGeom>
                    <a:noFill/>
                    <a:ln>
                      <a:noFill/>
                    </a:ln>
                  </pic:spPr>
                </pic:pic>
              </a:graphicData>
            </a:graphic>
          </wp:inline>
        </w:drawing>
      </w:r>
    </w:p>
    <w:p w14:paraId="743A7D4E" w14:textId="24A5E480" w:rsidR="0095298E" w:rsidRPr="0095298E" w:rsidRDefault="00435B29" w:rsidP="0095298E">
      <w:pPr>
        <w:pStyle w:val="Legenda"/>
        <w:keepNext/>
        <w:jc w:val="center"/>
        <w:rPr>
          <w:rFonts w:ascii="Times New Roman" w:hAnsi="Times New Roman" w:cs="Times New Roman"/>
          <w:i w:val="0"/>
          <w:iCs w:val="0"/>
          <w:color w:val="000000" w:themeColor="text1"/>
          <w:sz w:val="24"/>
          <w:szCs w:val="24"/>
        </w:rPr>
      </w:pPr>
      <w:r w:rsidRPr="00435B29">
        <w:rPr>
          <w:rFonts w:ascii="Times New Roman" w:hAnsi="Times New Roman" w:cs="Times New Roman"/>
          <w:i w:val="0"/>
          <w:iCs w:val="0"/>
          <w:color w:val="000000" w:themeColor="text1"/>
          <w:sz w:val="24"/>
          <w:szCs w:val="24"/>
        </w:rPr>
        <w:t>Fonte: o próprio autor.</w:t>
      </w:r>
    </w:p>
    <w:p w14:paraId="3BE6441A" w14:textId="77777777" w:rsidR="0095298E" w:rsidRDefault="0095298E" w:rsidP="0095298E">
      <w:pPr>
        <w:adjustRightInd w:val="0"/>
        <w:spacing w:line="360" w:lineRule="auto"/>
        <w:jc w:val="both"/>
        <w:rPr>
          <w:b/>
          <w:bCs/>
          <w:sz w:val="24"/>
          <w:szCs w:val="24"/>
        </w:rPr>
      </w:pPr>
    </w:p>
    <w:p w14:paraId="2695E6F2" w14:textId="53AB0765" w:rsidR="0095298E" w:rsidRPr="0095298E" w:rsidRDefault="000B3F66" w:rsidP="0095298E">
      <w:pPr>
        <w:adjustRightInd w:val="0"/>
        <w:spacing w:line="360" w:lineRule="auto"/>
        <w:jc w:val="both"/>
        <w:rPr>
          <w:b/>
          <w:bCs/>
          <w:sz w:val="24"/>
          <w:szCs w:val="24"/>
        </w:rPr>
      </w:pPr>
      <w:r>
        <w:rPr>
          <w:b/>
          <w:bCs/>
          <w:sz w:val="24"/>
          <w:szCs w:val="24"/>
        </w:rPr>
        <w:t xml:space="preserve">2.2 </w:t>
      </w:r>
      <w:r w:rsidR="0095298E" w:rsidRPr="0095298E">
        <w:rPr>
          <w:b/>
          <w:bCs/>
          <w:sz w:val="24"/>
          <w:szCs w:val="24"/>
        </w:rPr>
        <w:t>Proce</w:t>
      </w:r>
      <w:r w:rsidR="0095298E">
        <w:rPr>
          <w:b/>
          <w:bCs/>
          <w:sz w:val="24"/>
          <w:szCs w:val="24"/>
        </w:rPr>
        <w:t>s</w:t>
      </w:r>
      <w:r w:rsidR="0095298E" w:rsidRPr="0095298E">
        <w:rPr>
          <w:b/>
          <w:bCs/>
          <w:sz w:val="24"/>
          <w:szCs w:val="24"/>
        </w:rPr>
        <w:t>so de modificação térmica</w:t>
      </w:r>
    </w:p>
    <w:p w14:paraId="41298605" w14:textId="66B0BE57" w:rsidR="0069650B" w:rsidRDefault="0095298E" w:rsidP="0069650B">
      <w:pPr>
        <w:adjustRightInd w:val="0"/>
        <w:spacing w:line="360" w:lineRule="auto"/>
        <w:ind w:firstLine="709"/>
        <w:jc w:val="both"/>
        <w:rPr>
          <w:sz w:val="24"/>
          <w:szCs w:val="24"/>
        </w:rPr>
      </w:pPr>
      <w:r w:rsidRPr="0095298E">
        <w:rPr>
          <w:sz w:val="24"/>
          <w:szCs w:val="24"/>
        </w:rPr>
        <w:t xml:space="preserve">Inicialmente, as amostras </w:t>
      </w:r>
      <w:r w:rsidR="00A02594">
        <w:rPr>
          <w:sz w:val="24"/>
          <w:szCs w:val="24"/>
        </w:rPr>
        <w:t>fo</w:t>
      </w:r>
      <w:r w:rsidRPr="0095298E">
        <w:rPr>
          <w:sz w:val="24"/>
          <w:szCs w:val="24"/>
        </w:rPr>
        <w:t>r</w:t>
      </w:r>
      <w:r w:rsidR="009077CF">
        <w:rPr>
          <w:sz w:val="24"/>
          <w:szCs w:val="24"/>
        </w:rPr>
        <w:t>am</w:t>
      </w:r>
      <w:r w:rsidRPr="0095298E">
        <w:rPr>
          <w:sz w:val="24"/>
          <w:szCs w:val="24"/>
        </w:rPr>
        <w:t xml:space="preserve"> secas a </w:t>
      </w:r>
      <w:r>
        <w:rPr>
          <w:sz w:val="24"/>
          <w:szCs w:val="24"/>
        </w:rPr>
        <w:t>1</w:t>
      </w:r>
      <w:r w:rsidRPr="0095298E">
        <w:rPr>
          <w:sz w:val="24"/>
          <w:szCs w:val="24"/>
        </w:rPr>
        <w:t>0</w:t>
      </w:r>
      <w:r>
        <w:rPr>
          <w:sz w:val="24"/>
          <w:szCs w:val="24"/>
        </w:rPr>
        <w:t>3</w:t>
      </w:r>
      <w:r w:rsidRPr="0095298E">
        <w:rPr>
          <w:sz w:val="24"/>
          <w:szCs w:val="24"/>
        </w:rPr>
        <w:t xml:space="preserve">°C em estufa por 24h, para aclimatação das antes dos ensaios de modificação térmica. Após esse processo, as amostras </w:t>
      </w:r>
      <w:r w:rsidR="00A02594">
        <w:rPr>
          <w:sz w:val="24"/>
          <w:szCs w:val="24"/>
        </w:rPr>
        <w:t>fo</w:t>
      </w:r>
      <w:r w:rsidRPr="0095298E">
        <w:rPr>
          <w:sz w:val="24"/>
          <w:szCs w:val="24"/>
        </w:rPr>
        <w:t>r</w:t>
      </w:r>
      <w:r w:rsidR="009077CF">
        <w:rPr>
          <w:sz w:val="24"/>
          <w:szCs w:val="24"/>
        </w:rPr>
        <w:t>am</w:t>
      </w:r>
      <w:r w:rsidRPr="0095298E">
        <w:rPr>
          <w:sz w:val="24"/>
          <w:szCs w:val="24"/>
        </w:rPr>
        <w:t xml:space="preserve"> pesadas em balança analítica com precisão de 0,01 g e medidos com paquímetro digital com precisão de 0,01 mm, e em seguida submetidas a quatro tratamentos térmicos, sendo 8 amostras por tratamento (duas de cada árvore), para análise de propriedades físicas da madeira.</w:t>
      </w:r>
      <w:bookmarkStart w:id="0" w:name="_Hlk198318512"/>
    </w:p>
    <w:p w14:paraId="3EC92292" w14:textId="683C1667" w:rsidR="0095298E" w:rsidRDefault="0069650B" w:rsidP="0069650B">
      <w:pPr>
        <w:adjustRightInd w:val="0"/>
        <w:spacing w:line="360" w:lineRule="auto"/>
        <w:ind w:firstLine="709"/>
        <w:jc w:val="both"/>
        <w:rPr>
          <w:sz w:val="28"/>
          <w:szCs w:val="28"/>
        </w:rPr>
      </w:pPr>
      <w:r w:rsidRPr="0069650B">
        <w:rPr>
          <w:sz w:val="24"/>
          <w:szCs w:val="24"/>
        </w:rPr>
        <w:t xml:space="preserve">Os tratamentos térmicos dos corpos de prova foram realizados em um forno elétrico do tipo mufla, com variação de temperatura e tempo de exposição ao calor (Tabela 1), estipulados conforme a literatura (Leite et al., 2024; Anjos, 2014). Os tempos de aquecimento, de aproximadamente </w:t>
      </w:r>
      <w:r w:rsidR="001D2D55">
        <w:rPr>
          <w:sz w:val="24"/>
          <w:szCs w:val="24"/>
        </w:rPr>
        <w:t>7</w:t>
      </w:r>
      <w:r w:rsidRPr="0069650B">
        <w:rPr>
          <w:sz w:val="24"/>
          <w:szCs w:val="24"/>
        </w:rPr>
        <w:t xml:space="preserve"> min </w:t>
      </w:r>
      <w:r w:rsidR="001D2D55">
        <w:rPr>
          <w:sz w:val="24"/>
          <w:szCs w:val="24"/>
        </w:rPr>
        <w:t>a</w:t>
      </w:r>
      <w:r w:rsidRPr="0069650B">
        <w:rPr>
          <w:sz w:val="24"/>
          <w:szCs w:val="24"/>
        </w:rPr>
        <w:t xml:space="preserve"> 8 min, foram necessários para atingir respectivamente a menor (180°C) e maior (200°C) temperatura de patamar utilizadas no estudo. Ao atingir a temperatura</w:t>
      </w:r>
      <w:r w:rsidR="001D2D55">
        <w:rPr>
          <w:sz w:val="24"/>
          <w:szCs w:val="24"/>
        </w:rPr>
        <w:t xml:space="preserve"> desejada</w:t>
      </w:r>
      <w:r w:rsidRPr="0069650B">
        <w:rPr>
          <w:sz w:val="24"/>
          <w:szCs w:val="24"/>
        </w:rPr>
        <w:t>, a mesma foi mantida por</w:t>
      </w:r>
      <w:r w:rsidR="00637B35">
        <w:rPr>
          <w:sz w:val="24"/>
          <w:szCs w:val="24"/>
        </w:rPr>
        <w:t xml:space="preserve"> dois tempos</w:t>
      </w:r>
      <w:r w:rsidRPr="0069650B">
        <w:rPr>
          <w:sz w:val="24"/>
          <w:szCs w:val="24"/>
        </w:rPr>
        <w:t xml:space="preserve"> 1h e 30 min. e 3h. Em seguida, a mufla foi desligada e mantida fechada. Os corpos de prova foram retirados quando o equipamento atingiu temperatura ambiente. Para cada tratamento térmico foram utilizados dois corpos de provas de </w:t>
      </w:r>
      <w:r w:rsidRPr="0069650B">
        <w:rPr>
          <w:sz w:val="24"/>
          <w:szCs w:val="24"/>
        </w:rPr>
        <w:lastRenderedPageBreak/>
        <w:t>cada árvore. As propriedades da madeira analisadas foram perda de massa, densidade básica</w:t>
      </w:r>
      <w:r w:rsidR="001D2D55">
        <w:rPr>
          <w:sz w:val="24"/>
          <w:szCs w:val="24"/>
        </w:rPr>
        <w:t xml:space="preserve">, </w:t>
      </w:r>
      <w:r w:rsidRPr="0069650B">
        <w:rPr>
          <w:sz w:val="24"/>
          <w:szCs w:val="24"/>
        </w:rPr>
        <w:t>contração volumétrica</w:t>
      </w:r>
      <w:r w:rsidR="001D2D55">
        <w:rPr>
          <w:sz w:val="24"/>
          <w:szCs w:val="24"/>
        </w:rPr>
        <w:t xml:space="preserve"> e</w:t>
      </w:r>
      <w:r w:rsidRPr="0069650B">
        <w:rPr>
          <w:sz w:val="24"/>
          <w:szCs w:val="24"/>
        </w:rPr>
        <w:t xml:space="preserve"> máxima</w:t>
      </w:r>
      <w:r w:rsidR="001D2D55">
        <w:rPr>
          <w:sz w:val="24"/>
          <w:szCs w:val="24"/>
        </w:rPr>
        <w:t xml:space="preserve"> e fator de anisiotropia</w:t>
      </w:r>
      <w:r w:rsidRPr="0069650B">
        <w:rPr>
          <w:sz w:val="24"/>
          <w:szCs w:val="24"/>
        </w:rPr>
        <w:t>.</w:t>
      </w:r>
      <w:bookmarkEnd w:id="0"/>
    </w:p>
    <w:p w14:paraId="6111F313" w14:textId="77777777" w:rsidR="0069650B" w:rsidRPr="001D2D55" w:rsidRDefault="0069650B" w:rsidP="0069650B">
      <w:pPr>
        <w:adjustRightInd w:val="0"/>
        <w:spacing w:line="360" w:lineRule="auto"/>
        <w:ind w:firstLine="709"/>
        <w:jc w:val="both"/>
        <w:rPr>
          <w:sz w:val="24"/>
          <w:szCs w:val="24"/>
        </w:rPr>
      </w:pPr>
    </w:p>
    <w:p w14:paraId="7761867F" w14:textId="699531C5" w:rsidR="00B712A9" w:rsidRDefault="0069650B" w:rsidP="004E6A24">
      <w:pPr>
        <w:pBdr>
          <w:bottom w:val="none" w:sz="0" w:space="8" w:color="000000"/>
        </w:pBdr>
        <w:shd w:val="clear" w:color="auto" w:fill="FFFFFF"/>
        <w:tabs>
          <w:tab w:val="left" w:pos="2500"/>
        </w:tabs>
        <w:spacing w:line="360" w:lineRule="auto"/>
        <w:ind w:firstLine="700"/>
        <w:jc w:val="center"/>
        <w:rPr>
          <w:sz w:val="24"/>
          <w:szCs w:val="24"/>
        </w:rPr>
      </w:pPr>
      <w:r>
        <w:t>Tabela 1 - Tratamentos térmicos aplicados a madeira de Tuturubá.</w:t>
      </w:r>
    </w:p>
    <w:tbl>
      <w:tblPr>
        <w:tblW w:w="5954" w:type="dxa"/>
        <w:tblInd w:w="1971" w:type="dxa"/>
        <w:tblBorders>
          <w:top w:val="nil"/>
          <w:left w:val="nil"/>
          <w:bottom w:val="nil"/>
          <w:right w:val="nil"/>
          <w:insideH w:val="nil"/>
          <w:insideV w:val="nil"/>
        </w:tblBorders>
        <w:tblLayout w:type="fixed"/>
        <w:tblLook w:val="0400" w:firstRow="0" w:lastRow="0" w:firstColumn="0" w:lastColumn="0" w:noHBand="0" w:noVBand="1"/>
      </w:tblPr>
      <w:tblGrid>
        <w:gridCol w:w="1701"/>
        <w:gridCol w:w="2268"/>
        <w:gridCol w:w="1985"/>
      </w:tblGrid>
      <w:tr w:rsidR="00B712A9" w:rsidRPr="00AD1468" w14:paraId="76BE1813" w14:textId="77777777" w:rsidTr="004E6A24">
        <w:trPr>
          <w:trHeight w:val="238"/>
        </w:trPr>
        <w:tc>
          <w:tcPr>
            <w:tcW w:w="1701" w:type="dxa"/>
            <w:tcBorders>
              <w:top w:val="single" w:sz="12" w:space="0" w:color="000000"/>
              <w:bottom w:val="single" w:sz="12" w:space="0" w:color="000000"/>
            </w:tcBorders>
            <w:vAlign w:val="center"/>
          </w:tcPr>
          <w:p w14:paraId="7AFFA6B2" w14:textId="77777777" w:rsidR="00B712A9" w:rsidRPr="00956C3E" w:rsidRDefault="00B712A9" w:rsidP="00B712A9">
            <w:pPr>
              <w:spacing w:line="360" w:lineRule="auto"/>
              <w:jc w:val="center"/>
              <w:rPr>
                <w:b/>
              </w:rPr>
            </w:pPr>
            <w:r w:rsidRPr="00956C3E">
              <w:rPr>
                <w:b/>
              </w:rPr>
              <w:t>Tratamentos</w:t>
            </w:r>
          </w:p>
        </w:tc>
        <w:tc>
          <w:tcPr>
            <w:tcW w:w="2268" w:type="dxa"/>
            <w:tcBorders>
              <w:top w:val="single" w:sz="12" w:space="0" w:color="000000"/>
              <w:bottom w:val="single" w:sz="12" w:space="0" w:color="000000"/>
            </w:tcBorders>
          </w:tcPr>
          <w:p w14:paraId="3CAAF34D" w14:textId="3B022CB6" w:rsidR="00B712A9" w:rsidRDefault="00B712A9" w:rsidP="00B712A9">
            <w:pPr>
              <w:spacing w:line="360" w:lineRule="auto"/>
              <w:jc w:val="center"/>
              <w:rPr>
                <w:b/>
              </w:rPr>
            </w:pPr>
            <w:r w:rsidRPr="00E54267">
              <w:rPr>
                <w:b/>
                <w:bCs/>
              </w:rPr>
              <w:t>Temperatura (</w:t>
            </w:r>
            <w:r w:rsidRPr="00E54267">
              <w:rPr>
                <w:b/>
                <w:bCs/>
                <w:vertAlign w:val="superscript"/>
              </w:rPr>
              <w:t>o</w:t>
            </w:r>
            <w:r w:rsidRPr="00E54267">
              <w:rPr>
                <w:b/>
                <w:bCs/>
              </w:rPr>
              <w:t>C)</w:t>
            </w:r>
          </w:p>
        </w:tc>
        <w:tc>
          <w:tcPr>
            <w:tcW w:w="1985" w:type="dxa"/>
            <w:tcBorders>
              <w:top w:val="single" w:sz="12" w:space="0" w:color="000000"/>
              <w:bottom w:val="single" w:sz="12" w:space="0" w:color="000000"/>
            </w:tcBorders>
          </w:tcPr>
          <w:p w14:paraId="05449589" w14:textId="526654F5" w:rsidR="00B712A9" w:rsidRPr="00956C3E" w:rsidRDefault="00B712A9" w:rsidP="00B712A9">
            <w:pPr>
              <w:spacing w:line="360" w:lineRule="auto"/>
              <w:jc w:val="center"/>
              <w:rPr>
                <w:b/>
              </w:rPr>
            </w:pPr>
            <w:r>
              <w:rPr>
                <w:b/>
              </w:rPr>
              <w:t>Tempo</w:t>
            </w:r>
          </w:p>
        </w:tc>
      </w:tr>
      <w:tr w:rsidR="00B712A9" w:rsidRPr="00AD1468" w14:paraId="4EE378F3" w14:textId="77777777" w:rsidTr="004E6A24">
        <w:trPr>
          <w:trHeight w:val="454"/>
        </w:trPr>
        <w:tc>
          <w:tcPr>
            <w:tcW w:w="1701" w:type="dxa"/>
            <w:tcBorders>
              <w:top w:val="single" w:sz="12" w:space="0" w:color="000000"/>
            </w:tcBorders>
            <w:vAlign w:val="center"/>
          </w:tcPr>
          <w:p w14:paraId="75AE85B6" w14:textId="77777777" w:rsidR="00B712A9" w:rsidRPr="00956C3E" w:rsidRDefault="00B712A9" w:rsidP="00B712A9">
            <w:pPr>
              <w:spacing w:line="360" w:lineRule="auto"/>
              <w:jc w:val="center"/>
              <w:rPr>
                <w:color w:val="000000" w:themeColor="text1"/>
              </w:rPr>
            </w:pPr>
            <w:r w:rsidRPr="00956C3E">
              <w:rPr>
                <w:color w:val="000000" w:themeColor="text1"/>
              </w:rPr>
              <w:t>T0</w:t>
            </w:r>
          </w:p>
        </w:tc>
        <w:tc>
          <w:tcPr>
            <w:tcW w:w="2268" w:type="dxa"/>
            <w:tcBorders>
              <w:top w:val="single" w:sz="12" w:space="0" w:color="000000"/>
            </w:tcBorders>
            <w:vAlign w:val="center"/>
          </w:tcPr>
          <w:p w14:paraId="434C9E37" w14:textId="77777777" w:rsidR="00B712A9" w:rsidRPr="00956C3E" w:rsidRDefault="00B712A9" w:rsidP="00B712A9">
            <w:pPr>
              <w:spacing w:line="360" w:lineRule="auto"/>
              <w:jc w:val="center"/>
              <w:rPr>
                <w:color w:val="000000" w:themeColor="text1"/>
              </w:rPr>
            </w:pPr>
            <w:r w:rsidRPr="00BF07BF">
              <w:rPr>
                <w:b/>
                <w:bCs/>
                <w:color w:val="000000" w:themeColor="text1"/>
              </w:rPr>
              <w:t>-</w:t>
            </w:r>
          </w:p>
        </w:tc>
        <w:tc>
          <w:tcPr>
            <w:tcW w:w="1985" w:type="dxa"/>
            <w:tcBorders>
              <w:top w:val="single" w:sz="12" w:space="0" w:color="000000"/>
            </w:tcBorders>
          </w:tcPr>
          <w:p w14:paraId="5A2DD411" w14:textId="1DCA4311" w:rsidR="00B712A9" w:rsidRPr="008F673E" w:rsidRDefault="00B712A9" w:rsidP="00B712A9">
            <w:pPr>
              <w:spacing w:line="360" w:lineRule="auto"/>
              <w:jc w:val="center"/>
              <w:rPr>
                <w:b/>
                <w:bCs/>
                <w:color w:val="000000" w:themeColor="text1"/>
              </w:rPr>
            </w:pPr>
            <w:r w:rsidRPr="008F673E">
              <w:rPr>
                <w:b/>
                <w:bCs/>
                <w:color w:val="000000" w:themeColor="text1"/>
              </w:rPr>
              <w:t>-</w:t>
            </w:r>
          </w:p>
        </w:tc>
      </w:tr>
      <w:tr w:rsidR="00B712A9" w:rsidRPr="00AD1468" w14:paraId="6722B1FD" w14:textId="77777777" w:rsidTr="004E6A24">
        <w:trPr>
          <w:trHeight w:val="454"/>
        </w:trPr>
        <w:tc>
          <w:tcPr>
            <w:tcW w:w="1701" w:type="dxa"/>
            <w:tcBorders>
              <w:top w:val="single" w:sz="4" w:space="0" w:color="000000"/>
            </w:tcBorders>
            <w:vAlign w:val="center"/>
          </w:tcPr>
          <w:p w14:paraId="07A3E736" w14:textId="77777777" w:rsidR="00B712A9" w:rsidRPr="00956C3E" w:rsidRDefault="00B712A9" w:rsidP="00B712A9">
            <w:pPr>
              <w:spacing w:line="360" w:lineRule="auto"/>
              <w:jc w:val="center"/>
            </w:pPr>
            <w:r w:rsidRPr="00956C3E">
              <w:t>T1</w:t>
            </w:r>
          </w:p>
        </w:tc>
        <w:tc>
          <w:tcPr>
            <w:tcW w:w="2268" w:type="dxa"/>
            <w:tcBorders>
              <w:top w:val="single" w:sz="4" w:space="0" w:color="000000"/>
            </w:tcBorders>
            <w:vAlign w:val="center"/>
          </w:tcPr>
          <w:p w14:paraId="6015BE3F" w14:textId="4768018C" w:rsidR="00B712A9" w:rsidRPr="00956C3E" w:rsidRDefault="00B712A9" w:rsidP="00B712A9">
            <w:pPr>
              <w:spacing w:line="360" w:lineRule="auto"/>
              <w:jc w:val="center"/>
              <w:rPr>
                <w:color w:val="000000" w:themeColor="text1"/>
              </w:rPr>
            </w:pPr>
            <w:r>
              <w:rPr>
                <w:bCs/>
              </w:rPr>
              <w:t>180</w:t>
            </w:r>
          </w:p>
        </w:tc>
        <w:tc>
          <w:tcPr>
            <w:tcW w:w="1985" w:type="dxa"/>
            <w:tcBorders>
              <w:top w:val="single" w:sz="4" w:space="0" w:color="000000"/>
            </w:tcBorders>
          </w:tcPr>
          <w:p w14:paraId="026797CE" w14:textId="25D1F6FD" w:rsidR="00B712A9" w:rsidRPr="00956C3E" w:rsidRDefault="00B712A9" w:rsidP="00B712A9">
            <w:pPr>
              <w:spacing w:line="360" w:lineRule="auto"/>
              <w:jc w:val="center"/>
              <w:rPr>
                <w:bCs/>
              </w:rPr>
            </w:pPr>
            <w:r w:rsidRPr="00E54267">
              <w:t>1h e 30 min.</w:t>
            </w:r>
          </w:p>
        </w:tc>
      </w:tr>
      <w:tr w:rsidR="00B712A9" w:rsidRPr="00AD1468" w14:paraId="7B14905D" w14:textId="77777777" w:rsidTr="004E6A24">
        <w:trPr>
          <w:trHeight w:val="454"/>
        </w:trPr>
        <w:tc>
          <w:tcPr>
            <w:tcW w:w="1701" w:type="dxa"/>
            <w:tcBorders>
              <w:top w:val="single" w:sz="4" w:space="0" w:color="000000"/>
              <w:bottom w:val="single" w:sz="4" w:space="0" w:color="000000"/>
            </w:tcBorders>
            <w:vAlign w:val="center"/>
          </w:tcPr>
          <w:p w14:paraId="39131A31" w14:textId="77777777" w:rsidR="00B712A9" w:rsidRPr="00956C3E" w:rsidRDefault="00B712A9" w:rsidP="00B712A9">
            <w:pPr>
              <w:spacing w:line="360" w:lineRule="auto"/>
              <w:jc w:val="center"/>
            </w:pPr>
            <w:r w:rsidRPr="00956C3E">
              <w:t>T2</w:t>
            </w:r>
          </w:p>
        </w:tc>
        <w:tc>
          <w:tcPr>
            <w:tcW w:w="2268" w:type="dxa"/>
            <w:tcBorders>
              <w:top w:val="single" w:sz="4" w:space="0" w:color="000000"/>
              <w:bottom w:val="single" w:sz="4" w:space="0" w:color="000000"/>
            </w:tcBorders>
            <w:vAlign w:val="center"/>
          </w:tcPr>
          <w:p w14:paraId="3F1291D9" w14:textId="43E3328C" w:rsidR="00B712A9" w:rsidRPr="00B712A9" w:rsidRDefault="00B712A9" w:rsidP="00B712A9">
            <w:pPr>
              <w:spacing w:line="360" w:lineRule="auto"/>
              <w:jc w:val="center"/>
              <w:rPr>
                <w:bCs/>
              </w:rPr>
            </w:pPr>
            <w:r>
              <w:rPr>
                <w:bCs/>
              </w:rPr>
              <w:t>180</w:t>
            </w:r>
          </w:p>
        </w:tc>
        <w:tc>
          <w:tcPr>
            <w:tcW w:w="1985" w:type="dxa"/>
            <w:tcBorders>
              <w:top w:val="single" w:sz="4" w:space="0" w:color="000000"/>
              <w:bottom w:val="single" w:sz="4" w:space="0" w:color="000000"/>
            </w:tcBorders>
          </w:tcPr>
          <w:p w14:paraId="1FCC3BF2" w14:textId="382B9E62" w:rsidR="00B712A9" w:rsidRPr="00956C3E" w:rsidRDefault="00B712A9" w:rsidP="00B712A9">
            <w:pPr>
              <w:spacing w:line="360" w:lineRule="auto"/>
              <w:jc w:val="center"/>
              <w:rPr>
                <w:bCs/>
              </w:rPr>
            </w:pPr>
            <w:r w:rsidRPr="00E54267">
              <w:t>3h</w:t>
            </w:r>
          </w:p>
        </w:tc>
      </w:tr>
      <w:tr w:rsidR="00B712A9" w:rsidRPr="00AD1468" w14:paraId="54082641" w14:textId="77777777" w:rsidTr="004E6A24">
        <w:trPr>
          <w:trHeight w:val="454"/>
        </w:trPr>
        <w:tc>
          <w:tcPr>
            <w:tcW w:w="1701" w:type="dxa"/>
            <w:tcBorders>
              <w:top w:val="single" w:sz="4" w:space="0" w:color="000000"/>
              <w:bottom w:val="single" w:sz="4" w:space="0" w:color="auto"/>
            </w:tcBorders>
            <w:vAlign w:val="center"/>
          </w:tcPr>
          <w:p w14:paraId="5EF34861" w14:textId="77777777" w:rsidR="00B712A9" w:rsidRPr="00956C3E" w:rsidRDefault="00B712A9" w:rsidP="00B712A9">
            <w:pPr>
              <w:spacing w:line="360" w:lineRule="auto"/>
              <w:jc w:val="center"/>
            </w:pPr>
            <w:r w:rsidRPr="00956C3E">
              <w:t>T3</w:t>
            </w:r>
          </w:p>
        </w:tc>
        <w:tc>
          <w:tcPr>
            <w:tcW w:w="2268" w:type="dxa"/>
            <w:tcBorders>
              <w:top w:val="single" w:sz="4" w:space="0" w:color="000000"/>
              <w:bottom w:val="single" w:sz="4" w:space="0" w:color="auto"/>
            </w:tcBorders>
            <w:vAlign w:val="center"/>
          </w:tcPr>
          <w:p w14:paraId="66A3C724" w14:textId="5CA70E4F" w:rsidR="00B712A9" w:rsidRPr="00B712A9" w:rsidRDefault="00B712A9" w:rsidP="00B712A9">
            <w:pPr>
              <w:spacing w:line="360" w:lineRule="auto"/>
              <w:jc w:val="center"/>
              <w:rPr>
                <w:bCs/>
              </w:rPr>
            </w:pPr>
            <w:r>
              <w:rPr>
                <w:bCs/>
              </w:rPr>
              <w:t>200</w:t>
            </w:r>
          </w:p>
        </w:tc>
        <w:tc>
          <w:tcPr>
            <w:tcW w:w="1985" w:type="dxa"/>
            <w:tcBorders>
              <w:top w:val="single" w:sz="4" w:space="0" w:color="000000"/>
              <w:bottom w:val="single" w:sz="4" w:space="0" w:color="auto"/>
            </w:tcBorders>
          </w:tcPr>
          <w:p w14:paraId="2374E0C8" w14:textId="6F365F9F" w:rsidR="00B712A9" w:rsidRPr="00956C3E" w:rsidRDefault="00B712A9" w:rsidP="00B712A9">
            <w:pPr>
              <w:spacing w:line="360" w:lineRule="auto"/>
              <w:jc w:val="center"/>
              <w:rPr>
                <w:bCs/>
              </w:rPr>
            </w:pPr>
            <w:r w:rsidRPr="00E54267">
              <w:t>1h e 30 min.</w:t>
            </w:r>
          </w:p>
        </w:tc>
      </w:tr>
      <w:tr w:rsidR="00B712A9" w:rsidRPr="00AD1468" w14:paraId="0EC66717" w14:textId="77777777" w:rsidTr="004E6A24">
        <w:trPr>
          <w:trHeight w:val="454"/>
        </w:trPr>
        <w:tc>
          <w:tcPr>
            <w:tcW w:w="1701" w:type="dxa"/>
            <w:tcBorders>
              <w:top w:val="single" w:sz="4" w:space="0" w:color="auto"/>
              <w:bottom w:val="single" w:sz="12" w:space="0" w:color="000000"/>
            </w:tcBorders>
            <w:vAlign w:val="center"/>
          </w:tcPr>
          <w:p w14:paraId="57B06DC5" w14:textId="77777777" w:rsidR="00B712A9" w:rsidRPr="00956C3E" w:rsidRDefault="00B712A9" w:rsidP="00B712A9">
            <w:pPr>
              <w:spacing w:line="360" w:lineRule="auto"/>
              <w:jc w:val="center"/>
            </w:pPr>
            <w:r w:rsidRPr="00956C3E">
              <w:t>T4</w:t>
            </w:r>
          </w:p>
        </w:tc>
        <w:tc>
          <w:tcPr>
            <w:tcW w:w="2268" w:type="dxa"/>
            <w:tcBorders>
              <w:top w:val="single" w:sz="4" w:space="0" w:color="auto"/>
              <w:bottom w:val="single" w:sz="12" w:space="0" w:color="000000"/>
            </w:tcBorders>
            <w:vAlign w:val="center"/>
          </w:tcPr>
          <w:p w14:paraId="304EC2D1" w14:textId="5C75AD8F" w:rsidR="00B712A9" w:rsidRPr="00B712A9" w:rsidRDefault="00B712A9" w:rsidP="00B712A9">
            <w:pPr>
              <w:spacing w:line="360" w:lineRule="auto"/>
              <w:jc w:val="center"/>
              <w:rPr>
                <w:bCs/>
              </w:rPr>
            </w:pPr>
            <w:r>
              <w:rPr>
                <w:bCs/>
              </w:rPr>
              <w:t>200</w:t>
            </w:r>
          </w:p>
        </w:tc>
        <w:tc>
          <w:tcPr>
            <w:tcW w:w="1985" w:type="dxa"/>
            <w:tcBorders>
              <w:top w:val="single" w:sz="4" w:space="0" w:color="auto"/>
              <w:bottom w:val="single" w:sz="12" w:space="0" w:color="000000"/>
            </w:tcBorders>
          </w:tcPr>
          <w:p w14:paraId="5866305C" w14:textId="37E6EFEB" w:rsidR="00B712A9" w:rsidRPr="00956C3E" w:rsidRDefault="00B712A9" w:rsidP="00B712A9">
            <w:pPr>
              <w:spacing w:line="360" w:lineRule="auto"/>
              <w:jc w:val="center"/>
              <w:rPr>
                <w:bCs/>
              </w:rPr>
            </w:pPr>
            <w:r w:rsidRPr="00E54267">
              <w:t>3h</w:t>
            </w:r>
          </w:p>
        </w:tc>
      </w:tr>
    </w:tbl>
    <w:p w14:paraId="6326E72F" w14:textId="77777777" w:rsidR="00B712A9" w:rsidRDefault="00B712A9" w:rsidP="000B3F66">
      <w:pPr>
        <w:adjustRightInd w:val="0"/>
        <w:spacing w:line="360" w:lineRule="auto"/>
        <w:jc w:val="both"/>
        <w:rPr>
          <w:sz w:val="24"/>
          <w:szCs w:val="24"/>
        </w:rPr>
      </w:pPr>
    </w:p>
    <w:p w14:paraId="74F84942" w14:textId="1BA34F53" w:rsidR="000B3F66" w:rsidRDefault="000B3F66" w:rsidP="000B3F66">
      <w:pPr>
        <w:adjustRightInd w:val="0"/>
        <w:spacing w:line="360" w:lineRule="auto"/>
        <w:jc w:val="both"/>
        <w:rPr>
          <w:sz w:val="24"/>
          <w:szCs w:val="24"/>
        </w:rPr>
      </w:pPr>
      <w:r>
        <w:rPr>
          <w:b/>
          <w:bCs/>
          <w:sz w:val="24"/>
          <w:szCs w:val="24"/>
        </w:rPr>
        <w:t>2.3 Análises da madeira</w:t>
      </w:r>
    </w:p>
    <w:p w14:paraId="2FDA2518" w14:textId="06A6BC83" w:rsidR="0005122E" w:rsidRDefault="00CC0774" w:rsidP="003949CE">
      <w:pPr>
        <w:pBdr>
          <w:bottom w:val="none" w:sz="0" w:space="8" w:color="000000"/>
        </w:pBdr>
        <w:shd w:val="clear" w:color="auto" w:fill="FFFFFF"/>
        <w:tabs>
          <w:tab w:val="left" w:pos="2500"/>
        </w:tabs>
        <w:spacing w:line="432" w:lineRule="auto"/>
        <w:ind w:firstLine="700"/>
        <w:jc w:val="both"/>
        <w:rPr>
          <w:sz w:val="24"/>
          <w:szCs w:val="24"/>
        </w:rPr>
      </w:pPr>
      <w:r w:rsidRPr="00CC0774">
        <w:rPr>
          <w:sz w:val="24"/>
          <w:szCs w:val="24"/>
        </w:rPr>
        <w:t>Após os tratamentos térmicos, os corpos de prova foram novamente pesados para obtenção da massa após modificação térmica. Assim, a redução de massa decorrente do tratamento térmico foi calculada de acordo com a Equação (1) (PONCSÁK et al., 2006)</w:t>
      </w:r>
      <w:r w:rsidR="000B3F66">
        <w:rPr>
          <w:sz w:val="24"/>
          <w:szCs w:val="24"/>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61"/>
      </w:tblGrid>
      <w:tr w:rsidR="000B3F66" w14:paraId="1C37DCAF" w14:textId="55871777" w:rsidTr="000B3F66">
        <w:tc>
          <w:tcPr>
            <w:tcW w:w="6804" w:type="dxa"/>
          </w:tcPr>
          <w:p w14:paraId="6E21A806" w14:textId="208640AD" w:rsidR="000B3F66" w:rsidRPr="000B3F66" w:rsidRDefault="000B3F66" w:rsidP="003949CE">
            <w:pPr>
              <w:tabs>
                <w:tab w:val="left" w:pos="2500"/>
              </w:tabs>
              <w:spacing w:line="432" w:lineRule="auto"/>
              <w:jc w:val="both"/>
            </w:pPr>
            <m:oMathPara>
              <m:oMathParaPr>
                <m:jc m:val="center"/>
              </m:oMathParaPr>
              <m:oMath>
                <m:r>
                  <m:rPr>
                    <m:sty m:val="p"/>
                  </m:rPr>
                  <w:rPr>
                    <w:rFonts w:ascii="Cambria Math" w:hAnsi="Cambria Math"/>
                  </w:rPr>
                  <m:t>PM=</m:t>
                </m:r>
                <m:f>
                  <m:fPr>
                    <m:ctrlPr>
                      <w:rPr>
                        <w:rFonts w:ascii="Cambria Math" w:hAnsi="Cambria Math"/>
                        <w:iCs/>
                      </w:rPr>
                    </m:ctrlPr>
                  </m:fPr>
                  <m:num>
                    <m:r>
                      <m:rPr>
                        <m:sty m:val="p"/>
                      </m:rPr>
                      <w:rPr>
                        <w:rFonts w:ascii="Cambria Math" w:hAnsi="Cambria Math"/>
                      </w:rPr>
                      <m:t>M1-M2</m:t>
                    </m:r>
                  </m:num>
                  <m:den>
                    <m:r>
                      <m:rPr>
                        <m:sty m:val="p"/>
                      </m:rPr>
                      <w:rPr>
                        <w:rFonts w:ascii="Cambria Math" w:hAnsi="Cambria Math"/>
                      </w:rPr>
                      <m:t>M1</m:t>
                    </m:r>
                  </m:den>
                </m:f>
                <m:r>
                  <m:rPr>
                    <m:sty m:val="p"/>
                  </m:rPr>
                  <w:rPr>
                    <w:rFonts w:ascii="Cambria Math" w:hAnsi="Cambria Math"/>
                  </w:rPr>
                  <m:t>*100</m:t>
                </m:r>
              </m:oMath>
            </m:oMathPara>
          </w:p>
        </w:tc>
        <w:tc>
          <w:tcPr>
            <w:tcW w:w="2261" w:type="dxa"/>
          </w:tcPr>
          <w:p w14:paraId="3A9C232C" w14:textId="71846625" w:rsidR="000B3F66" w:rsidRPr="000B3F66" w:rsidRDefault="000B3F66" w:rsidP="000B3F66">
            <w:pPr>
              <w:pBdr>
                <w:bottom w:val="none" w:sz="0" w:space="8" w:color="000000"/>
              </w:pBdr>
              <w:shd w:val="clear" w:color="auto" w:fill="FFFFFF"/>
              <w:tabs>
                <w:tab w:val="left" w:pos="2500"/>
              </w:tabs>
              <w:spacing w:line="432" w:lineRule="auto"/>
              <w:ind w:firstLine="700"/>
              <w:jc w:val="right"/>
              <w:rPr>
                <w:iCs/>
              </w:rPr>
            </w:pPr>
            <w:r w:rsidRPr="002F545A">
              <w:rPr>
                <w:iCs/>
              </w:rPr>
              <w:t>(1)</w:t>
            </w:r>
          </w:p>
        </w:tc>
      </w:tr>
    </w:tbl>
    <w:p w14:paraId="5D0B2FD3" w14:textId="0CEC5045" w:rsidR="0005122E" w:rsidRPr="000B3F66" w:rsidRDefault="00CC0774" w:rsidP="00637B35">
      <w:pPr>
        <w:pBdr>
          <w:bottom w:val="none" w:sz="0" w:space="8" w:color="000000"/>
        </w:pBdr>
        <w:shd w:val="clear" w:color="auto" w:fill="FFFFFF"/>
        <w:tabs>
          <w:tab w:val="left" w:pos="2500"/>
        </w:tabs>
        <w:ind w:firstLine="700"/>
        <w:jc w:val="both"/>
      </w:pPr>
      <w:r w:rsidRPr="000B3F66">
        <w:t>Em que:</w:t>
      </w:r>
    </w:p>
    <w:p w14:paraId="283CC9D3" w14:textId="2FFDD260" w:rsidR="00CC0774" w:rsidRPr="000B3F66" w:rsidRDefault="00CC0774" w:rsidP="00637B35">
      <w:pPr>
        <w:pBdr>
          <w:bottom w:val="none" w:sz="0" w:space="8" w:color="000000"/>
        </w:pBdr>
        <w:shd w:val="clear" w:color="auto" w:fill="FFFFFF"/>
        <w:tabs>
          <w:tab w:val="left" w:pos="2500"/>
        </w:tabs>
        <w:ind w:firstLine="700"/>
        <w:jc w:val="both"/>
      </w:pPr>
      <w:r w:rsidRPr="000B3F66">
        <w:t>PM = Perda de Massa (%);</w:t>
      </w:r>
    </w:p>
    <w:p w14:paraId="2C18E88D" w14:textId="77777777" w:rsidR="00CC0774" w:rsidRPr="000B3F66" w:rsidRDefault="00CC0774" w:rsidP="00637B35">
      <w:pPr>
        <w:pBdr>
          <w:bottom w:val="none" w:sz="0" w:space="8" w:color="000000"/>
        </w:pBdr>
        <w:shd w:val="clear" w:color="auto" w:fill="FFFFFF"/>
        <w:tabs>
          <w:tab w:val="left" w:pos="2500"/>
        </w:tabs>
        <w:ind w:firstLine="700"/>
        <w:jc w:val="both"/>
      </w:pPr>
      <w:r w:rsidRPr="000B3F66">
        <w:t>M1= massa seca antes da modificação térmica (g);</w:t>
      </w:r>
    </w:p>
    <w:p w14:paraId="213CB4DD" w14:textId="3028E654" w:rsidR="00CC0774" w:rsidRPr="000B3F66" w:rsidRDefault="00CC0774" w:rsidP="00637B35">
      <w:pPr>
        <w:pBdr>
          <w:bottom w:val="none" w:sz="0" w:space="8" w:color="000000"/>
        </w:pBdr>
        <w:shd w:val="clear" w:color="auto" w:fill="FFFFFF"/>
        <w:tabs>
          <w:tab w:val="left" w:pos="2500"/>
        </w:tabs>
        <w:ind w:firstLine="700"/>
        <w:jc w:val="both"/>
      </w:pPr>
      <w:r w:rsidRPr="000B3F66">
        <w:t>M2 = massa seca após modificação térmica (g).</w:t>
      </w:r>
    </w:p>
    <w:p w14:paraId="5CD34DD5" w14:textId="207D9329" w:rsidR="0095298E" w:rsidRDefault="0095298E" w:rsidP="003949CE">
      <w:pPr>
        <w:pBdr>
          <w:bottom w:val="none" w:sz="0" w:space="8" w:color="000000"/>
        </w:pBdr>
        <w:shd w:val="clear" w:color="auto" w:fill="FFFFFF"/>
        <w:tabs>
          <w:tab w:val="left" w:pos="2500"/>
        </w:tabs>
        <w:spacing w:line="432" w:lineRule="auto"/>
        <w:ind w:firstLine="700"/>
        <w:jc w:val="both"/>
        <w:rPr>
          <w:sz w:val="24"/>
          <w:szCs w:val="24"/>
        </w:rPr>
      </w:pPr>
    </w:p>
    <w:p w14:paraId="4EEC9A2B" w14:textId="137B7C7F" w:rsidR="00524DD5" w:rsidRDefault="00524DD5" w:rsidP="002F545A">
      <w:pPr>
        <w:pBdr>
          <w:bottom w:val="none" w:sz="0" w:space="8" w:color="000000"/>
        </w:pBdr>
        <w:shd w:val="clear" w:color="auto" w:fill="FFFFFF"/>
        <w:tabs>
          <w:tab w:val="left" w:pos="2500"/>
        </w:tabs>
        <w:spacing w:line="432" w:lineRule="auto"/>
        <w:ind w:firstLine="700"/>
        <w:jc w:val="both"/>
        <w:rPr>
          <w:sz w:val="24"/>
          <w:szCs w:val="24"/>
        </w:rPr>
      </w:pPr>
      <w:r w:rsidRPr="00524DD5">
        <w:rPr>
          <w:sz w:val="24"/>
          <w:szCs w:val="24"/>
        </w:rPr>
        <w:t xml:space="preserve">A densidade </w:t>
      </w:r>
      <w:r w:rsidR="001D2D55">
        <w:rPr>
          <w:sz w:val="24"/>
          <w:szCs w:val="24"/>
        </w:rPr>
        <w:t xml:space="preserve">básica </w:t>
      </w:r>
      <w:r w:rsidRPr="00524DD5">
        <w:rPr>
          <w:sz w:val="24"/>
          <w:szCs w:val="24"/>
        </w:rPr>
        <w:t>da madeira foi determinada com base</w:t>
      </w:r>
      <w:r w:rsidR="00637B35">
        <w:rPr>
          <w:sz w:val="24"/>
          <w:szCs w:val="24"/>
        </w:rPr>
        <w:t xml:space="preserve"> na </w:t>
      </w:r>
      <w:r w:rsidR="00637B35" w:rsidRPr="00887B80">
        <w:rPr>
          <w:sz w:val="24"/>
          <w:szCs w:val="24"/>
        </w:rPr>
        <w:t>ABNT 11941</w:t>
      </w:r>
      <w:r w:rsidRPr="00524DD5">
        <w:rPr>
          <w:sz w:val="24"/>
          <w:szCs w:val="24"/>
        </w:rPr>
        <w:t xml:space="preserve">. </w:t>
      </w:r>
      <w:r w:rsidR="00637B35">
        <w:rPr>
          <w:sz w:val="24"/>
          <w:szCs w:val="24"/>
        </w:rPr>
        <w:t xml:space="preserve">As amostras foram </w:t>
      </w:r>
      <w:r w:rsidRPr="00524DD5">
        <w:rPr>
          <w:sz w:val="24"/>
          <w:szCs w:val="24"/>
        </w:rPr>
        <w:t>imers</w:t>
      </w:r>
      <w:r w:rsidR="00637B35">
        <w:rPr>
          <w:sz w:val="24"/>
          <w:szCs w:val="24"/>
        </w:rPr>
        <w:t>a</w:t>
      </w:r>
      <w:r w:rsidRPr="00524DD5">
        <w:rPr>
          <w:sz w:val="24"/>
          <w:szCs w:val="24"/>
        </w:rPr>
        <w:t>s em dessecador contendo água e submetidos a ação de uma bomba a vácuo</w:t>
      </w:r>
      <w:r>
        <w:rPr>
          <w:sz w:val="24"/>
          <w:szCs w:val="24"/>
        </w:rPr>
        <w:t xml:space="preserve"> durante 05 meses</w:t>
      </w:r>
      <w:r w:rsidRPr="00524DD5">
        <w:rPr>
          <w:sz w:val="24"/>
          <w:szCs w:val="24"/>
        </w:rPr>
        <w:t xml:space="preserve"> até expansão máxima detectada por mensurações seguidas que não indicaram modificação do</w:t>
      </w:r>
      <w:r>
        <w:rPr>
          <w:sz w:val="24"/>
          <w:szCs w:val="24"/>
        </w:rPr>
        <w:t xml:space="preserve"> </w:t>
      </w:r>
      <w:r w:rsidRPr="00524DD5">
        <w:rPr>
          <w:sz w:val="24"/>
          <w:szCs w:val="24"/>
        </w:rPr>
        <w:t>volume das amostras. O volume dos corpos de prova foi</w:t>
      </w:r>
      <w:r>
        <w:rPr>
          <w:sz w:val="24"/>
          <w:szCs w:val="24"/>
        </w:rPr>
        <w:t xml:space="preserve"> </w:t>
      </w:r>
      <w:r w:rsidRPr="00524DD5">
        <w:rPr>
          <w:sz w:val="24"/>
          <w:szCs w:val="24"/>
        </w:rPr>
        <w:t>obtido pelo método do princípio de Arquimedes.</w:t>
      </w:r>
      <w:r w:rsidR="00637B35">
        <w:rPr>
          <w:sz w:val="24"/>
          <w:szCs w:val="24"/>
        </w:rPr>
        <w:t xml:space="preserve"> Em seguida, foram secas em estufa a 103±2 ºC até peso constante, quando foram obtidos de massa seca.</w:t>
      </w:r>
      <w:r w:rsidRPr="00524DD5">
        <w:rPr>
          <w:sz w:val="24"/>
          <w:szCs w:val="24"/>
        </w:rPr>
        <w:t xml:space="preserve"> Assim, o</w:t>
      </w:r>
      <w:r>
        <w:rPr>
          <w:sz w:val="24"/>
          <w:szCs w:val="24"/>
        </w:rPr>
        <w:t xml:space="preserve"> </w:t>
      </w:r>
      <w:r w:rsidRPr="00524DD5">
        <w:rPr>
          <w:sz w:val="24"/>
          <w:szCs w:val="24"/>
        </w:rPr>
        <w:t xml:space="preserve">cálculo da densidade básica da madeira foi </w:t>
      </w:r>
      <w:r w:rsidRPr="00524DD5">
        <w:rPr>
          <w:sz w:val="24"/>
          <w:szCs w:val="24"/>
        </w:rPr>
        <w:lastRenderedPageBreak/>
        <w:t>realizado pela</w:t>
      </w:r>
      <w:r>
        <w:rPr>
          <w:sz w:val="24"/>
          <w:szCs w:val="24"/>
        </w:rPr>
        <w:t xml:space="preserve"> </w:t>
      </w:r>
      <w:r w:rsidRPr="00524DD5">
        <w:rPr>
          <w:sz w:val="24"/>
          <w:szCs w:val="24"/>
        </w:rPr>
        <w:t>Equação (2):</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61"/>
      </w:tblGrid>
      <w:tr w:rsidR="000B3F66" w14:paraId="2564D0A8" w14:textId="77777777" w:rsidTr="00647657">
        <w:tc>
          <w:tcPr>
            <w:tcW w:w="6804" w:type="dxa"/>
          </w:tcPr>
          <w:p w14:paraId="71C4938D" w14:textId="753FB572" w:rsidR="000B3F66" w:rsidRPr="000B3F66" w:rsidRDefault="000B3F66" w:rsidP="00647657">
            <w:pPr>
              <w:tabs>
                <w:tab w:val="left" w:pos="2500"/>
              </w:tabs>
              <w:spacing w:line="432" w:lineRule="auto"/>
              <w:jc w:val="both"/>
            </w:pPr>
            <m:oMathPara>
              <m:oMathParaPr>
                <m:jc m:val="center"/>
              </m:oMathParaPr>
              <m:oMath>
                <m:r>
                  <m:rPr>
                    <m:sty m:val="p"/>
                  </m:rPr>
                  <w:rPr>
                    <w:rFonts w:ascii="Cambria Math" w:hAnsi="Cambria Math"/>
                  </w:rPr>
                  <m:t>DB = M1/Vs</m:t>
                </m:r>
              </m:oMath>
            </m:oMathPara>
          </w:p>
        </w:tc>
        <w:tc>
          <w:tcPr>
            <w:tcW w:w="2261" w:type="dxa"/>
          </w:tcPr>
          <w:p w14:paraId="1D5D752C" w14:textId="0CDC53E9" w:rsidR="000B3F66" w:rsidRPr="000B3F66" w:rsidRDefault="000B3F66" w:rsidP="00647657">
            <w:pPr>
              <w:pBdr>
                <w:bottom w:val="none" w:sz="0" w:space="8" w:color="000000"/>
              </w:pBdr>
              <w:shd w:val="clear" w:color="auto" w:fill="FFFFFF"/>
              <w:tabs>
                <w:tab w:val="left" w:pos="2500"/>
              </w:tabs>
              <w:spacing w:line="432" w:lineRule="auto"/>
              <w:ind w:firstLine="700"/>
              <w:jc w:val="right"/>
              <w:rPr>
                <w:iCs/>
              </w:rPr>
            </w:pPr>
            <w:r w:rsidRPr="002F545A">
              <w:rPr>
                <w:iCs/>
              </w:rPr>
              <w:t>(</w:t>
            </w:r>
            <w:r>
              <w:rPr>
                <w:iCs/>
              </w:rPr>
              <w:t>2</w:t>
            </w:r>
            <w:r w:rsidRPr="002F545A">
              <w:rPr>
                <w:iCs/>
              </w:rPr>
              <w:t>)</w:t>
            </w:r>
          </w:p>
        </w:tc>
      </w:tr>
    </w:tbl>
    <w:p w14:paraId="21AC38E3" w14:textId="77777777" w:rsidR="00524DD5" w:rsidRPr="00871F3A" w:rsidRDefault="00524DD5" w:rsidP="00637B35">
      <w:pPr>
        <w:pBdr>
          <w:bottom w:val="none" w:sz="0" w:space="8" w:color="000000"/>
        </w:pBdr>
        <w:shd w:val="clear" w:color="auto" w:fill="FFFFFF"/>
        <w:tabs>
          <w:tab w:val="left" w:pos="2500"/>
        </w:tabs>
        <w:ind w:firstLine="700"/>
        <w:jc w:val="both"/>
        <w:rPr>
          <w:sz w:val="20"/>
          <w:szCs w:val="20"/>
        </w:rPr>
      </w:pPr>
      <w:r w:rsidRPr="00871F3A">
        <w:rPr>
          <w:sz w:val="20"/>
          <w:szCs w:val="20"/>
        </w:rPr>
        <w:t>Em que:</w:t>
      </w:r>
    </w:p>
    <w:p w14:paraId="4FD5EB79" w14:textId="77777777" w:rsidR="00524DD5" w:rsidRPr="00871F3A" w:rsidRDefault="00524DD5" w:rsidP="00637B35">
      <w:pPr>
        <w:pBdr>
          <w:bottom w:val="none" w:sz="0" w:space="8" w:color="000000"/>
        </w:pBdr>
        <w:shd w:val="clear" w:color="auto" w:fill="FFFFFF"/>
        <w:tabs>
          <w:tab w:val="left" w:pos="2500"/>
        </w:tabs>
        <w:ind w:firstLine="700"/>
        <w:jc w:val="both"/>
        <w:rPr>
          <w:sz w:val="20"/>
          <w:szCs w:val="20"/>
        </w:rPr>
      </w:pPr>
      <w:r w:rsidRPr="00871F3A">
        <w:rPr>
          <w:sz w:val="20"/>
          <w:szCs w:val="20"/>
        </w:rPr>
        <w:t>DB = Densidade básica (g/cm³);</w:t>
      </w:r>
    </w:p>
    <w:p w14:paraId="0F101CD6" w14:textId="77777777" w:rsidR="00524DD5" w:rsidRPr="00871F3A" w:rsidRDefault="00524DD5" w:rsidP="00637B35">
      <w:pPr>
        <w:pBdr>
          <w:bottom w:val="none" w:sz="0" w:space="8" w:color="000000"/>
        </w:pBdr>
        <w:shd w:val="clear" w:color="auto" w:fill="FFFFFF"/>
        <w:tabs>
          <w:tab w:val="left" w:pos="2500"/>
        </w:tabs>
        <w:ind w:firstLine="700"/>
        <w:jc w:val="both"/>
        <w:rPr>
          <w:sz w:val="20"/>
          <w:szCs w:val="20"/>
        </w:rPr>
      </w:pPr>
      <w:r w:rsidRPr="00871F3A">
        <w:rPr>
          <w:sz w:val="20"/>
          <w:szCs w:val="20"/>
        </w:rPr>
        <w:t>M1 = Massa absolutamente seca (g);</w:t>
      </w:r>
    </w:p>
    <w:p w14:paraId="21140353" w14:textId="28674C6C" w:rsidR="00524DD5" w:rsidRPr="00871F3A" w:rsidRDefault="00524DD5" w:rsidP="00637B35">
      <w:pPr>
        <w:pBdr>
          <w:bottom w:val="none" w:sz="0" w:space="8" w:color="000000"/>
        </w:pBdr>
        <w:shd w:val="clear" w:color="auto" w:fill="FFFFFF"/>
        <w:tabs>
          <w:tab w:val="left" w:pos="2500"/>
        </w:tabs>
        <w:ind w:firstLine="700"/>
        <w:jc w:val="both"/>
        <w:rPr>
          <w:sz w:val="20"/>
          <w:szCs w:val="20"/>
        </w:rPr>
      </w:pPr>
      <w:r w:rsidRPr="00871F3A">
        <w:rPr>
          <w:sz w:val="20"/>
          <w:szCs w:val="20"/>
        </w:rPr>
        <w:t>Vs = Volume da madeira acima do PSF (cm</w:t>
      </w:r>
      <w:r w:rsidRPr="00871F3A">
        <w:rPr>
          <w:sz w:val="20"/>
          <w:szCs w:val="20"/>
          <w:vertAlign w:val="superscript"/>
        </w:rPr>
        <w:t>3</w:t>
      </w:r>
      <w:r w:rsidRPr="00871F3A">
        <w:rPr>
          <w:sz w:val="20"/>
          <w:szCs w:val="20"/>
        </w:rPr>
        <w:t>).</w:t>
      </w:r>
    </w:p>
    <w:p w14:paraId="2EF50FA8" w14:textId="2A8CF1FE" w:rsidR="00524DD5" w:rsidRDefault="00524DD5" w:rsidP="003949CE">
      <w:pPr>
        <w:pBdr>
          <w:bottom w:val="none" w:sz="0" w:space="8" w:color="000000"/>
        </w:pBdr>
        <w:shd w:val="clear" w:color="auto" w:fill="FFFFFF"/>
        <w:tabs>
          <w:tab w:val="left" w:pos="2500"/>
        </w:tabs>
        <w:spacing w:line="432" w:lineRule="auto"/>
        <w:ind w:firstLine="700"/>
        <w:jc w:val="both"/>
        <w:rPr>
          <w:sz w:val="24"/>
          <w:szCs w:val="24"/>
        </w:rPr>
      </w:pPr>
    </w:p>
    <w:p w14:paraId="3AC75EC8" w14:textId="3F54DECA" w:rsidR="002F545A" w:rsidRDefault="00B30D17" w:rsidP="00C21F1E">
      <w:pPr>
        <w:pBdr>
          <w:bottom w:val="none" w:sz="0" w:space="8" w:color="000000"/>
        </w:pBdr>
        <w:shd w:val="clear" w:color="auto" w:fill="FFFFFF"/>
        <w:tabs>
          <w:tab w:val="left" w:pos="2500"/>
        </w:tabs>
        <w:spacing w:line="432" w:lineRule="auto"/>
        <w:ind w:firstLine="700"/>
        <w:jc w:val="both"/>
        <w:rPr>
          <w:sz w:val="24"/>
          <w:szCs w:val="24"/>
        </w:rPr>
      </w:pPr>
      <w:r w:rsidRPr="00B30D17">
        <w:rPr>
          <w:sz w:val="24"/>
          <w:szCs w:val="24"/>
        </w:rPr>
        <w:t>Para obtenção da contração volumétrica máxima, as dimensões (tangencial, radial e longitudinal) foram medidas antes e após a saturação com paquímetro digital de precissão de 0,01 mm. O</w:t>
      </w:r>
      <w:r w:rsidR="00524DD5" w:rsidRPr="00B30D17">
        <w:rPr>
          <w:sz w:val="24"/>
          <w:szCs w:val="24"/>
        </w:rPr>
        <w:t xml:space="preserve"> cálculo da contração volumétrica máxima</w:t>
      </w:r>
      <w:r w:rsidR="002F545A">
        <w:rPr>
          <w:sz w:val="24"/>
          <w:szCs w:val="24"/>
        </w:rPr>
        <w:t xml:space="preserve"> </w:t>
      </w:r>
      <w:r w:rsidR="00524DD5" w:rsidRPr="00B30D17">
        <w:rPr>
          <w:sz w:val="24"/>
          <w:szCs w:val="24"/>
        </w:rPr>
        <w:t>(βVmax)</w:t>
      </w:r>
      <w:r w:rsidR="002F545A">
        <w:rPr>
          <w:sz w:val="24"/>
          <w:szCs w:val="24"/>
        </w:rPr>
        <w:t xml:space="preserve"> e do fator de anisotropia (F.A)</w:t>
      </w:r>
      <w:r w:rsidRPr="00B30D17">
        <w:rPr>
          <w:sz w:val="24"/>
          <w:szCs w:val="24"/>
        </w:rPr>
        <w:t xml:space="preserve"> fo</w:t>
      </w:r>
      <w:r w:rsidR="002F545A">
        <w:rPr>
          <w:sz w:val="24"/>
          <w:szCs w:val="24"/>
        </w:rPr>
        <w:t>ram</w:t>
      </w:r>
      <w:r w:rsidRPr="00B30D17">
        <w:rPr>
          <w:sz w:val="24"/>
          <w:szCs w:val="24"/>
        </w:rPr>
        <w:t xml:space="preserve"> realizado </w:t>
      </w:r>
      <w:r w:rsidR="00524DD5" w:rsidRPr="00B30D17">
        <w:rPr>
          <w:sz w:val="24"/>
          <w:szCs w:val="24"/>
        </w:rPr>
        <w:t>pela</w:t>
      </w:r>
      <w:r w:rsidR="002F545A">
        <w:rPr>
          <w:sz w:val="24"/>
          <w:szCs w:val="24"/>
        </w:rPr>
        <w:t>s</w:t>
      </w:r>
      <w:r w:rsidR="00524DD5" w:rsidRPr="00B30D17">
        <w:rPr>
          <w:sz w:val="24"/>
          <w:szCs w:val="24"/>
        </w:rPr>
        <w:t xml:space="preserve"> Equação (3)</w:t>
      </w:r>
      <w:r w:rsidR="002F545A">
        <w:rPr>
          <w:sz w:val="24"/>
          <w:szCs w:val="24"/>
        </w:rPr>
        <w:t xml:space="preserve"> e (4)</w:t>
      </w:r>
      <w:r w:rsidR="00524DD5" w:rsidRPr="00B30D17">
        <w:rPr>
          <w:sz w:val="24"/>
          <w:szCs w:val="24"/>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61"/>
      </w:tblGrid>
      <w:tr w:rsidR="000B3F66" w14:paraId="45E6EF4A" w14:textId="77777777" w:rsidTr="00647657">
        <w:tc>
          <w:tcPr>
            <w:tcW w:w="6804" w:type="dxa"/>
          </w:tcPr>
          <w:p w14:paraId="00F55707" w14:textId="5653BCB3" w:rsidR="000B3F66" w:rsidRPr="000B3F66" w:rsidRDefault="000B3F66" w:rsidP="00647657">
            <w:pPr>
              <w:tabs>
                <w:tab w:val="left" w:pos="2500"/>
              </w:tabs>
              <w:spacing w:line="432" w:lineRule="auto"/>
              <w:jc w:val="both"/>
            </w:pPr>
            <m:oMathPara>
              <m:oMathParaPr>
                <m:jc m:val="center"/>
              </m:oMathParaPr>
              <m:oMath>
                <m:r>
                  <m:rPr>
                    <m:sty m:val="p"/>
                  </m:rPr>
                  <w:rPr>
                    <w:rFonts w:ascii="Cambria Math" w:hAnsi="Cambria Math"/>
                  </w:rPr>
                  <m:t>βVmax = ((Vs - V0)/Vs) X 100</m:t>
                </m:r>
              </m:oMath>
            </m:oMathPara>
          </w:p>
        </w:tc>
        <w:tc>
          <w:tcPr>
            <w:tcW w:w="2261" w:type="dxa"/>
          </w:tcPr>
          <w:p w14:paraId="5F1864FC" w14:textId="449ACE21" w:rsidR="000B3F66" w:rsidRPr="000B3F66" w:rsidRDefault="000B3F66" w:rsidP="00647657">
            <w:pPr>
              <w:pBdr>
                <w:bottom w:val="none" w:sz="0" w:space="8" w:color="000000"/>
              </w:pBdr>
              <w:shd w:val="clear" w:color="auto" w:fill="FFFFFF"/>
              <w:tabs>
                <w:tab w:val="left" w:pos="2500"/>
              </w:tabs>
              <w:spacing w:line="432" w:lineRule="auto"/>
              <w:ind w:firstLine="700"/>
              <w:jc w:val="right"/>
              <w:rPr>
                <w:iCs/>
              </w:rPr>
            </w:pPr>
            <w:r w:rsidRPr="002F545A">
              <w:rPr>
                <w:iCs/>
              </w:rPr>
              <w:t>(</w:t>
            </w:r>
            <w:r>
              <w:rPr>
                <w:iCs/>
              </w:rPr>
              <w:t>3</w:t>
            </w:r>
            <w:r w:rsidRPr="002F545A">
              <w:rPr>
                <w:iCs/>
              </w:rPr>
              <w:t>)</w:t>
            </w:r>
          </w:p>
        </w:tc>
      </w:tr>
    </w:tbl>
    <w:p w14:paraId="110F4A01" w14:textId="77777777" w:rsidR="00524DD5" w:rsidRPr="00871F3A" w:rsidRDefault="00524DD5" w:rsidP="00B30D17">
      <w:pPr>
        <w:pBdr>
          <w:bottom w:val="none" w:sz="0" w:space="8" w:color="000000"/>
        </w:pBdr>
        <w:shd w:val="clear" w:color="auto" w:fill="FFFFFF"/>
        <w:tabs>
          <w:tab w:val="left" w:pos="2500"/>
        </w:tabs>
        <w:ind w:firstLine="700"/>
        <w:jc w:val="both"/>
        <w:rPr>
          <w:sz w:val="20"/>
          <w:szCs w:val="20"/>
        </w:rPr>
      </w:pPr>
      <w:r w:rsidRPr="00871F3A">
        <w:rPr>
          <w:sz w:val="20"/>
          <w:szCs w:val="20"/>
        </w:rPr>
        <w:t>Em que:</w:t>
      </w:r>
    </w:p>
    <w:p w14:paraId="5B0D5469" w14:textId="77777777" w:rsidR="00524DD5" w:rsidRPr="00871F3A" w:rsidRDefault="00524DD5" w:rsidP="00B30D17">
      <w:pPr>
        <w:pBdr>
          <w:bottom w:val="none" w:sz="0" w:space="8" w:color="000000"/>
        </w:pBdr>
        <w:shd w:val="clear" w:color="auto" w:fill="FFFFFF"/>
        <w:tabs>
          <w:tab w:val="left" w:pos="2500"/>
        </w:tabs>
        <w:ind w:firstLine="700"/>
        <w:jc w:val="both"/>
        <w:rPr>
          <w:sz w:val="20"/>
          <w:szCs w:val="20"/>
        </w:rPr>
      </w:pPr>
      <w:r w:rsidRPr="00871F3A">
        <w:rPr>
          <w:sz w:val="20"/>
          <w:szCs w:val="20"/>
        </w:rPr>
        <w:t>βVmax = contração volumétrica máxima (%);</w:t>
      </w:r>
    </w:p>
    <w:p w14:paraId="0453D1FF" w14:textId="77777777" w:rsidR="00524DD5" w:rsidRPr="00871F3A" w:rsidRDefault="00524DD5" w:rsidP="00B30D17">
      <w:pPr>
        <w:pBdr>
          <w:bottom w:val="none" w:sz="0" w:space="8" w:color="000000"/>
        </w:pBdr>
        <w:shd w:val="clear" w:color="auto" w:fill="FFFFFF"/>
        <w:tabs>
          <w:tab w:val="left" w:pos="2500"/>
        </w:tabs>
        <w:ind w:firstLine="700"/>
        <w:jc w:val="both"/>
        <w:rPr>
          <w:sz w:val="20"/>
          <w:szCs w:val="20"/>
        </w:rPr>
      </w:pPr>
      <w:r w:rsidRPr="00871F3A">
        <w:rPr>
          <w:sz w:val="20"/>
          <w:szCs w:val="20"/>
        </w:rPr>
        <w:t>Vs = volume da madeira acima do PSF (cm³);</w:t>
      </w:r>
    </w:p>
    <w:p w14:paraId="61549713" w14:textId="6BD5CE2F" w:rsidR="00524DD5" w:rsidRPr="00871F3A" w:rsidRDefault="00524DD5" w:rsidP="00B30D17">
      <w:pPr>
        <w:pBdr>
          <w:bottom w:val="none" w:sz="0" w:space="8" w:color="000000"/>
        </w:pBdr>
        <w:shd w:val="clear" w:color="auto" w:fill="FFFFFF"/>
        <w:tabs>
          <w:tab w:val="left" w:pos="2500"/>
        </w:tabs>
        <w:ind w:firstLine="700"/>
        <w:jc w:val="both"/>
        <w:rPr>
          <w:sz w:val="20"/>
          <w:szCs w:val="20"/>
        </w:rPr>
      </w:pPr>
      <w:r w:rsidRPr="00871F3A">
        <w:rPr>
          <w:sz w:val="20"/>
          <w:szCs w:val="20"/>
        </w:rPr>
        <w:t>V0 = volume da madeira absolutamente seca (cm³).</w:t>
      </w:r>
    </w:p>
    <w:p w14:paraId="744C4802" w14:textId="77777777" w:rsidR="00B30D17" w:rsidRDefault="00B30D17" w:rsidP="00B30D17">
      <w:pPr>
        <w:pBdr>
          <w:bottom w:val="none" w:sz="0" w:space="8" w:color="000000"/>
        </w:pBdr>
        <w:shd w:val="clear" w:color="auto" w:fill="FFFFFF"/>
        <w:tabs>
          <w:tab w:val="left" w:pos="2500"/>
        </w:tabs>
        <w:ind w:firstLine="700"/>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61"/>
      </w:tblGrid>
      <w:tr w:rsidR="000B3F66" w14:paraId="57C7119B" w14:textId="77777777" w:rsidTr="00647657">
        <w:tc>
          <w:tcPr>
            <w:tcW w:w="6804" w:type="dxa"/>
          </w:tcPr>
          <w:p w14:paraId="07630981" w14:textId="3EDC2565" w:rsidR="000B3F66" w:rsidRPr="000B3F66" w:rsidRDefault="000B3F66" w:rsidP="00647657">
            <w:pPr>
              <w:tabs>
                <w:tab w:val="left" w:pos="2500"/>
              </w:tabs>
              <w:spacing w:line="432" w:lineRule="auto"/>
              <w:jc w:val="both"/>
            </w:pPr>
            <m:oMathPara>
              <m:oMathParaPr>
                <m:jc m:val="center"/>
              </m:oMathParaPr>
              <m:oMath>
                <m:r>
                  <m:rPr>
                    <m:sty m:val="p"/>
                  </m:rPr>
                  <w:rPr>
                    <w:rFonts w:ascii="Cambria Math" w:hAnsi="Cambria Math"/>
                  </w:rPr>
                  <m:t>F.A.=</m:t>
                </m:r>
                <m:f>
                  <m:fPr>
                    <m:ctrlPr>
                      <w:rPr>
                        <w:rFonts w:ascii="Cambria Math" w:hAnsi="Cambria Math"/>
                      </w:rPr>
                    </m:ctrlPr>
                  </m:fPr>
                  <m:num>
                    <m:r>
                      <m:rPr>
                        <m:sty m:val="p"/>
                      </m:rPr>
                      <w:rPr>
                        <w:rFonts w:ascii="Cambria Math" w:hAnsi="Cambria Math"/>
                      </w:rPr>
                      <m:t>βt</m:t>
                    </m:r>
                  </m:num>
                  <m:den>
                    <m:r>
                      <m:rPr>
                        <m:sty m:val="p"/>
                      </m:rPr>
                      <w:rPr>
                        <w:rFonts w:ascii="Cambria Math" w:hAnsi="Cambria Math"/>
                      </w:rPr>
                      <m:t>βr</m:t>
                    </m:r>
                  </m:den>
                </m:f>
              </m:oMath>
            </m:oMathPara>
          </w:p>
        </w:tc>
        <w:tc>
          <w:tcPr>
            <w:tcW w:w="2261" w:type="dxa"/>
          </w:tcPr>
          <w:p w14:paraId="7D7049AB" w14:textId="67913759" w:rsidR="000B3F66" w:rsidRPr="000B3F66" w:rsidRDefault="000B3F66" w:rsidP="00647657">
            <w:pPr>
              <w:pBdr>
                <w:bottom w:val="none" w:sz="0" w:space="8" w:color="000000"/>
              </w:pBdr>
              <w:shd w:val="clear" w:color="auto" w:fill="FFFFFF"/>
              <w:tabs>
                <w:tab w:val="left" w:pos="2500"/>
              </w:tabs>
              <w:spacing w:line="432" w:lineRule="auto"/>
              <w:ind w:firstLine="700"/>
              <w:jc w:val="right"/>
              <w:rPr>
                <w:iCs/>
              </w:rPr>
            </w:pPr>
            <w:r w:rsidRPr="002F545A">
              <w:rPr>
                <w:iCs/>
              </w:rPr>
              <w:t>(</w:t>
            </w:r>
            <w:r>
              <w:rPr>
                <w:iCs/>
              </w:rPr>
              <w:t>4</w:t>
            </w:r>
            <w:r w:rsidRPr="002F545A">
              <w:rPr>
                <w:iCs/>
              </w:rPr>
              <w:t>)</w:t>
            </w:r>
          </w:p>
        </w:tc>
      </w:tr>
    </w:tbl>
    <w:p w14:paraId="7B4631B2" w14:textId="77777777" w:rsidR="00C97B40" w:rsidRPr="00871F3A" w:rsidRDefault="00C97B40" w:rsidP="002F545A">
      <w:pPr>
        <w:ind w:left="720"/>
        <w:rPr>
          <w:sz w:val="20"/>
          <w:szCs w:val="20"/>
        </w:rPr>
      </w:pPr>
      <w:r w:rsidRPr="00871F3A">
        <w:rPr>
          <w:sz w:val="20"/>
          <w:szCs w:val="20"/>
        </w:rPr>
        <w:t>Em que:</w:t>
      </w:r>
    </w:p>
    <w:p w14:paraId="74170B6A" w14:textId="77777777" w:rsidR="00C97B40" w:rsidRPr="00871F3A" w:rsidRDefault="00C97B40" w:rsidP="002F545A">
      <w:pPr>
        <w:ind w:left="720"/>
        <w:rPr>
          <w:sz w:val="20"/>
          <w:szCs w:val="20"/>
        </w:rPr>
      </w:pPr>
      <w:r w:rsidRPr="00871F3A">
        <w:rPr>
          <w:sz w:val="20"/>
          <w:szCs w:val="20"/>
        </w:rPr>
        <w:t>F.A. = Fator de anisotropia;</w:t>
      </w:r>
    </w:p>
    <w:p w14:paraId="718FE479" w14:textId="77777777" w:rsidR="00C97B40" w:rsidRPr="00871F3A" w:rsidRDefault="00C97B40" w:rsidP="002F545A">
      <w:pPr>
        <w:ind w:left="720"/>
        <w:rPr>
          <w:sz w:val="20"/>
          <w:szCs w:val="20"/>
        </w:rPr>
      </w:pPr>
      <w:r w:rsidRPr="00871F3A">
        <w:rPr>
          <w:sz w:val="20"/>
          <w:szCs w:val="20"/>
        </w:rPr>
        <w:t>βt = Contração tangencial (%);</w:t>
      </w:r>
    </w:p>
    <w:p w14:paraId="2D7A6D34" w14:textId="0363D46E" w:rsidR="00C97B40" w:rsidRPr="00871F3A" w:rsidRDefault="00C97B40" w:rsidP="002F545A">
      <w:pPr>
        <w:ind w:left="720"/>
        <w:rPr>
          <w:sz w:val="20"/>
          <w:szCs w:val="20"/>
        </w:rPr>
      </w:pPr>
      <w:r w:rsidRPr="00871F3A">
        <w:rPr>
          <w:sz w:val="20"/>
          <w:szCs w:val="20"/>
        </w:rPr>
        <w:t>βr = Contração radial (%).</w:t>
      </w:r>
    </w:p>
    <w:p w14:paraId="45570972" w14:textId="77777777" w:rsidR="003949CE" w:rsidRDefault="003949CE" w:rsidP="003949CE">
      <w:pPr>
        <w:pBdr>
          <w:bottom w:val="none" w:sz="0" w:space="8" w:color="000000"/>
        </w:pBdr>
        <w:shd w:val="clear" w:color="auto" w:fill="FFFFFF"/>
        <w:tabs>
          <w:tab w:val="left" w:pos="2500"/>
        </w:tabs>
        <w:spacing w:line="310" w:lineRule="auto"/>
        <w:jc w:val="both"/>
        <w:rPr>
          <w:b/>
          <w:sz w:val="24"/>
          <w:szCs w:val="24"/>
        </w:rPr>
      </w:pPr>
    </w:p>
    <w:p w14:paraId="53624876" w14:textId="043D4EC1" w:rsidR="00B30D17" w:rsidRPr="00B30D17" w:rsidRDefault="003949CE" w:rsidP="003949CE">
      <w:pPr>
        <w:pBdr>
          <w:bottom w:val="none" w:sz="0" w:space="8" w:color="000000"/>
        </w:pBdr>
        <w:shd w:val="clear" w:color="auto" w:fill="FFFFFF"/>
        <w:tabs>
          <w:tab w:val="left" w:pos="2500"/>
        </w:tabs>
        <w:spacing w:line="310" w:lineRule="auto"/>
        <w:jc w:val="both"/>
        <w:rPr>
          <w:b/>
          <w:sz w:val="28"/>
          <w:szCs w:val="28"/>
        </w:rPr>
      </w:pPr>
      <w:r>
        <w:rPr>
          <w:b/>
          <w:sz w:val="24"/>
          <w:szCs w:val="24"/>
        </w:rPr>
        <w:t>3. RESULTADOS E DISCUSSÃO</w:t>
      </w:r>
    </w:p>
    <w:p w14:paraId="3B8D8F26" w14:textId="43FEEAEC" w:rsidR="00B30D17" w:rsidRDefault="00E6430C" w:rsidP="00871F3A">
      <w:pPr>
        <w:widowControl/>
        <w:spacing w:line="360" w:lineRule="auto"/>
        <w:jc w:val="both"/>
        <w:rPr>
          <w:color w:val="000000" w:themeColor="text1"/>
          <w:sz w:val="24"/>
          <w:szCs w:val="24"/>
        </w:rPr>
      </w:pPr>
      <w:r>
        <w:rPr>
          <w:color w:val="000000" w:themeColor="text1"/>
          <w:sz w:val="24"/>
          <w:szCs w:val="24"/>
        </w:rPr>
        <w:tab/>
        <w:t>Os dados não apresentaram normalidade e homogeneidade de variância, por isso os resultados foram analisados na forma de estatística descritiva comparando médias, desvio padrão e coeficiente de variação.</w:t>
      </w:r>
    </w:p>
    <w:p w14:paraId="00C02CE4" w14:textId="151B96F4" w:rsidR="00140E11" w:rsidRPr="00140E11" w:rsidRDefault="00140E11" w:rsidP="00871F3A">
      <w:pPr>
        <w:spacing w:line="360" w:lineRule="auto"/>
        <w:ind w:firstLine="709"/>
        <w:jc w:val="both"/>
        <w:rPr>
          <w:color w:val="000000" w:themeColor="text1"/>
          <w:sz w:val="24"/>
          <w:szCs w:val="24"/>
        </w:rPr>
      </w:pPr>
      <w:r w:rsidRPr="00140E11">
        <w:rPr>
          <w:color w:val="000000" w:themeColor="text1"/>
          <w:sz w:val="24"/>
          <w:szCs w:val="24"/>
        </w:rPr>
        <w:t>A perda de massa variou entre 3,47% (T2) e 3,68% (T4)</w:t>
      </w:r>
      <w:r w:rsidR="00E97925">
        <w:rPr>
          <w:color w:val="000000" w:themeColor="text1"/>
          <w:sz w:val="24"/>
          <w:szCs w:val="24"/>
        </w:rPr>
        <w:t xml:space="preserve"> (Tabela 1)</w:t>
      </w:r>
      <w:r w:rsidRPr="00140E11">
        <w:rPr>
          <w:color w:val="000000" w:themeColor="text1"/>
          <w:sz w:val="24"/>
          <w:szCs w:val="24"/>
        </w:rPr>
        <w:t xml:space="preserve">, demonstrando que o aumento da temperatura ocasionou degradação térmica moderada dos componentes mais termossensíveis, especialmente das hemiceluloses. Essa faixa de variação é considerada aceitável em processos de modificação térmica, sugerindo que as condições de tratamento </w:t>
      </w:r>
      <w:r w:rsidRPr="00140E11">
        <w:rPr>
          <w:color w:val="000000" w:themeColor="text1"/>
          <w:sz w:val="24"/>
          <w:szCs w:val="24"/>
        </w:rPr>
        <w:lastRenderedPageBreak/>
        <w:t>foram adequadas para promover melhoria da estabilidade sem comprometer a integridade do material.</w:t>
      </w:r>
    </w:p>
    <w:p w14:paraId="1D36E496" w14:textId="6786D881" w:rsidR="00140E11" w:rsidRPr="00140E11" w:rsidRDefault="00140E11" w:rsidP="00140E11">
      <w:pPr>
        <w:spacing w:line="360" w:lineRule="auto"/>
        <w:ind w:firstLine="709"/>
        <w:jc w:val="both"/>
        <w:rPr>
          <w:color w:val="000000" w:themeColor="text1"/>
          <w:sz w:val="24"/>
          <w:szCs w:val="24"/>
        </w:rPr>
      </w:pPr>
      <w:r w:rsidRPr="00140E11">
        <w:rPr>
          <w:color w:val="000000" w:themeColor="text1"/>
          <w:sz w:val="24"/>
          <w:szCs w:val="24"/>
        </w:rPr>
        <w:t>Segundo Brito et al. (2006) e Hill (2006), a decomposição das hemiceluloses e a volatilização de extrativos contribuem diretamente para a perda de massa observada, reduzindo a higroscopicidade da madeira. Assim, a perda de massa verificada neste estudo indica que o tratamento térmico foi eficaz em modificar a estrutura química superficial da madeira, o que tende a melhorar sua durabilidade e estabilidade dimensional.</w:t>
      </w:r>
    </w:p>
    <w:p w14:paraId="758B587E" w14:textId="77777777" w:rsidR="006223BA" w:rsidRPr="006223BA" w:rsidRDefault="006223BA" w:rsidP="00140E11">
      <w:pPr>
        <w:spacing w:line="360" w:lineRule="auto"/>
        <w:jc w:val="both"/>
        <w:rPr>
          <w:color w:val="000000" w:themeColor="text1"/>
          <w:sz w:val="24"/>
          <w:szCs w:val="24"/>
          <w:lang w:val="pt-BR"/>
        </w:rPr>
      </w:pPr>
    </w:p>
    <w:p w14:paraId="23C6CB13" w14:textId="2B62C2A9" w:rsidR="00956C3E" w:rsidRPr="005543C1" w:rsidRDefault="008D43A3" w:rsidP="00F76B6B">
      <w:pPr>
        <w:rPr>
          <w:color w:val="000000" w:themeColor="text1"/>
        </w:rPr>
      </w:pPr>
      <w:r w:rsidRPr="005543C1">
        <w:rPr>
          <w:b/>
          <w:bCs/>
          <w:color w:val="000000" w:themeColor="text1"/>
        </w:rPr>
        <w:t>Tabela 1</w:t>
      </w:r>
      <w:r w:rsidRPr="005543C1">
        <w:rPr>
          <w:color w:val="000000" w:themeColor="text1"/>
        </w:rPr>
        <w:t>: Resultados de Densidade Básica, Perda de Massa,</w:t>
      </w:r>
      <w:r w:rsidRPr="005543C1">
        <w:t xml:space="preserve"> contração volumétrica máxima (CVmax) e do fator de anisotropia (F.A)</w:t>
      </w:r>
      <w:r w:rsidRPr="005543C1">
        <w:rPr>
          <w:color w:val="000000" w:themeColor="text1"/>
        </w:rPr>
        <w:t xml:space="preserve"> antes e depois da modificação térmica</w:t>
      </w:r>
    </w:p>
    <w:tbl>
      <w:tblPr>
        <w:tblW w:w="9073" w:type="dxa"/>
        <w:jc w:val="center"/>
        <w:tblBorders>
          <w:top w:val="nil"/>
          <w:left w:val="nil"/>
          <w:bottom w:val="nil"/>
          <w:right w:val="nil"/>
          <w:insideH w:val="nil"/>
          <w:insideV w:val="nil"/>
        </w:tblBorders>
        <w:tblLayout w:type="fixed"/>
        <w:tblLook w:val="0400" w:firstRow="0" w:lastRow="0" w:firstColumn="0" w:lastColumn="0" w:noHBand="0" w:noVBand="1"/>
      </w:tblPr>
      <w:tblGrid>
        <w:gridCol w:w="1986"/>
        <w:gridCol w:w="1701"/>
        <w:gridCol w:w="1701"/>
        <w:gridCol w:w="1842"/>
        <w:gridCol w:w="1843"/>
      </w:tblGrid>
      <w:tr w:rsidR="00FE56A5" w:rsidRPr="00AD1468" w14:paraId="1E4739A0" w14:textId="77777777" w:rsidTr="00FE56A5">
        <w:trPr>
          <w:trHeight w:val="454"/>
          <w:jc w:val="center"/>
        </w:trPr>
        <w:tc>
          <w:tcPr>
            <w:tcW w:w="1986" w:type="dxa"/>
            <w:tcBorders>
              <w:top w:val="single" w:sz="12" w:space="0" w:color="000000"/>
              <w:bottom w:val="single" w:sz="12" w:space="0" w:color="000000"/>
            </w:tcBorders>
            <w:vAlign w:val="center"/>
          </w:tcPr>
          <w:p w14:paraId="1C6951D3" w14:textId="77777777" w:rsidR="00FE56A5" w:rsidRPr="00956C3E" w:rsidRDefault="00FE56A5" w:rsidP="000B3F66">
            <w:pPr>
              <w:spacing w:line="360" w:lineRule="auto"/>
              <w:jc w:val="center"/>
              <w:rPr>
                <w:b/>
              </w:rPr>
            </w:pPr>
            <w:bookmarkStart w:id="1" w:name="_Hlk198303827"/>
            <w:r w:rsidRPr="00956C3E">
              <w:rPr>
                <w:b/>
              </w:rPr>
              <w:t>Tratamentos</w:t>
            </w:r>
          </w:p>
        </w:tc>
        <w:tc>
          <w:tcPr>
            <w:tcW w:w="1701" w:type="dxa"/>
            <w:tcBorders>
              <w:top w:val="single" w:sz="12" w:space="0" w:color="000000"/>
              <w:bottom w:val="single" w:sz="12" w:space="0" w:color="000000"/>
            </w:tcBorders>
            <w:vAlign w:val="center"/>
          </w:tcPr>
          <w:p w14:paraId="73D38CA1" w14:textId="736D77F1" w:rsidR="00FE56A5" w:rsidRDefault="00FE56A5" w:rsidP="000B3F66">
            <w:pPr>
              <w:spacing w:line="360" w:lineRule="auto"/>
              <w:jc w:val="center"/>
              <w:rPr>
                <w:b/>
              </w:rPr>
            </w:pPr>
            <w:r>
              <w:rPr>
                <w:b/>
              </w:rPr>
              <w:t>Perda de Massa</w:t>
            </w:r>
          </w:p>
        </w:tc>
        <w:tc>
          <w:tcPr>
            <w:tcW w:w="1701" w:type="dxa"/>
            <w:tcBorders>
              <w:top w:val="single" w:sz="12" w:space="0" w:color="000000"/>
              <w:bottom w:val="single" w:sz="12" w:space="0" w:color="000000"/>
            </w:tcBorders>
          </w:tcPr>
          <w:p w14:paraId="090F4F2D" w14:textId="79259EC2" w:rsidR="00FE56A5" w:rsidRPr="00956C3E" w:rsidRDefault="00FE56A5" w:rsidP="000B3F66">
            <w:pPr>
              <w:spacing w:line="360" w:lineRule="auto"/>
              <w:jc w:val="center"/>
              <w:rPr>
                <w:b/>
              </w:rPr>
            </w:pPr>
            <w:r>
              <w:rPr>
                <w:b/>
              </w:rPr>
              <w:t>Densidade Básica</w:t>
            </w:r>
          </w:p>
        </w:tc>
        <w:tc>
          <w:tcPr>
            <w:tcW w:w="1842" w:type="dxa"/>
            <w:tcBorders>
              <w:top w:val="single" w:sz="12" w:space="0" w:color="000000"/>
              <w:bottom w:val="single" w:sz="12" w:space="0" w:color="000000"/>
            </w:tcBorders>
            <w:vAlign w:val="center"/>
          </w:tcPr>
          <w:p w14:paraId="0F2DEBA2" w14:textId="37C4864F" w:rsidR="00FE56A5" w:rsidRPr="00956C3E" w:rsidRDefault="00FE56A5" w:rsidP="000B3F66">
            <w:pPr>
              <w:spacing w:line="360" w:lineRule="auto"/>
              <w:jc w:val="center"/>
              <w:rPr>
                <w:b/>
              </w:rPr>
            </w:pPr>
            <w:r>
              <w:rPr>
                <w:b/>
              </w:rPr>
              <w:t>CVmax</w:t>
            </w:r>
          </w:p>
        </w:tc>
        <w:tc>
          <w:tcPr>
            <w:tcW w:w="1843" w:type="dxa"/>
            <w:tcBorders>
              <w:top w:val="single" w:sz="12" w:space="0" w:color="000000"/>
              <w:bottom w:val="single" w:sz="12" w:space="0" w:color="000000"/>
            </w:tcBorders>
            <w:vAlign w:val="center"/>
          </w:tcPr>
          <w:p w14:paraId="6FB56DEE" w14:textId="277ADFE9" w:rsidR="00FE56A5" w:rsidRPr="00956C3E" w:rsidRDefault="00FE56A5" w:rsidP="000B3F66">
            <w:pPr>
              <w:spacing w:line="360" w:lineRule="auto"/>
              <w:jc w:val="center"/>
              <w:rPr>
                <w:b/>
              </w:rPr>
            </w:pPr>
            <w:r>
              <w:rPr>
                <w:b/>
              </w:rPr>
              <w:t>F.A</w:t>
            </w:r>
          </w:p>
        </w:tc>
      </w:tr>
      <w:tr w:rsidR="00FE56A5" w:rsidRPr="00AD1468" w14:paraId="029E720F" w14:textId="77777777" w:rsidTr="00FE56A5">
        <w:trPr>
          <w:trHeight w:val="454"/>
          <w:jc w:val="center"/>
        </w:trPr>
        <w:tc>
          <w:tcPr>
            <w:tcW w:w="1986" w:type="dxa"/>
            <w:tcBorders>
              <w:top w:val="single" w:sz="12" w:space="0" w:color="000000"/>
            </w:tcBorders>
            <w:vAlign w:val="center"/>
          </w:tcPr>
          <w:p w14:paraId="2D7A73D6" w14:textId="77777777" w:rsidR="00FE56A5" w:rsidRPr="00956C3E" w:rsidRDefault="00FE56A5" w:rsidP="000B3F66">
            <w:pPr>
              <w:spacing w:line="360" w:lineRule="auto"/>
              <w:jc w:val="center"/>
              <w:rPr>
                <w:color w:val="000000" w:themeColor="text1"/>
              </w:rPr>
            </w:pPr>
            <w:bookmarkStart w:id="2" w:name="_Hlk198305519"/>
            <w:r w:rsidRPr="00956C3E">
              <w:rPr>
                <w:color w:val="000000" w:themeColor="text1"/>
              </w:rPr>
              <w:t>T0</w:t>
            </w:r>
          </w:p>
        </w:tc>
        <w:tc>
          <w:tcPr>
            <w:tcW w:w="1701" w:type="dxa"/>
            <w:tcBorders>
              <w:top w:val="single" w:sz="12" w:space="0" w:color="000000"/>
            </w:tcBorders>
            <w:vAlign w:val="center"/>
          </w:tcPr>
          <w:p w14:paraId="0ECA5930" w14:textId="499F523C" w:rsidR="00FE56A5" w:rsidRPr="00956C3E" w:rsidRDefault="00FE56A5" w:rsidP="000B3F66">
            <w:pPr>
              <w:spacing w:line="360" w:lineRule="auto"/>
              <w:jc w:val="center"/>
              <w:rPr>
                <w:color w:val="000000" w:themeColor="text1"/>
              </w:rPr>
            </w:pPr>
            <w:r w:rsidRPr="00BF07BF">
              <w:rPr>
                <w:b/>
                <w:bCs/>
                <w:color w:val="000000" w:themeColor="text1"/>
              </w:rPr>
              <w:t>-</w:t>
            </w:r>
          </w:p>
        </w:tc>
        <w:tc>
          <w:tcPr>
            <w:tcW w:w="1701" w:type="dxa"/>
            <w:tcBorders>
              <w:top w:val="single" w:sz="12" w:space="0" w:color="000000"/>
            </w:tcBorders>
          </w:tcPr>
          <w:p w14:paraId="71916241" w14:textId="7EA9589D" w:rsidR="00FE56A5" w:rsidRPr="00956C3E" w:rsidRDefault="00FE56A5" w:rsidP="000B3F66">
            <w:pPr>
              <w:spacing w:line="360" w:lineRule="auto"/>
              <w:jc w:val="center"/>
              <w:rPr>
                <w:color w:val="000000" w:themeColor="text1"/>
              </w:rPr>
            </w:pPr>
            <w:r w:rsidRPr="00956C3E">
              <w:rPr>
                <w:color w:val="000000" w:themeColor="text1"/>
              </w:rPr>
              <w:t>0,</w:t>
            </w:r>
            <w:r>
              <w:rPr>
                <w:color w:val="000000" w:themeColor="text1"/>
              </w:rPr>
              <w:t>792</w:t>
            </w:r>
            <w:r w:rsidRPr="00956C3E">
              <w:rPr>
                <w:color w:val="000000" w:themeColor="text1"/>
              </w:rPr>
              <w:t xml:space="preserve"> (± 0,</w:t>
            </w:r>
            <w:r>
              <w:rPr>
                <w:color w:val="000000" w:themeColor="text1"/>
              </w:rPr>
              <w:t>39</w:t>
            </w:r>
            <w:r w:rsidRPr="00956C3E">
              <w:rPr>
                <w:color w:val="000000" w:themeColor="text1"/>
              </w:rPr>
              <w:t>)</w:t>
            </w:r>
          </w:p>
          <w:p w14:paraId="300CBC4F" w14:textId="78178EAA" w:rsidR="00FE56A5" w:rsidRPr="00FA1600" w:rsidRDefault="00FE56A5" w:rsidP="000B3F66">
            <w:pPr>
              <w:spacing w:line="360" w:lineRule="auto"/>
              <w:jc w:val="center"/>
              <w:rPr>
                <w:b/>
                <w:bCs/>
                <w:color w:val="000000" w:themeColor="text1"/>
              </w:rPr>
            </w:pPr>
            <w:r>
              <w:rPr>
                <w:b/>
                <w:bCs/>
                <w:color w:val="000000" w:themeColor="text1"/>
              </w:rPr>
              <w:t>5</w:t>
            </w:r>
            <w:r w:rsidRPr="00956C3E">
              <w:rPr>
                <w:b/>
                <w:bCs/>
                <w:color w:val="000000" w:themeColor="text1"/>
              </w:rPr>
              <w:t>,</w:t>
            </w:r>
            <w:r>
              <w:rPr>
                <w:b/>
                <w:bCs/>
                <w:color w:val="000000" w:themeColor="text1"/>
              </w:rPr>
              <w:t>0</w:t>
            </w:r>
            <w:r w:rsidRPr="00956C3E">
              <w:rPr>
                <w:b/>
                <w:bCs/>
                <w:color w:val="000000" w:themeColor="text1"/>
              </w:rPr>
              <w:t>%</w:t>
            </w:r>
          </w:p>
        </w:tc>
        <w:tc>
          <w:tcPr>
            <w:tcW w:w="1842" w:type="dxa"/>
            <w:tcBorders>
              <w:top w:val="single" w:sz="12" w:space="0" w:color="000000"/>
            </w:tcBorders>
            <w:vAlign w:val="center"/>
          </w:tcPr>
          <w:p w14:paraId="5734A4F0" w14:textId="77777777" w:rsidR="00FE56A5" w:rsidRDefault="00FE56A5" w:rsidP="000B3F66">
            <w:pPr>
              <w:spacing w:line="360" w:lineRule="auto"/>
              <w:jc w:val="center"/>
              <w:rPr>
                <w:bCs/>
              </w:rPr>
            </w:pPr>
            <w:r w:rsidRPr="00BF07BF">
              <w:rPr>
                <w:color w:val="000000" w:themeColor="text1"/>
              </w:rPr>
              <w:t>16,80</w:t>
            </w:r>
            <w:r>
              <w:rPr>
                <w:color w:val="000000" w:themeColor="text1"/>
              </w:rPr>
              <w:t xml:space="preserve"> </w:t>
            </w:r>
            <w:r w:rsidRPr="00956C3E">
              <w:rPr>
                <w:bCs/>
              </w:rPr>
              <w:t>(±</w:t>
            </w:r>
            <w:r>
              <w:rPr>
                <w:bCs/>
              </w:rPr>
              <w:t xml:space="preserve"> </w:t>
            </w:r>
            <w:r w:rsidRPr="00956C3E">
              <w:rPr>
                <w:bCs/>
              </w:rPr>
              <w:t>4</w:t>
            </w:r>
            <w:r>
              <w:rPr>
                <w:bCs/>
              </w:rPr>
              <w:t>,10</w:t>
            </w:r>
            <w:r w:rsidRPr="00956C3E">
              <w:rPr>
                <w:bCs/>
              </w:rPr>
              <w:t>)</w:t>
            </w:r>
          </w:p>
          <w:p w14:paraId="4A17873E" w14:textId="4F1C14CC" w:rsidR="00FE56A5" w:rsidRPr="00BF07BF" w:rsidRDefault="00FE56A5" w:rsidP="000B3F66">
            <w:pPr>
              <w:spacing w:line="360" w:lineRule="auto"/>
              <w:jc w:val="center"/>
              <w:rPr>
                <w:b/>
                <w:color w:val="000000" w:themeColor="text1"/>
              </w:rPr>
            </w:pPr>
            <w:r w:rsidRPr="00BF07BF">
              <w:rPr>
                <w:b/>
              </w:rPr>
              <w:t>24,4%</w:t>
            </w:r>
          </w:p>
        </w:tc>
        <w:tc>
          <w:tcPr>
            <w:tcW w:w="1843" w:type="dxa"/>
            <w:tcBorders>
              <w:top w:val="single" w:sz="12" w:space="0" w:color="000000"/>
            </w:tcBorders>
            <w:vAlign w:val="center"/>
          </w:tcPr>
          <w:p w14:paraId="529CCDB2" w14:textId="1DF1B8FC" w:rsidR="00FE56A5" w:rsidRDefault="00FE56A5" w:rsidP="000B3F66">
            <w:pPr>
              <w:spacing w:line="360" w:lineRule="auto"/>
              <w:jc w:val="center"/>
              <w:rPr>
                <w:bCs/>
              </w:rPr>
            </w:pPr>
            <w:r w:rsidRPr="00BF07BF">
              <w:rPr>
                <w:color w:val="000000" w:themeColor="text1"/>
              </w:rPr>
              <w:t>1,</w:t>
            </w:r>
            <w:r>
              <w:rPr>
                <w:color w:val="000000" w:themeColor="text1"/>
              </w:rPr>
              <w:t xml:space="preserve">97 </w:t>
            </w:r>
            <w:r w:rsidRPr="00956C3E">
              <w:rPr>
                <w:bCs/>
              </w:rPr>
              <w:t>(±</w:t>
            </w:r>
            <w:r>
              <w:rPr>
                <w:bCs/>
              </w:rPr>
              <w:t xml:space="preserve"> 0,58</w:t>
            </w:r>
            <w:r w:rsidRPr="00956C3E">
              <w:rPr>
                <w:bCs/>
              </w:rPr>
              <w:t>)</w:t>
            </w:r>
          </w:p>
          <w:p w14:paraId="03AC434C" w14:textId="5C8B193B" w:rsidR="00FE56A5" w:rsidRPr="00956C3E" w:rsidRDefault="00FE56A5" w:rsidP="000B3F66">
            <w:pPr>
              <w:spacing w:line="360" w:lineRule="auto"/>
              <w:jc w:val="center"/>
              <w:rPr>
                <w:b/>
                <w:bCs/>
                <w:color w:val="000000" w:themeColor="text1"/>
              </w:rPr>
            </w:pPr>
            <w:r w:rsidRPr="00BF07BF">
              <w:rPr>
                <w:b/>
              </w:rPr>
              <w:t>2</w:t>
            </w:r>
            <w:r>
              <w:rPr>
                <w:b/>
              </w:rPr>
              <w:t>9</w:t>
            </w:r>
            <w:r w:rsidRPr="00BF07BF">
              <w:rPr>
                <w:b/>
              </w:rPr>
              <w:t>,</w:t>
            </w:r>
            <w:r>
              <w:rPr>
                <w:b/>
              </w:rPr>
              <w:t>8</w:t>
            </w:r>
            <w:r w:rsidRPr="00BF07BF">
              <w:rPr>
                <w:b/>
              </w:rPr>
              <w:t>%</w:t>
            </w:r>
          </w:p>
        </w:tc>
      </w:tr>
      <w:bookmarkEnd w:id="2"/>
      <w:tr w:rsidR="00FE56A5" w:rsidRPr="00AD1468" w14:paraId="0E145FD3" w14:textId="77777777" w:rsidTr="00FE56A5">
        <w:trPr>
          <w:trHeight w:val="454"/>
          <w:jc w:val="center"/>
        </w:trPr>
        <w:tc>
          <w:tcPr>
            <w:tcW w:w="1986" w:type="dxa"/>
            <w:tcBorders>
              <w:top w:val="single" w:sz="4" w:space="0" w:color="000000"/>
            </w:tcBorders>
            <w:vAlign w:val="center"/>
          </w:tcPr>
          <w:p w14:paraId="138A6CD0" w14:textId="77777777" w:rsidR="00FE56A5" w:rsidRPr="00956C3E" w:rsidRDefault="00FE56A5" w:rsidP="000B3F66">
            <w:pPr>
              <w:spacing w:line="360" w:lineRule="auto"/>
              <w:jc w:val="center"/>
            </w:pPr>
            <w:r w:rsidRPr="00956C3E">
              <w:t>T1</w:t>
            </w:r>
          </w:p>
        </w:tc>
        <w:tc>
          <w:tcPr>
            <w:tcW w:w="1701" w:type="dxa"/>
            <w:tcBorders>
              <w:top w:val="single" w:sz="4" w:space="0" w:color="000000"/>
            </w:tcBorders>
            <w:vAlign w:val="center"/>
          </w:tcPr>
          <w:p w14:paraId="0022A10A" w14:textId="77777777" w:rsidR="00FE56A5" w:rsidRPr="00956C3E" w:rsidRDefault="00FE56A5" w:rsidP="000B3F66">
            <w:pPr>
              <w:spacing w:line="360" w:lineRule="auto"/>
              <w:jc w:val="center"/>
              <w:rPr>
                <w:bCs/>
              </w:rPr>
            </w:pPr>
            <w:r w:rsidRPr="00956C3E">
              <w:rPr>
                <w:bCs/>
              </w:rPr>
              <w:t>3,50(±0,26)</w:t>
            </w:r>
          </w:p>
          <w:p w14:paraId="4DAE2DFB" w14:textId="4B88BCEC" w:rsidR="00FE56A5" w:rsidRPr="00956C3E" w:rsidRDefault="00FE56A5" w:rsidP="000B3F66">
            <w:pPr>
              <w:spacing w:line="360" w:lineRule="auto"/>
              <w:jc w:val="center"/>
              <w:rPr>
                <w:color w:val="000000" w:themeColor="text1"/>
              </w:rPr>
            </w:pPr>
            <w:r w:rsidRPr="00956C3E">
              <w:rPr>
                <w:b/>
              </w:rPr>
              <w:t>7,4%</w:t>
            </w:r>
          </w:p>
        </w:tc>
        <w:tc>
          <w:tcPr>
            <w:tcW w:w="1701" w:type="dxa"/>
            <w:tcBorders>
              <w:top w:val="single" w:sz="4" w:space="0" w:color="000000"/>
            </w:tcBorders>
          </w:tcPr>
          <w:p w14:paraId="331DE226" w14:textId="011FDDD8" w:rsidR="00FE56A5" w:rsidRPr="00956C3E" w:rsidRDefault="00FE56A5" w:rsidP="000B3F66">
            <w:pPr>
              <w:spacing w:line="360" w:lineRule="auto"/>
              <w:jc w:val="center"/>
              <w:rPr>
                <w:color w:val="000000" w:themeColor="text1"/>
              </w:rPr>
            </w:pPr>
            <w:r w:rsidRPr="00956C3E">
              <w:rPr>
                <w:color w:val="000000" w:themeColor="text1"/>
              </w:rPr>
              <w:t>0,</w:t>
            </w:r>
            <w:r>
              <w:rPr>
                <w:color w:val="000000" w:themeColor="text1"/>
              </w:rPr>
              <w:t>7</w:t>
            </w:r>
            <w:r w:rsidRPr="00956C3E">
              <w:rPr>
                <w:color w:val="000000" w:themeColor="text1"/>
              </w:rPr>
              <w:t>96 (± 0,</w:t>
            </w:r>
            <w:r>
              <w:rPr>
                <w:color w:val="000000" w:themeColor="text1"/>
              </w:rPr>
              <w:t>53</w:t>
            </w:r>
            <w:r w:rsidRPr="00956C3E">
              <w:rPr>
                <w:color w:val="000000" w:themeColor="text1"/>
              </w:rPr>
              <w:t>)</w:t>
            </w:r>
          </w:p>
          <w:p w14:paraId="7E28384A" w14:textId="5EEA125B" w:rsidR="00FE56A5" w:rsidRPr="00956C3E" w:rsidRDefault="00FE56A5" w:rsidP="000B3F66">
            <w:pPr>
              <w:spacing w:line="360" w:lineRule="auto"/>
              <w:jc w:val="center"/>
              <w:rPr>
                <w:bCs/>
              </w:rPr>
            </w:pPr>
            <w:r>
              <w:rPr>
                <w:b/>
                <w:bCs/>
                <w:color w:val="000000" w:themeColor="text1"/>
              </w:rPr>
              <w:t>6</w:t>
            </w:r>
            <w:r w:rsidRPr="00956C3E">
              <w:rPr>
                <w:b/>
                <w:bCs/>
                <w:color w:val="000000" w:themeColor="text1"/>
              </w:rPr>
              <w:t>,</w:t>
            </w:r>
            <w:r>
              <w:rPr>
                <w:b/>
                <w:bCs/>
                <w:color w:val="000000" w:themeColor="text1"/>
              </w:rPr>
              <w:t>7</w:t>
            </w:r>
            <w:r w:rsidRPr="00956C3E">
              <w:rPr>
                <w:b/>
                <w:bCs/>
                <w:color w:val="000000" w:themeColor="text1"/>
              </w:rPr>
              <w:t>%</w:t>
            </w:r>
          </w:p>
        </w:tc>
        <w:tc>
          <w:tcPr>
            <w:tcW w:w="1842" w:type="dxa"/>
            <w:tcBorders>
              <w:top w:val="single" w:sz="4" w:space="0" w:color="000000"/>
            </w:tcBorders>
            <w:vAlign w:val="center"/>
          </w:tcPr>
          <w:p w14:paraId="2624DDC5" w14:textId="77777777" w:rsidR="00FE56A5" w:rsidRDefault="00FE56A5" w:rsidP="000B3F66">
            <w:pPr>
              <w:spacing w:line="360" w:lineRule="auto"/>
              <w:jc w:val="center"/>
              <w:rPr>
                <w:bCs/>
              </w:rPr>
            </w:pPr>
            <w:r w:rsidRPr="00BF07BF">
              <w:rPr>
                <w:bCs/>
              </w:rPr>
              <w:t>15,79</w:t>
            </w:r>
            <w:r>
              <w:rPr>
                <w:b/>
              </w:rPr>
              <w:t xml:space="preserve"> </w:t>
            </w:r>
            <w:r w:rsidRPr="00956C3E">
              <w:rPr>
                <w:bCs/>
              </w:rPr>
              <w:t>(±</w:t>
            </w:r>
            <w:r>
              <w:rPr>
                <w:bCs/>
              </w:rPr>
              <w:t>5,87</w:t>
            </w:r>
            <w:r w:rsidRPr="00956C3E">
              <w:rPr>
                <w:bCs/>
              </w:rPr>
              <w:t>)</w:t>
            </w:r>
          </w:p>
          <w:p w14:paraId="4770DDD9" w14:textId="62FB2B1F" w:rsidR="00FE56A5" w:rsidRPr="00BF07BF" w:rsidRDefault="00FE56A5" w:rsidP="000B3F66">
            <w:pPr>
              <w:spacing w:line="360" w:lineRule="auto"/>
              <w:jc w:val="center"/>
              <w:rPr>
                <w:b/>
              </w:rPr>
            </w:pPr>
            <w:r w:rsidRPr="00BF07BF">
              <w:rPr>
                <w:b/>
              </w:rPr>
              <w:t>37,1</w:t>
            </w:r>
          </w:p>
        </w:tc>
        <w:tc>
          <w:tcPr>
            <w:tcW w:w="1843" w:type="dxa"/>
            <w:tcBorders>
              <w:top w:val="single" w:sz="4" w:space="0" w:color="000000"/>
            </w:tcBorders>
            <w:vAlign w:val="center"/>
          </w:tcPr>
          <w:p w14:paraId="68C4B5D2" w14:textId="7D035AB0" w:rsidR="00FE56A5" w:rsidRDefault="00FE56A5" w:rsidP="000B3F66">
            <w:pPr>
              <w:spacing w:line="360" w:lineRule="auto"/>
              <w:jc w:val="center"/>
              <w:rPr>
                <w:bCs/>
              </w:rPr>
            </w:pPr>
            <w:r w:rsidRPr="00BF07BF">
              <w:rPr>
                <w:color w:val="000000" w:themeColor="text1"/>
              </w:rPr>
              <w:t>1,</w:t>
            </w:r>
            <w:r>
              <w:rPr>
                <w:color w:val="000000" w:themeColor="text1"/>
              </w:rPr>
              <w:t xml:space="preserve">74 </w:t>
            </w:r>
            <w:r w:rsidRPr="00956C3E">
              <w:rPr>
                <w:bCs/>
              </w:rPr>
              <w:t>(±</w:t>
            </w:r>
            <w:r>
              <w:rPr>
                <w:bCs/>
              </w:rPr>
              <w:t xml:space="preserve"> 1,23</w:t>
            </w:r>
            <w:r w:rsidRPr="00956C3E">
              <w:rPr>
                <w:bCs/>
              </w:rPr>
              <w:t>)</w:t>
            </w:r>
          </w:p>
          <w:p w14:paraId="0309126C" w14:textId="5478816C" w:rsidR="00FE56A5" w:rsidRPr="00956C3E" w:rsidRDefault="00FE56A5" w:rsidP="000B3F66">
            <w:pPr>
              <w:spacing w:line="360" w:lineRule="auto"/>
              <w:jc w:val="center"/>
              <w:rPr>
                <w:b/>
              </w:rPr>
            </w:pPr>
            <w:r>
              <w:rPr>
                <w:b/>
              </w:rPr>
              <w:t>71</w:t>
            </w:r>
            <w:r w:rsidRPr="00BF07BF">
              <w:rPr>
                <w:b/>
              </w:rPr>
              <w:t>,</w:t>
            </w:r>
            <w:r>
              <w:rPr>
                <w:b/>
              </w:rPr>
              <w:t>0</w:t>
            </w:r>
            <w:r w:rsidRPr="00BF07BF">
              <w:rPr>
                <w:b/>
              </w:rPr>
              <w:t>%</w:t>
            </w:r>
          </w:p>
        </w:tc>
      </w:tr>
      <w:tr w:rsidR="00FE56A5" w:rsidRPr="00AD1468" w14:paraId="1BF35D7C" w14:textId="77777777" w:rsidTr="00FE56A5">
        <w:trPr>
          <w:trHeight w:val="454"/>
          <w:jc w:val="center"/>
        </w:trPr>
        <w:tc>
          <w:tcPr>
            <w:tcW w:w="1986" w:type="dxa"/>
            <w:tcBorders>
              <w:top w:val="single" w:sz="4" w:space="0" w:color="000000"/>
              <w:bottom w:val="single" w:sz="4" w:space="0" w:color="000000"/>
            </w:tcBorders>
            <w:vAlign w:val="center"/>
          </w:tcPr>
          <w:p w14:paraId="3EACEA09" w14:textId="77777777" w:rsidR="00FE56A5" w:rsidRPr="00956C3E" w:rsidRDefault="00FE56A5" w:rsidP="000B3F66">
            <w:pPr>
              <w:spacing w:line="360" w:lineRule="auto"/>
              <w:jc w:val="center"/>
            </w:pPr>
            <w:r w:rsidRPr="00956C3E">
              <w:t>T2</w:t>
            </w:r>
          </w:p>
        </w:tc>
        <w:tc>
          <w:tcPr>
            <w:tcW w:w="1701" w:type="dxa"/>
            <w:tcBorders>
              <w:top w:val="single" w:sz="4" w:space="0" w:color="000000"/>
              <w:bottom w:val="single" w:sz="4" w:space="0" w:color="000000"/>
            </w:tcBorders>
            <w:vAlign w:val="center"/>
          </w:tcPr>
          <w:p w14:paraId="57C47DBB" w14:textId="77777777" w:rsidR="00FE56A5" w:rsidRPr="00956C3E" w:rsidRDefault="00FE56A5" w:rsidP="000B3F66">
            <w:pPr>
              <w:spacing w:line="360" w:lineRule="auto"/>
              <w:jc w:val="center"/>
              <w:rPr>
                <w:bCs/>
              </w:rPr>
            </w:pPr>
            <w:r w:rsidRPr="00956C3E">
              <w:rPr>
                <w:bCs/>
              </w:rPr>
              <w:t>3,47(±0,19)</w:t>
            </w:r>
          </w:p>
          <w:p w14:paraId="21A2AC61" w14:textId="2818488D" w:rsidR="00FE56A5" w:rsidRPr="00956C3E" w:rsidRDefault="00FE56A5" w:rsidP="000B3F66">
            <w:pPr>
              <w:spacing w:line="360" w:lineRule="auto"/>
              <w:jc w:val="center"/>
              <w:rPr>
                <w:color w:val="000000" w:themeColor="text1"/>
              </w:rPr>
            </w:pPr>
            <w:r w:rsidRPr="00956C3E">
              <w:rPr>
                <w:b/>
              </w:rPr>
              <w:t>5,5%</w:t>
            </w:r>
          </w:p>
        </w:tc>
        <w:tc>
          <w:tcPr>
            <w:tcW w:w="1701" w:type="dxa"/>
            <w:tcBorders>
              <w:top w:val="single" w:sz="4" w:space="0" w:color="000000"/>
              <w:bottom w:val="single" w:sz="4" w:space="0" w:color="000000"/>
            </w:tcBorders>
          </w:tcPr>
          <w:p w14:paraId="02BD5224" w14:textId="7612E9C8" w:rsidR="00FE56A5" w:rsidRPr="00956C3E" w:rsidRDefault="00FE56A5" w:rsidP="000B3F66">
            <w:pPr>
              <w:spacing w:line="360" w:lineRule="auto"/>
              <w:jc w:val="center"/>
              <w:rPr>
                <w:color w:val="000000" w:themeColor="text1"/>
              </w:rPr>
            </w:pPr>
            <w:r w:rsidRPr="00956C3E">
              <w:rPr>
                <w:color w:val="000000" w:themeColor="text1"/>
              </w:rPr>
              <w:t>0,</w:t>
            </w:r>
            <w:r>
              <w:rPr>
                <w:color w:val="000000" w:themeColor="text1"/>
              </w:rPr>
              <w:t>817</w:t>
            </w:r>
            <w:r w:rsidRPr="00956C3E">
              <w:rPr>
                <w:color w:val="000000" w:themeColor="text1"/>
              </w:rPr>
              <w:t xml:space="preserve"> (± 0,</w:t>
            </w:r>
            <w:r>
              <w:rPr>
                <w:color w:val="000000" w:themeColor="text1"/>
              </w:rPr>
              <w:t>4</w:t>
            </w:r>
            <w:r w:rsidRPr="00956C3E">
              <w:rPr>
                <w:color w:val="000000" w:themeColor="text1"/>
              </w:rPr>
              <w:t>7)</w:t>
            </w:r>
          </w:p>
          <w:p w14:paraId="0CD5F45D" w14:textId="650EBD6C" w:rsidR="00FE56A5" w:rsidRPr="00956C3E" w:rsidRDefault="00FE56A5" w:rsidP="000B3F66">
            <w:pPr>
              <w:spacing w:line="360" w:lineRule="auto"/>
              <w:jc w:val="center"/>
              <w:rPr>
                <w:bCs/>
              </w:rPr>
            </w:pPr>
            <w:r>
              <w:rPr>
                <w:b/>
                <w:bCs/>
                <w:color w:val="000000" w:themeColor="text1"/>
              </w:rPr>
              <w:t>5</w:t>
            </w:r>
            <w:r w:rsidRPr="00956C3E">
              <w:rPr>
                <w:b/>
                <w:bCs/>
                <w:color w:val="000000" w:themeColor="text1"/>
              </w:rPr>
              <w:t>,</w:t>
            </w:r>
            <w:r>
              <w:rPr>
                <w:b/>
                <w:bCs/>
                <w:color w:val="000000" w:themeColor="text1"/>
              </w:rPr>
              <w:t>8</w:t>
            </w:r>
            <w:r w:rsidRPr="00956C3E">
              <w:rPr>
                <w:b/>
                <w:bCs/>
                <w:color w:val="000000" w:themeColor="text1"/>
              </w:rPr>
              <w:t>%</w:t>
            </w:r>
          </w:p>
        </w:tc>
        <w:tc>
          <w:tcPr>
            <w:tcW w:w="1842" w:type="dxa"/>
            <w:tcBorders>
              <w:top w:val="single" w:sz="4" w:space="0" w:color="000000"/>
              <w:bottom w:val="single" w:sz="4" w:space="0" w:color="000000"/>
            </w:tcBorders>
            <w:vAlign w:val="center"/>
          </w:tcPr>
          <w:p w14:paraId="62C2C42D" w14:textId="77777777" w:rsidR="00FE56A5" w:rsidRDefault="00FE56A5" w:rsidP="000B3F66">
            <w:pPr>
              <w:spacing w:line="360" w:lineRule="auto"/>
              <w:jc w:val="center"/>
              <w:rPr>
                <w:bCs/>
              </w:rPr>
            </w:pPr>
            <w:r w:rsidRPr="00BF07BF">
              <w:rPr>
                <w:bCs/>
              </w:rPr>
              <w:t>16,16</w:t>
            </w:r>
            <w:r>
              <w:rPr>
                <w:b/>
              </w:rPr>
              <w:t xml:space="preserve"> </w:t>
            </w:r>
            <w:r w:rsidRPr="00956C3E">
              <w:rPr>
                <w:bCs/>
              </w:rPr>
              <w:t>(±</w:t>
            </w:r>
            <w:r>
              <w:rPr>
                <w:bCs/>
              </w:rPr>
              <w:t>2</w:t>
            </w:r>
            <w:r w:rsidRPr="00956C3E">
              <w:rPr>
                <w:bCs/>
              </w:rPr>
              <w:t>,</w:t>
            </w:r>
            <w:r>
              <w:rPr>
                <w:bCs/>
              </w:rPr>
              <w:t>2</w:t>
            </w:r>
            <w:r w:rsidRPr="00956C3E">
              <w:rPr>
                <w:bCs/>
              </w:rPr>
              <w:t>9)</w:t>
            </w:r>
          </w:p>
          <w:p w14:paraId="4F9D7BFD" w14:textId="279E9500" w:rsidR="00FE56A5" w:rsidRPr="00BF07BF" w:rsidRDefault="00FE56A5" w:rsidP="000B3F66">
            <w:pPr>
              <w:spacing w:line="360" w:lineRule="auto"/>
              <w:jc w:val="center"/>
              <w:rPr>
                <w:b/>
              </w:rPr>
            </w:pPr>
            <w:r w:rsidRPr="00BF07BF">
              <w:rPr>
                <w:b/>
              </w:rPr>
              <w:t>14,2</w:t>
            </w:r>
          </w:p>
        </w:tc>
        <w:tc>
          <w:tcPr>
            <w:tcW w:w="1843" w:type="dxa"/>
            <w:tcBorders>
              <w:top w:val="single" w:sz="4" w:space="0" w:color="000000"/>
              <w:bottom w:val="single" w:sz="4" w:space="0" w:color="000000"/>
            </w:tcBorders>
            <w:vAlign w:val="center"/>
          </w:tcPr>
          <w:p w14:paraId="16873DDC" w14:textId="14263BB2" w:rsidR="00FE56A5" w:rsidRDefault="00FE56A5" w:rsidP="000B3F66">
            <w:pPr>
              <w:spacing w:line="360" w:lineRule="auto"/>
              <w:jc w:val="center"/>
              <w:rPr>
                <w:bCs/>
              </w:rPr>
            </w:pPr>
            <w:r w:rsidRPr="00BF07BF">
              <w:rPr>
                <w:color w:val="000000" w:themeColor="text1"/>
              </w:rPr>
              <w:t>1,</w:t>
            </w:r>
            <w:r>
              <w:rPr>
                <w:color w:val="000000" w:themeColor="text1"/>
              </w:rPr>
              <w:t xml:space="preserve">44 </w:t>
            </w:r>
            <w:r w:rsidRPr="00956C3E">
              <w:rPr>
                <w:bCs/>
              </w:rPr>
              <w:t>(±</w:t>
            </w:r>
            <w:r>
              <w:rPr>
                <w:bCs/>
              </w:rPr>
              <w:t xml:space="preserve"> 0,20</w:t>
            </w:r>
            <w:r w:rsidRPr="00956C3E">
              <w:rPr>
                <w:bCs/>
              </w:rPr>
              <w:t>)</w:t>
            </w:r>
          </w:p>
          <w:p w14:paraId="10D023A0" w14:textId="5FE318E1" w:rsidR="00FE56A5" w:rsidRPr="00956C3E" w:rsidRDefault="00FE56A5" w:rsidP="000B3F66">
            <w:pPr>
              <w:spacing w:line="360" w:lineRule="auto"/>
              <w:jc w:val="center"/>
              <w:rPr>
                <w:b/>
              </w:rPr>
            </w:pPr>
            <w:r>
              <w:rPr>
                <w:b/>
              </w:rPr>
              <w:t>1</w:t>
            </w:r>
            <w:r w:rsidRPr="00BF07BF">
              <w:rPr>
                <w:b/>
              </w:rPr>
              <w:t>4,4%</w:t>
            </w:r>
          </w:p>
        </w:tc>
      </w:tr>
      <w:tr w:rsidR="00FE56A5" w:rsidRPr="00AD1468" w14:paraId="740FB28E" w14:textId="77777777" w:rsidTr="00FE56A5">
        <w:trPr>
          <w:trHeight w:val="454"/>
          <w:jc w:val="center"/>
        </w:trPr>
        <w:tc>
          <w:tcPr>
            <w:tcW w:w="1986" w:type="dxa"/>
            <w:tcBorders>
              <w:top w:val="single" w:sz="4" w:space="0" w:color="000000"/>
              <w:bottom w:val="single" w:sz="4" w:space="0" w:color="auto"/>
            </w:tcBorders>
            <w:vAlign w:val="center"/>
          </w:tcPr>
          <w:p w14:paraId="625625E7" w14:textId="77777777" w:rsidR="00FE56A5" w:rsidRPr="00956C3E" w:rsidRDefault="00FE56A5" w:rsidP="000B3F66">
            <w:pPr>
              <w:spacing w:line="360" w:lineRule="auto"/>
              <w:jc w:val="center"/>
            </w:pPr>
            <w:r w:rsidRPr="00956C3E">
              <w:t>T3</w:t>
            </w:r>
          </w:p>
        </w:tc>
        <w:tc>
          <w:tcPr>
            <w:tcW w:w="1701" w:type="dxa"/>
            <w:tcBorders>
              <w:top w:val="single" w:sz="4" w:space="0" w:color="000000"/>
              <w:bottom w:val="single" w:sz="4" w:space="0" w:color="auto"/>
            </w:tcBorders>
            <w:vAlign w:val="center"/>
          </w:tcPr>
          <w:p w14:paraId="46A405FD" w14:textId="77777777" w:rsidR="00FE56A5" w:rsidRPr="00956C3E" w:rsidRDefault="00FE56A5" w:rsidP="000B3F66">
            <w:pPr>
              <w:spacing w:line="360" w:lineRule="auto"/>
              <w:jc w:val="center"/>
              <w:rPr>
                <w:bCs/>
              </w:rPr>
            </w:pPr>
            <w:r w:rsidRPr="00956C3E">
              <w:rPr>
                <w:bCs/>
              </w:rPr>
              <w:t>3,57(±0,18)</w:t>
            </w:r>
          </w:p>
          <w:p w14:paraId="58F7049F" w14:textId="1D86A0AA" w:rsidR="00FE56A5" w:rsidRPr="00956C3E" w:rsidRDefault="00FE56A5" w:rsidP="000B3F66">
            <w:pPr>
              <w:spacing w:line="360" w:lineRule="auto"/>
              <w:jc w:val="center"/>
              <w:rPr>
                <w:color w:val="000000" w:themeColor="text1"/>
              </w:rPr>
            </w:pPr>
            <w:r w:rsidRPr="00956C3E">
              <w:rPr>
                <w:b/>
              </w:rPr>
              <w:t>5,2%</w:t>
            </w:r>
          </w:p>
        </w:tc>
        <w:tc>
          <w:tcPr>
            <w:tcW w:w="1701" w:type="dxa"/>
            <w:tcBorders>
              <w:top w:val="single" w:sz="4" w:space="0" w:color="000000"/>
              <w:bottom w:val="single" w:sz="4" w:space="0" w:color="auto"/>
            </w:tcBorders>
          </w:tcPr>
          <w:p w14:paraId="3C1AC040" w14:textId="5D1E8B2B" w:rsidR="00FE56A5" w:rsidRPr="00956C3E" w:rsidRDefault="00FE56A5" w:rsidP="000B3F66">
            <w:pPr>
              <w:spacing w:line="360" w:lineRule="auto"/>
              <w:jc w:val="center"/>
              <w:rPr>
                <w:color w:val="000000" w:themeColor="text1"/>
              </w:rPr>
            </w:pPr>
            <w:r w:rsidRPr="00956C3E">
              <w:rPr>
                <w:color w:val="000000" w:themeColor="text1"/>
              </w:rPr>
              <w:t>0,</w:t>
            </w:r>
            <w:r>
              <w:rPr>
                <w:color w:val="000000" w:themeColor="text1"/>
              </w:rPr>
              <w:t>804</w:t>
            </w:r>
            <w:r w:rsidRPr="00956C3E">
              <w:rPr>
                <w:color w:val="000000" w:themeColor="text1"/>
              </w:rPr>
              <w:t xml:space="preserve"> (± 0,</w:t>
            </w:r>
            <w:r>
              <w:rPr>
                <w:color w:val="000000" w:themeColor="text1"/>
              </w:rPr>
              <w:t>42</w:t>
            </w:r>
            <w:r w:rsidRPr="00956C3E">
              <w:rPr>
                <w:color w:val="000000" w:themeColor="text1"/>
              </w:rPr>
              <w:t>)</w:t>
            </w:r>
          </w:p>
          <w:p w14:paraId="7E1C3B3D" w14:textId="726217EB" w:rsidR="00FE56A5" w:rsidRPr="00956C3E" w:rsidRDefault="00FE56A5" w:rsidP="000B3F66">
            <w:pPr>
              <w:spacing w:line="360" w:lineRule="auto"/>
              <w:jc w:val="center"/>
              <w:rPr>
                <w:bCs/>
              </w:rPr>
            </w:pPr>
            <w:r>
              <w:rPr>
                <w:b/>
                <w:bCs/>
                <w:color w:val="000000" w:themeColor="text1"/>
              </w:rPr>
              <w:t>5</w:t>
            </w:r>
            <w:r w:rsidRPr="00956C3E">
              <w:rPr>
                <w:b/>
                <w:bCs/>
                <w:color w:val="000000" w:themeColor="text1"/>
              </w:rPr>
              <w:t>,</w:t>
            </w:r>
            <w:r>
              <w:rPr>
                <w:b/>
                <w:bCs/>
                <w:color w:val="000000" w:themeColor="text1"/>
              </w:rPr>
              <w:t>2</w:t>
            </w:r>
            <w:r w:rsidRPr="00956C3E">
              <w:rPr>
                <w:b/>
                <w:bCs/>
                <w:color w:val="000000" w:themeColor="text1"/>
              </w:rPr>
              <w:t>%</w:t>
            </w:r>
          </w:p>
        </w:tc>
        <w:tc>
          <w:tcPr>
            <w:tcW w:w="1842" w:type="dxa"/>
            <w:tcBorders>
              <w:top w:val="single" w:sz="4" w:space="0" w:color="000000"/>
              <w:bottom w:val="single" w:sz="4" w:space="0" w:color="auto"/>
            </w:tcBorders>
            <w:vAlign w:val="center"/>
          </w:tcPr>
          <w:p w14:paraId="48366F24" w14:textId="77777777" w:rsidR="00FE56A5" w:rsidRDefault="00FE56A5" w:rsidP="000B3F66">
            <w:pPr>
              <w:spacing w:line="360" w:lineRule="auto"/>
              <w:jc w:val="center"/>
              <w:rPr>
                <w:bCs/>
              </w:rPr>
            </w:pPr>
            <w:r>
              <w:rPr>
                <w:bCs/>
              </w:rPr>
              <w:t xml:space="preserve">16,22 </w:t>
            </w:r>
            <w:r w:rsidRPr="00956C3E">
              <w:rPr>
                <w:bCs/>
              </w:rPr>
              <w:t>(±</w:t>
            </w:r>
            <w:r>
              <w:rPr>
                <w:bCs/>
              </w:rPr>
              <w:t>5</w:t>
            </w:r>
            <w:r w:rsidRPr="00956C3E">
              <w:rPr>
                <w:bCs/>
              </w:rPr>
              <w:t>,4</w:t>
            </w:r>
            <w:r>
              <w:rPr>
                <w:bCs/>
              </w:rPr>
              <w:t>3</w:t>
            </w:r>
            <w:r w:rsidRPr="00956C3E">
              <w:rPr>
                <w:bCs/>
              </w:rPr>
              <w:t>)</w:t>
            </w:r>
          </w:p>
          <w:p w14:paraId="184A5B77" w14:textId="1EECF2E8" w:rsidR="00FE56A5" w:rsidRPr="00111646" w:rsidRDefault="00FE56A5" w:rsidP="000B3F66">
            <w:pPr>
              <w:spacing w:line="360" w:lineRule="auto"/>
              <w:jc w:val="center"/>
              <w:rPr>
                <w:bCs/>
              </w:rPr>
            </w:pPr>
            <w:r>
              <w:rPr>
                <w:b/>
              </w:rPr>
              <w:t>33,5</w:t>
            </w:r>
          </w:p>
        </w:tc>
        <w:tc>
          <w:tcPr>
            <w:tcW w:w="1843" w:type="dxa"/>
            <w:tcBorders>
              <w:top w:val="single" w:sz="4" w:space="0" w:color="000000"/>
              <w:bottom w:val="single" w:sz="4" w:space="0" w:color="auto"/>
            </w:tcBorders>
            <w:vAlign w:val="center"/>
          </w:tcPr>
          <w:p w14:paraId="4F556751" w14:textId="4C110B4A" w:rsidR="00FE56A5" w:rsidRDefault="00FE56A5" w:rsidP="000B3F66">
            <w:pPr>
              <w:spacing w:line="360" w:lineRule="auto"/>
              <w:jc w:val="center"/>
              <w:rPr>
                <w:bCs/>
              </w:rPr>
            </w:pPr>
            <w:r w:rsidRPr="00BF07BF">
              <w:rPr>
                <w:color w:val="000000" w:themeColor="text1"/>
              </w:rPr>
              <w:t>1</w:t>
            </w:r>
            <w:r>
              <w:rPr>
                <w:color w:val="000000" w:themeColor="text1"/>
              </w:rPr>
              <w:t>,3</w:t>
            </w:r>
            <w:r w:rsidRPr="00BF07BF">
              <w:rPr>
                <w:color w:val="000000" w:themeColor="text1"/>
              </w:rPr>
              <w:t>6</w:t>
            </w:r>
            <w:r>
              <w:rPr>
                <w:color w:val="000000" w:themeColor="text1"/>
              </w:rPr>
              <w:t xml:space="preserve"> </w:t>
            </w:r>
            <w:r w:rsidRPr="00956C3E">
              <w:rPr>
                <w:bCs/>
              </w:rPr>
              <w:t>(±</w:t>
            </w:r>
            <w:r>
              <w:rPr>
                <w:bCs/>
              </w:rPr>
              <w:t xml:space="preserve"> 0,53</w:t>
            </w:r>
            <w:r w:rsidRPr="00956C3E">
              <w:rPr>
                <w:bCs/>
              </w:rPr>
              <w:t>)</w:t>
            </w:r>
          </w:p>
          <w:p w14:paraId="5D21C858" w14:textId="70670AE4" w:rsidR="00FE56A5" w:rsidRPr="00956C3E" w:rsidRDefault="00FE56A5" w:rsidP="000B3F66">
            <w:pPr>
              <w:spacing w:line="360" w:lineRule="auto"/>
              <w:jc w:val="center"/>
              <w:rPr>
                <w:b/>
              </w:rPr>
            </w:pPr>
            <w:r>
              <w:rPr>
                <w:b/>
              </w:rPr>
              <w:t>39</w:t>
            </w:r>
            <w:r w:rsidRPr="00BF07BF">
              <w:rPr>
                <w:b/>
              </w:rPr>
              <w:t>,</w:t>
            </w:r>
            <w:r>
              <w:rPr>
                <w:b/>
              </w:rPr>
              <w:t>5</w:t>
            </w:r>
            <w:r w:rsidRPr="00BF07BF">
              <w:rPr>
                <w:b/>
              </w:rPr>
              <w:t>%</w:t>
            </w:r>
          </w:p>
        </w:tc>
      </w:tr>
      <w:tr w:rsidR="00FE56A5" w:rsidRPr="00AD1468" w14:paraId="7F883995" w14:textId="77777777" w:rsidTr="00FE56A5">
        <w:trPr>
          <w:trHeight w:val="454"/>
          <w:jc w:val="center"/>
        </w:trPr>
        <w:tc>
          <w:tcPr>
            <w:tcW w:w="1986" w:type="dxa"/>
            <w:tcBorders>
              <w:top w:val="single" w:sz="4" w:space="0" w:color="auto"/>
              <w:bottom w:val="single" w:sz="12" w:space="0" w:color="000000"/>
            </w:tcBorders>
            <w:vAlign w:val="center"/>
          </w:tcPr>
          <w:p w14:paraId="1941E295" w14:textId="77777777" w:rsidR="00FE56A5" w:rsidRPr="00956C3E" w:rsidRDefault="00FE56A5" w:rsidP="000B3F66">
            <w:pPr>
              <w:spacing w:line="360" w:lineRule="auto"/>
              <w:jc w:val="center"/>
            </w:pPr>
            <w:r w:rsidRPr="00956C3E">
              <w:t>T4</w:t>
            </w:r>
          </w:p>
        </w:tc>
        <w:tc>
          <w:tcPr>
            <w:tcW w:w="1701" w:type="dxa"/>
            <w:tcBorders>
              <w:top w:val="single" w:sz="4" w:space="0" w:color="auto"/>
              <w:bottom w:val="single" w:sz="12" w:space="0" w:color="000000"/>
            </w:tcBorders>
            <w:vAlign w:val="center"/>
          </w:tcPr>
          <w:p w14:paraId="50CE66DC" w14:textId="77777777" w:rsidR="00FE56A5" w:rsidRPr="00956C3E" w:rsidRDefault="00FE56A5" w:rsidP="000B3F66">
            <w:pPr>
              <w:spacing w:line="360" w:lineRule="auto"/>
              <w:jc w:val="center"/>
              <w:rPr>
                <w:bCs/>
              </w:rPr>
            </w:pPr>
            <w:r w:rsidRPr="00956C3E">
              <w:rPr>
                <w:bCs/>
              </w:rPr>
              <w:t>3,68(±0,25)</w:t>
            </w:r>
          </w:p>
          <w:p w14:paraId="1C2AACB5" w14:textId="194CDC3E" w:rsidR="00FE56A5" w:rsidRPr="00956C3E" w:rsidRDefault="00FE56A5" w:rsidP="000B3F66">
            <w:pPr>
              <w:spacing w:line="360" w:lineRule="auto"/>
              <w:jc w:val="center"/>
              <w:rPr>
                <w:color w:val="000000" w:themeColor="text1"/>
              </w:rPr>
            </w:pPr>
            <w:r w:rsidRPr="00956C3E">
              <w:rPr>
                <w:b/>
              </w:rPr>
              <w:t>7,0%</w:t>
            </w:r>
          </w:p>
        </w:tc>
        <w:tc>
          <w:tcPr>
            <w:tcW w:w="1701" w:type="dxa"/>
            <w:tcBorders>
              <w:top w:val="single" w:sz="4" w:space="0" w:color="auto"/>
              <w:bottom w:val="single" w:sz="12" w:space="0" w:color="000000"/>
            </w:tcBorders>
          </w:tcPr>
          <w:p w14:paraId="76931E79" w14:textId="2C83C68D" w:rsidR="00FE56A5" w:rsidRPr="00956C3E" w:rsidRDefault="00FE56A5" w:rsidP="000B3F66">
            <w:pPr>
              <w:spacing w:line="360" w:lineRule="auto"/>
              <w:jc w:val="center"/>
              <w:rPr>
                <w:color w:val="000000" w:themeColor="text1"/>
              </w:rPr>
            </w:pPr>
            <w:r w:rsidRPr="00956C3E">
              <w:rPr>
                <w:color w:val="000000" w:themeColor="text1"/>
              </w:rPr>
              <w:t>0,</w:t>
            </w:r>
            <w:r>
              <w:rPr>
                <w:color w:val="000000" w:themeColor="text1"/>
              </w:rPr>
              <w:t>814</w:t>
            </w:r>
            <w:r w:rsidRPr="00956C3E">
              <w:rPr>
                <w:color w:val="000000" w:themeColor="text1"/>
              </w:rPr>
              <w:t xml:space="preserve"> (± 0,</w:t>
            </w:r>
            <w:r>
              <w:rPr>
                <w:color w:val="000000" w:themeColor="text1"/>
              </w:rPr>
              <w:t>45</w:t>
            </w:r>
            <w:r w:rsidRPr="00956C3E">
              <w:rPr>
                <w:color w:val="000000" w:themeColor="text1"/>
              </w:rPr>
              <w:t>)</w:t>
            </w:r>
          </w:p>
          <w:p w14:paraId="1D707A5D" w14:textId="7B602203" w:rsidR="00FE56A5" w:rsidRPr="00956C3E" w:rsidRDefault="00FE56A5" w:rsidP="000B3F66">
            <w:pPr>
              <w:spacing w:line="360" w:lineRule="auto"/>
              <w:jc w:val="center"/>
              <w:rPr>
                <w:bCs/>
              </w:rPr>
            </w:pPr>
            <w:r>
              <w:rPr>
                <w:b/>
                <w:bCs/>
                <w:color w:val="000000" w:themeColor="text1"/>
              </w:rPr>
              <w:t>5</w:t>
            </w:r>
            <w:r w:rsidRPr="00956C3E">
              <w:rPr>
                <w:b/>
                <w:bCs/>
                <w:color w:val="000000" w:themeColor="text1"/>
              </w:rPr>
              <w:t>,</w:t>
            </w:r>
            <w:r>
              <w:rPr>
                <w:b/>
                <w:bCs/>
                <w:color w:val="000000" w:themeColor="text1"/>
              </w:rPr>
              <w:t>6</w:t>
            </w:r>
            <w:r w:rsidRPr="00956C3E">
              <w:rPr>
                <w:b/>
                <w:bCs/>
                <w:color w:val="000000" w:themeColor="text1"/>
              </w:rPr>
              <w:t>%</w:t>
            </w:r>
          </w:p>
        </w:tc>
        <w:tc>
          <w:tcPr>
            <w:tcW w:w="1842" w:type="dxa"/>
            <w:tcBorders>
              <w:top w:val="single" w:sz="4" w:space="0" w:color="auto"/>
              <w:bottom w:val="single" w:sz="12" w:space="0" w:color="000000"/>
            </w:tcBorders>
            <w:vAlign w:val="center"/>
          </w:tcPr>
          <w:p w14:paraId="7D572B61" w14:textId="47EB605F" w:rsidR="00FE56A5" w:rsidRPr="00956C3E" w:rsidRDefault="00FE56A5" w:rsidP="000B3F66">
            <w:pPr>
              <w:spacing w:line="360" w:lineRule="auto"/>
              <w:jc w:val="center"/>
              <w:rPr>
                <w:bCs/>
              </w:rPr>
            </w:pPr>
            <w:r>
              <w:rPr>
                <w:bCs/>
              </w:rPr>
              <w:t>13</w:t>
            </w:r>
            <w:r w:rsidRPr="00956C3E">
              <w:rPr>
                <w:bCs/>
              </w:rPr>
              <w:t>,</w:t>
            </w:r>
            <w:r>
              <w:rPr>
                <w:bCs/>
              </w:rPr>
              <w:t>46</w:t>
            </w:r>
            <w:r w:rsidRPr="00956C3E">
              <w:rPr>
                <w:bCs/>
              </w:rPr>
              <w:t xml:space="preserve"> (±</w:t>
            </w:r>
            <w:r>
              <w:rPr>
                <w:bCs/>
              </w:rPr>
              <w:t>2</w:t>
            </w:r>
            <w:r w:rsidRPr="00956C3E">
              <w:rPr>
                <w:bCs/>
              </w:rPr>
              <w:t>,</w:t>
            </w:r>
            <w:r>
              <w:rPr>
                <w:bCs/>
              </w:rPr>
              <w:t>07</w:t>
            </w:r>
            <w:r w:rsidRPr="00956C3E">
              <w:rPr>
                <w:bCs/>
              </w:rPr>
              <w:t>)</w:t>
            </w:r>
          </w:p>
          <w:p w14:paraId="142832B5" w14:textId="2365D984" w:rsidR="00FE56A5" w:rsidRPr="00956C3E" w:rsidRDefault="00FE56A5" w:rsidP="000B3F66">
            <w:pPr>
              <w:spacing w:line="360" w:lineRule="auto"/>
              <w:jc w:val="center"/>
              <w:rPr>
                <w:b/>
              </w:rPr>
            </w:pPr>
            <w:r>
              <w:rPr>
                <w:b/>
              </w:rPr>
              <w:t>15</w:t>
            </w:r>
            <w:r w:rsidRPr="00956C3E">
              <w:rPr>
                <w:b/>
              </w:rPr>
              <w:t>,</w:t>
            </w:r>
            <w:r>
              <w:rPr>
                <w:b/>
              </w:rPr>
              <w:t>4</w:t>
            </w:r>
            <w:r w:rsidRPr="00956C3E">
              <w:rPr>
                <w:b/>
              </w:rPr>
              <w:t>%</w:t>
            </w:r>
          </w:p>
        </w:tc>
        <w:tc>
          <w:tcPr>
            <w:tcW w:w="1843" w:type="dxa"/>
            <w:tcBorders>
              <w:top w:val="single" w:sz="4" w:space="0" w:color="auto"/>
              <w:bottom w:val="single" w:sz="12" w:space="0" w:color="000000"/>
            </w:tcBorders>
            <w:vAlign w:val="center"/>
          </w:tcPr>
          <w:p w14:paraId="5BF3C64B" w14:textId="06BD9059" w:rsidR="00FE56A5" w:rsidRDefault="00FE56A5" w:rsidP="000B3F66">
            <w:pPr>
              <w:spacing w:line="360" w:lineRule="auto"/>
              <w:jc w:val="center"/>
              <w:rPr>
                <w:bCs/>
              </w:rPr>
            </w:pPr>
            <w:r w:rsidRPr="00BF07BF">
              <w:rPr>
                <w:color w:val="000000" w:themeColor="text1"/>
              </w:rPr>
              <w:t>1</w:t>
            </w:r>
            <w:r>
              <w:rPr>
                <w:color w:val="000000" w:themeColor="text1"/>
              </w:rPr>
              <w:t xml:space="preserve">,43 </w:t>
            </w:r>
            <w:r w:rsidRPr="00956C3E">
              <w:rPr>
                <w:bCs/>
              </w:rPr>
              <w:t>(±</w:t>
            </w:r>
            <w:r>
              <w:rPr>
                <w:bCs/>
              </w:rPr>
              <w:t xml:space="preserve"> 0,31</w:t>
            </w:r>
            <w:r w:rsidRPr="00956C3E">
              <w:rPr>
                <w:bCs/>
              </w:rPr>
              <w:t>)</w:t>
            </w:r>
          </w:p>
          <w:p w14:paraId="3435659E" w14:textId="37FE5F29" w:rsidR="00FE56A5" w:rsidRPr="00956C3E" w:rsidRDefault="00FE56A5" w:rsidP="000B3F66">
            <w:pPr>
              <w:spacing w:line="360" w:lineRule="auto"/>
              <w:jc w:val="center"/>
              <w:rPr>
                <w:b/>
              </w:rPr>
            </w:pPr>
            <w:r w:rsidRPr="00BF07BF">
              <w:rPr>
                <w:b/>
              </w:rPr>
              <w:t>2</w:t>
            </w:r>
            <w:r>
              <w:rPr>
                <w:b/>
              </w:rPr>
              <w:t>2</w:t>
            </w:r>
            <w:r w:rsidRPr="00BF07BF">
              <w:rPr>
                <w:b/>
              </w:rPr>
              <w:t>,</w:t>
            </w:r>
            <w:r>
              <w:rPr>
                <w:b/>
              </w:rPr>
              <w:t>05</w:t>
            </w:r>
            <w:r w:rsidRPr="00BF07BF">
              <w:rPr>
                <w:b/>
              </w:rPr>
              <w:t>%</w:t>
            </w:r>
          </w:p>
        </w:tc>
      </w:tr>
    </w:tbl>
    <w:bookmarkEnd w:id="1"/>
    <w:p w14:paraId="3D9700A7" w14:textId="775AC8AA" w:rsidR="003949CE" w:rsidRPr="005543C1" w:rsidRDefault="005543C1" w:rsidP="005543C1">
      <w:pPr>
        <w:rPr>
          <w:color w:val="000000" w:themeColor="text1"/>
          <w:lang w:val="pt-BR"/>
        </w:rPr>
      </w:pPr>
      <w:r w:rsidRPr="005543C1">
        <w:rPr>
          <w:color w:val="000000" w:themeColor="text1"/>
        </w:rPr>
        <w:t>Os valores entre parênteses correspondem ao desvio padrão das amostras e os valores em negrito ao coeficiente de variação (%).</w:t>
      </w:r>
    </w:p>
    <w:p w14:paraId="641FC0CA" w14:textId="77777777" w:rsidR="00871F3A" w:rsidRDefault="00871F3A" w:rsidP="004F3C51">
      <w:pPr>
        <w:spacing w:line="360" w:lineRule="auto"/>
        <w:ind w:firstLine="700"/>
        <w:jc w:val="both"/>
        <w:rPr>
          <w:color w:val="000000" w:themeColor="text1"/>
          <w:sz w:val="24"/>
          <w:szCs w:val="24"/>
        </w:rPr>
      </w:pPr>
    </w:p>
    <w:p w14:paraId="48317F32" w14:textId="77777777" w:rsidR="00871F3A" w:rsidRDefault="003D6F41" w:rsidP="00871F3A">
      <w:pPr>
        <w:spacing w:line="360" w:lineRule="auto"/>
        <w:ind w:firstLine="700"/>
        <w:jc w:val="both"/>
        <w:rPr>
          <w:color w:val="000000" w:themeColor="text1"/>
          <w:sz w:val="24"/>
          <w:szCs w:val="24"/>
        </w:rPr>
      </w:pPr>
      <w:r w:rsidRPr="003D6F41">
        <w:rPr>
          <w:color w:val="000000" w:themeColor="text1"/>
          <w:sz w:val="24"/>
          <w:szCs w:val="24"/>
        </w:rPr>
        <w:t>Os valores médios de densidade básica variaram de 0,792 g.cm⁻³ (T0) a 0,817 g.cm⁻³ (T2)</w:t>
      </w:r>
      <w:r>
        <w:rPr>
          <w:color w:val="000000" w:themeColor="text1"/>
          <w:sz w:val="24"/>
          <w:szCs w:val="24"/>
        </w:rPr>
        <w:t xml:space="preserve"> (Tabela 1)</w:t>
      </w:r>
      <w:r w:rsidRPr="003D6F41">
        <w:rPr>
          <w:color w:val="000000" w:themeColor="text1"/>
          <w:sz w:val="24"/>
          <w:szCs w:val="24"/>
        </w:rPr>
        <w:t xml:space="preserve">, com pequenas diferenças entre os tratamentos térmicos aplicados. O leve incremento observado em alguns tratamentos pode estar associado à redução volumétrica decorrente da degradação parcial das hemiceluloses e ao colapso estrutural da parede celular, o que tende a aumentar a densidade do material mesmo diante da perda de massa. Esse comportamento é comum em madeiras submetidas à modificação térmica controlada, conforme relatado por Esteves e Pereira (2009) e Cademartori et al. (2013), que observaram estabilidade </w:t>
      </w:r>
      <w:r w:rsidRPr="003D6F41">
        <w:rPr>
          <w:color w:val="000000" w:themeColor="text1"/>
          <w:sz w:val="24"/>
          <w:szCs w:val="24"/>
        </w:rPr>
        <w:lastRenderedPageBreak/>
        <w:t>ou ligeiro aumento da densidade em madeiras tratadas até cerca de 200 °C.</w:t>
      </w:r>
    </w:p>
    <w:p w14:paraId="37235C12" w14:textId="2F82CE4F" w:rsidR="004F3C51" w:rsidRDefault="00140E11" w:rsidP="00871F3A">
      <w:pPr>
        <w:spacing w:line="360" w:lineRule="auto"/>
        <w:ind w:firstLine="700"/>
        <w:jc w:val="both"/>
        <w:rPr>
          <w:color w:val="000000" w:themeColor="text1"/>
          <w:sz w:val="24"/>
          <w:szCs w:val="24"/>
        </w:rPr>
      </w:pPr>
      <w:r w:rsidRPr="00140E11">
        <w:rPr>
          <w:sz w:val="24"/>
          <w:szCs w:val="24"/>
        </w:rPr>
        <w:t>Os valores de contração volumétrica máxima apresentaram tendência decrescente com o aumento da intensidade do tratamento térmico, variando de 16,80% no controle (T0) para 13,68% no tratamento mais severo (T4)</w:t>
      </w:r>
      <w:r w:rsidR="00E97925">
        <w:rPr>
          <w:sz w:val="24"/>
          <w:szCs w:val="24"/>
        </w:rPr>
        <w:t xml:space="preserve"> </w:t>
      </w:r>
      <w:r w:rsidR="00E97925">
        <w:rPr>
          <w:color w:val="000000" w:themeColor="text1"/>
          <w:sz w:val="24"/>
          <w:szCs w:val="24"/>
        </w:rPr>
        <w:t>(Tabela 1)</w:t>
      </w:r>
      <w:r w:rsidRPr="00140E11">
        <w:rPr>
          <w:sz w:val="24"/>
          <w:szCs w:val="24"/>
        </w:rPr>
        <w:t>. Essa redução representa uma melhoria significativa na estabilidade dimensional da madeira tratada, confirmando que a modificação térmica reduz a capacidade de absorção de água e, consequentemente, o potencial de variação volumétrica.</w:t>
      </w:r>
    </w:p>
    <w:p w14:paraId="08C7F86E" w14:textId="77777777" w:rsidR="00871F3A" w:rsidRDefault="00140E11" w:rsidP="00871F3A">
      <w:pPr>
        <w:spacing w:line="360" w:lineRule="auto"/>
        <w:ind w:firstLine="700"/>
        <w:jc w:val="both"/>
        <w:rPr>
          <w:color w:val="000000" w:themeColor="text1"/>
          <w:sz w:val="24"/>
          <w:szCs w:val="24"/>
        </w:rPr>
      </w:pPr>
      <w:r w:rsidRPr="00140E11">
        <w:rPr>
          <w:sz w:val="24"/>
          <w:szCs w:val="24"/>
        </w:rPr>
        <w:t xml:space="preserve">De acordo com Hill (2006) e Cademartori et al. (2014), a menor contração está relacionada à redução dos grupos hidroxila disponíveis para ligação com moléculas de água, em função da degradação das hemiceluloses e da condensação parcial da lignina. </w:t>
      </w:r>
    </w:p>
    <w:p w14:paraId="51FAD832" w14:textId="710C87F0" w:rsidR="00230385" w:rsidRDefault="00230385" w:rsidP="00871F3A">
      <w:pPr>
        <w:spacing w:line="360" w:lineRule="auto"/>
        <w:ind w:firstLine="700"/>
        <w:jc w:val="both"/>
        <w:rPr>
          <w:color w:val="000000" w:themeColor="text1"/>
          <w:sz w:val="24"/>
          <w:szCs w:val="24"/>
        </w:rPr>
      </w:pPr>
      <w:r w:rsidRPr="00230385">
        <w:rPr>
          <w:sz w:val="24"/>
          <w:szCs w:val="24"/>
        </w:rPr>
        <w:t>O fator de anisotropia apresentou uma redução expressiva ao longo dos tratamentos, passando de 1,97 no controle (T0) para 1,43 no tratamento mais severo (T4)</w:t>
      </w:r>
      <w:r w:rsidR="00E97925">
        <w:rPr>
          <w:sz w:val="24"/>
          <w:szCs w:val="24"/>
        </w:rPr>
        <w:t xml:space="preserve"> </w:t>
      </w:r>
      <w:r w:rsidR="00E97925">
        <w:rPr>
          <w:color w:val="000000" w:themeColor="text1"/>
          <w:sz w:val="24"/>
          <w:szCs w:val="24"/>
        </w:rPr>
        <w:t>(Tabela 1)</w:t>
      </w:r>
      <w:r w:rsidRPr="00230385">
        <w:rPr>
          <w:sz w:val="24"/>
          <w:szCs w:val="24"/>
        </w:rPr>
        <w:t>. Essa diminuição demonstra que a modificação térmica promove maior uniformidade de contração entre as direções anatômicas da madeira, reduzindo a diferença entre as retrações tangencial e radial.</w:t>
      </w:r>
    </w:p>
    <w:p w14:paraId="7E8F9DD8" w14:textId="01B6D5CC" w:rsidR="00230385" w:rsidRPr="00230385" w:rsidRDefault="00230385" w:rsidP="00230385">
      <w:pPr>
        <w:spacing w:line="360" w:lineRule="auto"/>
        <w:ind w:firstLine="700"/>
        <w:jc w:val="both"/>
        <w:rPr>
          <w:color w:val="000000" w:themeColor="text1"/>
          <w:sz w:val="24"/>
          <w:szCs w:val="24"/>
        </w:rPr>
      </w:pPr>
      <w:r w:rsidRPr="00230385">
        <w:rPr>
          <w:sz w:val="24"/>
          <w:szCs w:val="24"/>
        </w:rPr>
        <w:t>Segundo Bal e Bekta</w:t>
      </w:r>
      <w:r>
        <w:rPr>
          <w:sz w:val="24"/>
          <w:szCs w:val="24"/>
        </w:rPr>
        <w:t>s</w:t>
      </w:r>
      <w:r w:rsidRPr="00230385">
        <w:rPr>
          <w:sz w:val="24"/>
          <w:szCs w:val="24"/>
        </w:rPr>
        <w:t xml:space="preserve"> (2012), a diminuição do fator de anisotropia está diretamente relacionada à homogeneização das propriedades estruturais e à redução do gradiente de umidade entre as células, resultando em menor ocorrência de deformações durante secagem ou uso em campo. Assim, </w:t>
      </w:r>
      <w:r w:rsidR="006705EC">
        <w:rPr>
          <w:sz w:val="24"/>
          <w:szCs w:val="24"/>
        </w:rPr>
        <w:t xml:space="preserve">espera-se que </w:t>
      </w:r>
      <w:r w:rsidRPr="00230385">
        <w:rPr>
          <w:sz w:val="24"/>
          <w:szCs w:val="24"/>
        </w:rPr>
        <w:t>a madeira termicamente modificada apresenta melhor desempenho dimensional e menor propensão ao empenamento e rachaduras.</w:t>
      </w:r>
    </w:p>
    <w:p w14:paraId="273158C5" w14:textId="77777777" w:rsidR="00C607CE" w:rsidRDefault="00C607CE" w:rsidP="00C607CE">
      <w:pPr>
        <w:widowControl/>
        <w:tabs>
          <w:tab w:val="left" w:pos="1290"/>
        </w:tabs>
        <w:spacing w:line="259" w:lineRule="auto"/>
        <w:jc w:val="both"/>
        <w:rPr>
          <w:b/>
          <w:sz w:val="24"/>
          <w:szCs w:val="24"/>
        </w:rPr>
      </w:pPr>
    </w:p>
    <w:p w14:paraId="6EF26A43" w14:textId="1A7F7828" w:rsidR="003949CE" w:rsidRDefault="003949CE" w:rsidP="003949CE">
      <w:pPr>
        <w:widowControl/>
        <w:tabs>
          <w:tab w:val="left" w:pos="1290"/>
        </w:tabs>
        <w:spacing w:after="160" w:line="259" w:lineRule="auto"/>
        <w:jc w:val="both"/>
        <w:rPr>
          <w:b/>
          <w:sz w:val="24"/>
          <w:szCs w:val="24"/>
        </w:rPr>
      </w:pPr>
      <w:r>
        <w:rPr>
          <w:b/>
          <w:sz w:val="24"/>
          <w:szCs w:val="24"/>
        </w:rPr>
        <w:t>4. CONSIDERAÇÕES FINAIS</w:t>
      </w:r>
    </w:p>
    <w:p w14:paraId="11B9BDDD" w14:textId="19766570" w:rsidR="008A6433" w:rsidRPr="004F3C51" w:rsidRDefault="006705EC" w:rsidP="002F505A">
      <w:pPr>
        <w:widowControl/>
        <w:tabs>
          <w:tab w:val="left" w:pos="1290"/>
        </w:tabs>
        <w:spacing w:line="360" w:lineRule="auto"/>
        <w:ind w:firstLine="709"/>
        <w:jc w:val="both"/>
        <w:rPr>
          <w:color w:val="000000" w:themeColor="text1"/>
          <w:sz w:val="24"/>
          <w:szCs w:val="24"/>
        </w:rPr>
      </w:pPr>
      <w:r>
        <w:rPr>
          <w:sz w:val="24"/>
          <w:szCs w:val="24"/>
        </w:rPr>
        <w:t>Foi observado uma tendência de a</w:t>
      </w:r>
      <w:r w:rsidR="00DF4243">
        <w:rPr>
          <w:sz w:val="24"/>
          <w:szCs w:val="24"/>
        </w:rPr>
        <w:t>umento da densidade e diminuição da contração volum</w:t>
      </w:r>
      <w:r w:rsidR="002F505A">
        <w:rPr>
          <w:sz w:val="24"/>
          <w:szCs w:val="24"/>
        </w:rPr>
        <w:t>é</w:t>
      </w:r>
      <w:r w:rsidR="00DF4243">
        <w:rPr>
          <w:sz w:val="24"/>
          <w:szCs w:val="24"/>
        </w:rPr>
        <w:t>t</w:t>
      </w:r>
      <w:r w:rsidR="002F505A">
        <w:rPr>
          <w:sz w:val="24"/>
          <w:szCs w:val="24"/>
        </w:rPr>
        <w:t>r</w:t>
      </w:r>
      <w:r w:rsidR="00DF4243">
        <w:rPr>
          <w:sz w:val="24"/>
          <w:szCs w:val="24"/>
        </w:rPr>
        <w:t xml:space="preserve">ica máxima </w:t>
      </w:r>
      <w:r>
        <w:rPr>
          <w:sz w:val="24"/>
          <w:szCs w:val="24"/>
        </w:rPr>
        <w:t xml:space="preserve">com a aplicação do T4 nas madeiras. </w:t>
      </w:r>
      <w:r w:rsidR="008A6433" w:rsidRPr="003D6F41">
        <w:rPr>
          <w:color w:val="000000" w:themeColor="text1"/>
          <w:sz w:val="24"/>
          <w:szCs w:val="24"/>
        </w:rPr>
        <w:t>De forma geral, os resultados indicam que o tratamento térmico não promoveu alterações expressivas na densidade básica, preservando as características estruturais essenciais da madeira.</w:t>
      </w:r>
      <w:r w:rsidR="002F505A">
        <w:rPr>
          <w:color w:val="000000" w:themeColor="text1"/>
          <w:sz w:val="24"/>
          <w:szCs w:val="24"/>
        </w:rPr>
        <w:t xml:space="preserve"> No entanto, a m</w:t>
      </w:r>
      <w:r w:rsidR="008A6433" w:rsidRPr="00140E11">
        <w:rPr>
          <w:sz w:val="24"/>
          <w:szCs w:val="24"/>
        </w:rPr>
        <w:t>adeira termorretificada apresent</w:t>
      </w:r>
      <w:r w:rsidR="002F505A">
        <w:rPr>
          <w:sz w:val="24"/>
          <w:szCs w:val="24"/>
        </w:rPr>
        <w:t>ou</w:t>
      </w:r>
      <w:r w:rsidR="008A6433" w:rsidRPr="00140E11">
        <w:rPr>
          <w:sz w:val="24"/>
          <w:szCs w:val="24"/>
        </w:rPr>
        <w:t xml:space="preserve"> comportamento mais estável em ambientes com variações de umidade, o que amplia seu potencial de uso em aplicações externas e de maior exigência dimensional.</w:t>
      </w:r>
    </w:p>
    <w:p w14:paraId="05746633" w14:textId="77777777" w:rsidR="003949CE" w:rsidRDefault="003949CE" w:rsidP="003949CE">
      <w:pPr>
        <w:widowControl/>
        <w:tabs>
          <w:tab w:val="left" w:pos="1290"/>
        </w:tabs>
        <w:spacing w:after="160" w:line="259" w:lineRule="auto"/>
        <w:jc w:val="both"/>
        <w:rPr>
          <w:b/>
          <w:sz w:val="24"/>
          <w:szCs w:val="24"/>
        </w:rPr>
      </w:pPr>
    </w:p>
    <w:p w14:paraId="4A76FCDC" w14:textId="21FC4D87" w:rsidR="00CC0774" w:rsidRDefault="003949CE" w:rsidP="00125C54">
      <w:pPr>
        <w:widowControl/>
        <w:tabs>
          <w:tab w:val="left" w:pos="1290"/>
        </w:tabs>
        <w:spacing w:after="160" w:line="259" w:lineRule="auto"/>
        <w:jc w:val="both"/>
        <w:rPr>
          <w:b/>
          <w:sz w:val="24"/>
          <w:szCs w:val="24"/>
        </w:rPr>
      </w:pPr>
      <w:r>
        <w:rPr>
          <w:b/>
          <w:sz w:val="24"/>
          <w:szCs w:val="24"/>
        </w:rPr>
        <w:lastRenderedPageBreak/>
        <w:t>REFERÊNCIAS</w:t>
      </w:r>
      <w:bookmarkStart w:id="3" w:name="_gjdgxs" w:colFirst="0" w:colLast="0"/>
      <w:bookmarkEnd w:id="3"/>
    </w:p>
    <w:p w14:paraId="1D945943" w14:textId="27C900DE" w:rsidR="00CC0774" w:rsidRDefault="00CC0774" w:rsidP="00871F3A">
      <w:pPr>
        <w:widowControl/>
        <w:tabs>
          <w:tab w:val="left" w:pos="1290"/>
        </w:tabs>
        <w:jc w:val="both"/>
        <w:rPr>
          <w:sz w:val="24"/>
          <w:szCs w:val="24"/>
        </w:rPr>
      </w:pPr>
      <w:r w:rsidRPr="00A00165">
        <w:rPr>
          <w:sz w:val="24"/>
          <w:szCs w:val="24"/>
        </w:rPr>
        <w:t xml:space="preserve">ASSOCIAÇÃO BRASILEIRA DE NORMAS TÉCNICAS. </w:t>
      </w:r>
      <w:r w:rsidRPr="00A00165">
        <w:rPr>
          <w:b/>
          <w:bCs/>
          <w:sz w:val="24"/>
          <w:szCs w:val="24"/>
        </w:rPr>
        <w:t>NBR 1</w:t>
      </w:r>
      <w:r w:rsidR="00887B80">
        <w:rPr>
          <w:b/>
          <w:bCs/>
          <w:sz w:val="24"/>
          <w:szCs w:val="24"/>
        </w:rPr>
        <w:t>1941</w:t>
      </w:r>
      <w:r w:rsidRPr="00A00165">
        <w:rPr>
          <w:sz w:val="24"/>
          <w:szCs w:val="24"/>
        </w:rPr>
        <w:t>: Madeira- Determinação de densidade básica. Rio de Janeiro: ABNT. 2003, 7p.</w:t>
      </w:r>
    </w:p>
    <w:p w14:paraId="333350B2" w14:textId="77777777" w:rsidR="00871F3A" w:rsidRPr="00A00165" w:rsidRDefault="00871F3A" w:rsidP="00871F3A">
      <w:pPr>
        <w:widowControl/>
        <w:tabs>
          <w:tab w:val="left" w:pos="1290"/>
        </w:tabs>
        <w:jc w:val="both"/>
        <w:rPr>
          <w:color w:val="FF0000"/>
          <w:sz w:val="28"/>
          <w:szCs w:val="28"/>
        </w:rPr>
      </w:pPr>
    </w:p>
    <w:p w14:paraId="728D9C8F" w14:textId="31D64A6F" w:rsidR="002C289F" w:rsidRDefault="002C289F" w:rsidP="00871F3A">
      <w:pPr>
        <w:jc w:val="both"/>
        <w:rPr>
          <w:sz w:val="24"/>
          <w:szCs w:val="24"/>
        </w:rPr>
      </w:pPr>
      <w:r w:rsidRPr="002C289F">
        <w:rPr>
          <w:sz w:val="24"/>
          <w:szCs w:val="24"/>
        </w:rPr>
        <w:t xml:space="preserve">ANJOS, Fábio Pereira dos. </w:t>
      </w:r>
      <w:r w:rsidRPr="002C289F">
        <w:rPr>
          <w:b/>
          <w:bCs/>
          <w:sz w:val="24"/>
          <w:szCs w:val="24"/>
        </w:rPr>
        <w:t>Efeitos da termorretificação nas propriedades físicas de três espécies madeireiras da Amazônia</w:t>
      </w:r>
      <w:r w:rsidRPr="002C289F">
        <w:rPr>
          <w:sz w:val="24"/>
          <w:szCs w:val="24"/>
        </w:rPr>
        <w:t xml:space="preserve">. Orientador: Adriano Marlisom Leão de Souza. 2014. 66 f. Dissertação (Mestrado em Ciências Florestais) – Universidade Federal Rural da Amazônia, Belém, 2014. </w:t>
      </w:r>
    </w:p>
    <w:p w14:paraId="04F25DB8" w14:textId="610203B4" w:rsidR="00BE5156" w:rsidRDefault="00BE5156" w:rsidP="00871F3A">
      <w:pPr>
        <w:jc w:val="both"/>
        <w:rPr>
          <w:sz w:val="24"/>
          <w:szCs w:val="24"/>
        </w:rPr>
      </w:pPr>
    </w:p>
    <w:p w14:paraId="25550282" w14:textId="613AF53E" w:rsidR="00BE5156" w:rsidRPr="00DF4243" w:rsidRDefault="00BE5156" w:rsidP="00871F3A">
      <w:pPr>
        <w:jc w:val="both"/>
        <w:rPr>
          <w:sz w:val="24"/>
          <w:szCs w:val="24"/>
          <w:lang w:val="en-US"/>
        </w:rPr>
      </w:pPr>
      <w:r w:rsidRPr="00DF4243">
        <w:rPr>
          <w:sz w:val="24"/>
          <w:szCs w:val="24"/>
          <w:lang w:val="en-US"/>
        </w:rPr>
        <w:t xml:space="preserve">BAL, B. C.; BEKTAS, I. The effects of heat treatment on the physical properties of juvenile wood and mature wood of Eucalyptus grandis. Bioresource Technology, v. 102, n. 13, p. 6111–6118, 2012. DOI: </w:t>
      </w:r>
      <w:hyperlink r:id="rId9" w:history="1">
        <w:r w:rsidR="003D304A" w:rsidRPr="00DF4243">
          <w:rPr>
            <w:rStyle w:val="Hyperlink"/>
            <w:sz w:val="24"/>
            <w:szCs w:val="24"/>
            <w:lang w:val="en-US"/>
          </w:rPr>
          <w:t>https://doi.org/10.1016/j.biortech.2011.12.093</w:t>
        </w:r>
      </w:hyperlink>
    </w:p>
    <w:p w14:paraId="2471A117" w14:textId="77777777" w:rsidR="00125C54" w:rsidRPr="00DF4243" w:rsidRDefault="00125C54" w:rsidP="00871F3A">
      <w:pPr>
        <w:jc w:val="both"/>
        <w:rPr>
          <w:sz w:val="24"/>
          <w:szCs w:val="24"/>
          <w:lang w:val="en-US"/>
        </w:rPr>
      </w:pPr>
    </w:p>
    <w:p w14:paraId="7A882327" w14:textId="398AFF51" w:rsidR="00125C54" w:rsidRDefault="00125C54" w:rsidP="00871F3A">
      <w:pPr>
        <w:jc w:val="both"/>
        <w:rPr>
          <w:sz w:val="24"/>
          <w:szCs w:val="24"/>
        </w:rPr>
      </w:pPr>
      <w:r w:rsidRPr="005E4825">
        <w:rPr>
          <w:sz w:val="24"/>
          <w:szCs w:val="24"/>
        </w:rPr>
        <w:t xml:space="preserve">BATISTA, D. C. Retificação térmica, termorretificação, tratamento térmico, tratamento com calor ou modificação térmica? </w:t>
      </w:r>
      <w:r w:rsidRPr="005E4825">
        <w:rPr>
          <w:b/>
          <w:bCs/>
          <w:sz w:val="24"/>
          <w:szCs w:val="24"/>
        </w:rPr>
        <w:t>Ciência Florestal</w:t>
      </w:r>
      <w:r w:rsidRPr="005E4825">
        <w:rPr>
          <w:sz w:val="24"/>
          <w:szCs w:val="24"/>
        </w:rPr>
        <w:t xml:space="preserve">, Santa Maria, v. 29, n. 1, p. 463-480, 2019. DOI: </w:t>
      </w:r>
      <w:r w:rsidR="00CD60EE">
        <w:fldChar w:fldCharType="begin"/>
      </w:r>
      <w:r w:rsidR="00CD60EE">
        <w:instrText xml:space="preserve"> HYPERLINK "https://doi.org/10.5902/1980509822577" </w:instrText>
      </w:r>
      <w:r w:rsidR="00CD60EE">
        <w:fldChar w:fldCharType="separate"/>
      </w:r>
      <w:r w:rsidRPr="005C1EF4">
        <w:rPr>
          <w:rStyle w:val="Hyperlink"/>
          <w:sz w:val="24"/>
          <w:szCs w:val="24"/>
        </w:rPr>
        <w:t>https://doi.org/10.5902/1980509822577</w:t>
      </w:r>
      <w:r w:rsidR="00CD60EE">
        <w:rPr>
          <w:rStyle w:val="Hyperlink"/>
          <w:sz w:val="24"/>
          <w:szCs w:val="24"/>
        </w:rPr>
        <w:fldChar w:fldCharType="end"/>
      </w:r>
      <w:r>
        <w:rPr>
          <w:sz w:val="24"/>
          <w:szCs w:val="24"/>
        </w:rPr>
        <w:t xml:space="preserve"> </w:t>
      </w:r>
    </w:p>
    <w:p w14:paraId="2C7DAC4C" w14:textId="4AF7096A" w:rsidR="00125C54" w:rsidRDefault="00125C54" w:rsidP="00871F3A">
      <w:pPr>
        <w:jc w:val="both"/>
        <w:rPr>
          <w:sz w:val="24"/>
          <w:szCs w:val="24"/>
        </w:rPr>
      </w:pPr>
    </w:p>
    <w:p w14:paraId="023103E6" w14:textId="5E385F23" w:rsidR="00BE5156" w:rsidRPr="00DF4243" w:rsidRDefault="00BE5156" w:rsidP="00871F3A">
      <w:pPr>
        <w:jc w:val="both"/>
        <w:rPr>
          <w:sz w:val="24"/>
          <w:szCs w:val="24"/>
          <w:lang w:val="en-US"/>
        </w:rPr>
      </w:pPr>
      <w:r w:rsidRPr="00DF4243">
        <w:rPr>
          <w:sz w:val="24"/>
          <w:szCs w:val="24"/>
          <w:lang w:val="es-CL"/>
        </w:rPr>
        <w:t xml:space="preserve">BRITO, J. O. et al. </w:t>
      </w:r>
      <w:r w:rsidRPr="00DF4243">
        <w:rPr>
          <w:sz w:val="24"/>
          <w:szCs w:val="24"/>
          <w:lang w:val="en-US"/>
        </w:rPr>
        <w:t xml:space="preserve">Chemical composition changes in eucalyptus and </w:t>
      </w:r>
      <w:proofErr w:type="spellStart"/>
      <w:r w:rsidRPr="00DF4243">
        <w:rPr>
          <w:sz w:val="24"/>
          <w:szCs w:val="24"/>
          <w:lang w:val="en-US"/>
        </w:rPr>
        <w:t>pinus</w:t>
      </w:r>
      <w:proofErr w:type="spellEnd"/>
      <w:r w:rsidRPr="00DF4243">
        <w:rPr>
          <w:sz w:val="24"/>
          <w:szCs w:val="24"/>
          <w:lang w:val="en-US"/>
        </w:rPr>
        <w:t xml:space="preserve"> woods submitted to heat treatment. </w:t>
      </w:r>
      <w:r w:rsidRPr="00DF4243">
        <w:rPr>
          <w:b/>
          <w:bCs/>
          <w:sz w:val="24"/>
          <w:szCs w:val="24"/>
          <w:lang w:val="en-US"/>
        </w:rPr>
        <w:t>Bioresource Technology</w:t>
      </w:r>
      <w:r w:rsidRPr="00DF4243">
        <w:rPr>
          <w:sz w:val="24"/>
          <w:szCs w:val="24"/>
          <w:lang w:val="en-US"/>
        </w:rPr>
        <w:t xml:space="preserve">, v. 99, n. 18, p. 8545–8548, 2008. DOI: </w:t>
      </w:r>
      <w:hyperlink r:id="rId10" w:history="1">
        <w:r w:rsidRPr="00DF4243">
          <w:rPr>
            <w:rStyle w:val="Hyperlink"/>
            <w:sz w:val="24"/>
            <w:szCs w:val="24"/>
            <w:lang w:val="en-US"/>
          </w:rPr>
          <w:t>https://doi.org/10.1016/j.biortech.2008.03.069</w:t>
        </w:r>
      </w:hyperlink>
    </w:p>
    <w:p w14:paraId="18F8E982" w14:textId="2022ECCE" w:rsidR="00BE5156" w:rsidRPr="00DF4243" w:rsidRDefault="00BE5156" w:rsidP="00871F3A">
      <w:pPr>
        <w:jc w:val="both"/>
        <w:rPr>
          <w:sz w:val="24"/>
          <w:szCs w:val="24"/>
          <w:lang w:val="en-US"/>
        </w:rPr>
      </w:pPr>
    </w:p>
    <w:p w14:paraId="073BB04F" w14:textId="77777777" w:rsidR="00BE5156" w:rsidRPr="00BE5156" w:rsidRDefault="00BE5156" w:rsidP="00871F3A">
      <w:pPr>
        <w:jc w:val="both"/>
        <w:rPr>
          <w:sz w:val="24"/>
          <w:szCs w:val="24"/>
        </w:rPr>
      </w:pPr>
      <w:r w:rsidRPr="00DF4243">
        <w:rPr>
          <w:sz w:val="24"/>
          <w:szCs w:val="24"/>
          <w:lang w:val="en-US"/>
        </w:rPr>
        <w:t xml:space="preserve">BRITO, J. O.; SILVA, F. G.; LEÃO, M. M.; ALMEIDA, G. Effects of thermal treatment of eucalypt wood on its chemical composition. </w:t>
      </w:r>
      <w:r w:rsidRPr="003D304A">
        <w:rPr>
          <w:b/>
          <w:bCs/>
          <w:sz w:val="24"/>
          <w:szCs w:val="24"/>
        </w:rPr>
        <w:t>Revista Árvore</w:t>
      </w:r>
      <w:r w:rsidRPr="00BE5156">
        <w:rPr>
          <w:sz w:val="24"/>
          <w:szCs w:val="24"/>
        </w:rPr>
        <w:t>, v. 30, n. 3, p. 455–462, 2006.</w:t>
      </w:r>
    </w:p>
    <w:p w14:paraId="76E366BC" w14:textId="4CC315AA" w:rsidR="00BE5156" w:rsidRPr="00BE5156" w:rsidRDefault="003D304A" w:rsidP="00871F3A">
      <w:pPr>
        <w:jc w:val="both"/>
        <w:rPr>
          <w:sz w:val="24"/>
          <w:szCs w:val="24"/>
        </w:rPr>
      </w:pPr>
      <w:r>
        <w:rPr>
          <w:sz w:val="24"/>
          <w:szCs w:val="24"/>
        </w:rPr>
        <w:t xml:space="preserve">DOI: </w:t>
      </w:r>
      <w:hyperlink r:id="rId11" w:history="1">
        <w:r w:rsidRPr="003E2006">
          <w:rPr>
            <w:rStyle w:val="Hyperlink"/>
            <w:sz w:val="24"/>
            <w:szCs w:val="24"/>
          </w:rPr>
          <w:t>https://doi.org/10.1590/S0100-67622006000300015</w:t>
        </w:r>
      </w:hyperlink>
      <w:r>
        <w:rPr>
          <w:sz w:val="24"/>
          <w:szCs w:val="24"/>
        </w:rPr>
        <w:t xml:space="preserve"> </w:t>
      </w:r>
    </w:p>
    <w:p w14:paraId="23D2042D" w14:textId="77777777" w:rsidR="00BE5156" w:rsidRPr="00125C54" w:rsidRDefault="00BE5156" w:rsidP="00871F3A">
      <w:pPr>
        <w:jc w:val="both"/>
        <w:rPr>
          <w:sz w:val="24"/>
          <w:szCs w:val="24"/>
        </w:rPr>
      </w:pPr>
    </w:p>
    <w:p w14:paraId="028E6E75" w14:textId="69E02B01" w:rsidR="00125C54" w:rsidRDefault="00125C54" w:rsidP="00871F3A">
      <w:pPr>
        <w:jc w:val="both"/>
        <w:rPr>
          <w:sz w:val="24"/>
          <w:szCs w:val="24"/>
        </w:rPr>
      </w:pPr>
      <w:r w:rsidRPr="0038413E">
        <w:rPr>
          <w:sz w:val="24"/>
          <w:szCs w:val="24"/>
          <w:lang w:val="en-US"/>
        </w:rPr>
        <w:t xml:space="preserve">CADEMARTORI, P. H. G. D.; SCHNEID, E.; GATTO, D. A.; BELTRAME, R.; STANGERLIN, D. M. Modification of static bending strength properties of Eucalyptus grandis heat-treated wood. </w:t>
      </w:r>
      <w:r w:rsidRPr="005E4825">
        <w:rPr>
          <w:b/>
          <w:bCs/>
          <w:sz w:val="24"/>
          <w:szCs w:val="24"/>
        </w:rPr>
        <w:t>Materials Research</w:t>
      </w:r>
      <w:r w:rsidRPr="005E4825">
        <w:rPr>
          <w:sz w:val="24"/>
          <w:szCs w:val="24"/>
        </w:rPr>
        <w:t xml:space="preserve">, São Carlos, v. 15, n. 6, p. 922-927, 2012. Doi: </w:t>
      </w:r>
      <w:r w:rsidR="00CD60EE">
        <w:fldChar w:fldCharType="begin"/>
      </w:r>
      <w:r w:rsidR="00CD60EE">
        <w:instrText xml:space="preserve"> HYPERLINK "https://doi.org/10.1590/S1516-14392012005000136" </w:instrText>
      </w:r>
      <w:r w:rsidR="00CD60EE">
        <w:fldChar w:fldCharType="separate"/>
      </w:r>
      <w:r w:rsidRPr="005C1EF4">
        <w:rPr>
          <w:rStyle w:val="Hyperlink"/>
          <w:sz w:val="24"/>
          <w:szCs w:val="24"/>
        </w:rPr>
        <w:t>https://doi.org/10.1590/S1516-14392012005000136</w:t>
      </w:r>
      <w:r w:rsidR="00CD60EE">
        <w:rPr>
          <w:rStyle w:val="Hyperlink"/>
          <w:sz w:val="24"/>
          <w:szCs w:val="24"/>
        </w:rPr>
        <w:fldChar w:fldCharType="end"/>
      </w:r>
      <w:r>
        <w:rPr>
          <w:sz w:val="24"/>
          <w:szCs w:val="24"/>
        </w:rPr>
        <w:t xml:space="preserve"> </w:t>
      </w:r>
    </w:p>
    <w:p w14:paraId="57DEBDC6" w14:textId="17232ACD" w:rsidR="008E54EA" w:rsidRDefault="008E54EA" w:rsidP="00871F3A">
      <w:pPr>
        <w:jc w:val="both"/>
        <w:rPr>
          <w:sz w:val="24"/>
          <w:szCs w:val="24"/>
        </w:rPr>
      </w:pPr>
    </w:p>
    <w:p w14:paraId="68181F5C" w14:textId="41D36626" w:rsidR="00125C54" w:rsidRPr="00DF4243" w:rsidRDefault="008E54EA" w:rsidP="00871F3A">
      <w:pPr>
        <w:jc w:val="both"/>
        <w:rPr>
          <w:sz w:val="24"/>
          <w:szCs w:val="24"/>
          <w:lang w:val="en-US"/>
        </w:rPr>
      </w:pPr>
      <w:r w:rsidRPr="00DF4243">
        <w:rPr>
          <w:sz w:val="24"/>
          <w:szCs w:val="24"/>
          <w:lang w:val="es-CL"/>
        </w:rPr>
        <w:t xml:space="preserve">CADEMARTORI, P. H. G. et al. </w:t>
      </w:r>
      <w:r w:rsidRPr="00DF4243">
        <w:rPr>
          <w:sz w:val="24"/>
          <w:szCs w:val="24"/>
          <w:lang w:val="en-US"/>
        </w:rPr>
        <w:t xml:space="preserve">Thermal modification of two fast-growing Brazilian hardwoods: effects on color, chemical composition and mechanical properties. </w:t>
      </w:r>
      <w:r w:rsidRPr="00DF4243">
        <w:rPr>
          <w:b/>
          <w:bCs/>
          <w:sz w:val="24"/>
          <w:szCs w:val="24"/>
          <w:lang w:val="en-US"/>
        </w:rPr>
        <w:t>Wood Science and Technology</w:t>
      </w:r>
      <w:r w:rsidRPr="00DF4243">
        <w:rPr>
          <w:sz w:val="24"/>
          <w:szCs w:val="24"/>
          <w:lang w:val="en-US"/>
        </w:rPr>
        <w:t xml:space="preserve">, v. 47, n. 3, p. 633–646, 2013. DOI: </w:t>
      </w:r>
      <w:hyperlink r:id="rId12" w:history="1">
        <w:r w:rsidRPr="00DF4243">
          <w:rPr>
            <w:rStyle w:val="Hyperlink"/>
            <w:sz w:val="24"/>
            <w:szCs w:val="24"/>
            <w:lang w:val="en-US"/>
          </w:rPr>
          <w:t>https://doi.org/10.1007/s00226-013-0515-8</w:t>
        </w:r>
      </w:hyperlink>
      <w:r w:rsidRPr="00DF4243">
        <w:rPr>
          <w:sz w:val="24"/>
          <w:szCs w:val="24"/>
          <w:lang w:val="en-US"/>
        </w:rPr>
        <w:t xml:space="preserve"> </w:t>
      </w:r>
    </w:p>
    <w:p w14:paraId="66028663" w14:textId="77777777" w:rsidR="008E54EA" w:rsidRPr="00DF4243" w:rsidRDefault="008E54EA" w:rsidP="00871F3A">
      <w:pPr>
        <w:jc w:val="both"/>
        <w:rPr>
          <w:sz w:val="24"/>
          <w:szCs w:val="24"/>
          <w:lang w:val="en-US"/>
        </w:rPr>
      </w:pPr>
    </w:p>
    <w:p w14:paraId="7FB8B285" w14:textId="6AD60635" w:rsidR="008E54EA" w:rsidRPr="008E54EA" w:rsidRDefault="008E54EA" w:rsidP="00871F3A">
      <w:pPr>
        <w:widowControl/>
        <w:tabs>
          <w:tab w:val="left" w:pos="1290"/>
        </w:tabs>
        <w:jc w:val="both"/>
        <w:rPr>
          <w:color w:val="000000" w:themeColor="text1"/>
          <w:sz w:val="24"/>
          <w:szCs w:val="24"/>
        </w:rPr>
      </w:pPr>
      <w:r w:rsidRPr="00DF4243">
        <w:rPr>
          <w:color w:val="000000" w:themeColor="text1"/>
          <w:sz w:val="24"/>
          <w:szCs w:val="24"/>
          <w:lang w:val="es-CL"/>
        </w:rPr>
        <w:t xml:space="preserve">CADEMARTORI, P. H. G. et al. </w:t>
      </w:r>
      <w:r w:rsidRPr="00DF4243">
        <w:rPr>
          <w:color w:val="000000" w:themeColor="text1"/>
          <w:sz w:val="24"/>
          <w:szCs w:val="24"/>
          <w:lang w:val="en-US"/>
        </w:rPr>
        <w:t xml:space="preserve">Effect of thermal treatment on physicochemical properties of fast-growing wood species. </w:t>
      </w:r>
      <w:r w:rsidRPr="008E54EA">
        <w:rPr>
          <w:color w:val="000000" w:themeColor="text1"/>
          <w:sz w:val="24"/>
          <w:szCs w:val="24"/>
        </w:rPr>
        <w:t>Holzforschung, v. 68, n. 4, p. 449–456, 2014.</w:t>
      </w:r>
      <w:r>
        <w:rPr>
          <w:color w:val="000000" w:themeColor="text1"/>
          <w:sz w:val="24"/>
          <w:szCs w:val="24"/>
        </w:rPr>
        <w:t xml:space="preserve"> DOI: </w:t>
      </w:r>
      <w:hyperlink r:id="rId13" w:history="1">
        <w:r w:rsidRPr="003E2006">
          <w:rPr>
            <w:rStyle w:val="Hyperlink"/>
            <w:sz w:val="24"/>
            <w:szCs w:val="24"/>
          </w:rPr>
          <w:t>https://doi.org/10.1515/hf-2013-0092</w:t>
        </w:r>
      </w:hyperlink>
      <w:r>
        <w:rPr>
          <w:color w:val="000000" w:themeColor="text1"/>
          <w:sz w:val="24"/>
          <w:szCs w:val="24"/>
        </w:rPr>
        <w:t xml:space="preserve"> </w:t>
      </w:r>
    </w:p>
    <w:p w14:paraId="22C0B7F6" w14:textId="1AB3C81E" w:rsidR="00125C54" w:rsidRDefault="00125C54" w:rsidP="00871F3A">
      <w:pPr>
        <w:jc w:val="both"/>
        <w:rPr>
          <w:sz w:val="48"/>
          <w:szCs w:val="48"/>
        </w:rPr>
      </w:pPr>
      <w:r w:rsidRPr="000D4DDE">
        <w:rPr>
          <w:sz w:val="24"/>
          <w:szCs w:val="24"/>
        </w:rPr>
        <w:t xml:space="preserve">DELUCIS, R. A.; GATTO, D. A.; CADEMARTORI, P. H. G.; MISSIO, A. L.; SCHNEID, E. Propriedades físicas da madeira termorretificada de quatro folhosas. </w:t>
      </w:r>
      <w:r w:rsidRPr="000D4DDE">
        <w:rPr>
          <w:b/>
          <w:bCs/>
          <w:sz w:val="24"/>
          <w:szCs w:val="24"/>
        </w:rPr>
        <w:t>Floresta e Ambiente</w:t>
      </w:r>
      <w:r w:rsidRPr="000D4DDE">
        <w:rPr>
          <w:sz w:val="24"/>
          <w:szCs w:val="24"/>
        </w:rPr>
        <w:t xml:space="preserve">, Seropédica, v. 21, n. 1, p. 99-107, 2014. DOI: </w:t>
      </w:r>
      <w:r w:rsidR="00CD60EE">
        <w:fldChar w:fldCharType="begin"/>
      </w:r>
      <w:r w:rsidR="00CD60EE">
        <w:instrText xml:space="preserve"> HYPERLINK "http://dx.doi.org/10.4322/floram.2014.008" </w:instrText>
      </w:r>
      <w:r w:rsidR="00CD60EE">
        <w:fldChar w:fldCharType="separate"/>
      </w:r>
      <w:r w:rsidRPr="005C1EF4">
        <w:rPr>
          <w:rStyle w:val="Hyperlink"/>
          <w:sz w:val="24"/>
          <w:szCs w:val="24"/>
        </w:rPr>
        <w:t>http://dx.doi.org/10.4322/floram.2014.008</w:t>
      </w:r>
      <w:r w:rsidR="00CD60EE">
        <w:rPr>
          <w:rStyle w:val="Hyperlink"/>
          <w:sz w:val="24"/>
          <w:szCs w:val="24"/>
        </w:rPr>
        <w:fldChar w:fldCharType="end"/>
      </w:r>
    </w:p>
    <w:p w14:paraId="6C7D1877" w14:textId="77777777" w:rsidR="00125C54" w:rsidRPr="00125C54" w:rsidRDefault="00125C54" w:rsidP="00871F3A">
      <w:pPr>
        <w:jc w:val="both"/>
        <w:rPr>
          <w:sz w:val="24"/>
          <w:szCs w:val="24"/>
        </w:rPr>
      </w:pPr>
    </w:p>
    <w:p w14:paraId="3DAE8172" w14:textId="31D2B60A" w:rsidR="00125C54" w:rsidRDefault="00125C54" w:rsidP="00871F3A">
      <w:pPr>
        <w:jc w:val="both"/>
        <w:rPr>
          <w:sz w:val="24"/>
          <w:szCs w:val="24"/>
          <w:lang w:val="en-US"/>
        </w:rPr>
      </w:pPr>
      <w:r w:rsidRPr="0038413E">
        <w:rPr>
          <w:sz w:val="24"/>
          <w:szCs w:val="24"/>
          <w:lang w:val="en-US"/>
        </w:rPr>
        <w:t xml:space="preserve">DE MOURA, M. F. S. F.; DOURADO, N. </w:t>
      </w:r>
      <w:r w:rsidRPr="0038413E">
        <w:rPr>
          <w:b/>
          <w:bCs/>
          <w:sz w:val="24"/>
          <w:szCs w:val="24"/>
          <w:lang w:val="en-US"/>
        </w:rPr>
        <w:t>Wood Fracture Characterization</w:t>
      </w:r>
      <w:r w:rsidRPr="0038413E">
        <w:rPr>
          <w:sz w:val="24"/>
          <w:szCs w:val="24"/>
          <w:lang w:val="en-US"/>
        </w:rPr>
        <w:t>. 1 ed. Boca Raton: CRC Press Taylor &amp; Francis Group, 2018. 137p.</w:t>
      </w:r>
    </w:p>
    <w:p w14:paraId="7B9E7765" w14:textId="77777777" w:rsidR="004E2661" w:rsidRPr="004E2661" w:rsidRDefault="004E2661" w:rsidP="00871F3A">
      <w:pPr>
        <w:jc w:val="both"/>
        <w:rPr>
          <w:sz w:val="24"/>
          <w:szCs w:val="24"/>
          <w:lang w:val="en-US"/>
        </w:rPr>
      </w:pPr>
    </w:p>
    <w:p w14:paraId="3D1C9497" w14:textId="68A2D110" w:rsidR="004E2661" w:rsidRDefault="004E2661" w:rsidP="00871F3A">
      <w:pPr>
        <w:jc w:val="both"/>
        <w:rPr>
          <w:sz w:val="24"/>
          <w:szCs w:val="24"/>
          <w:lang w:val="en-US"/>
        </w:rPr>
      </w:pPr>
      <w:r>
        <w:rPr>
          <w:sz w:val="24"/>
          <w:szCs w:val="24"/>
          <w:lang w:val="en-US"/>
        </w:rPr>
        <w:t xml:space="preserve">ESTEVES, B., PEREIRA, H. </w:t>
      </w:r>
      <w:r>
        <w:rPr>
          <w:b/>
          <w:bCs/>
          <w:sz w:val="24"/>
          <w:szCs w:val="24"/>
          <w:lang w:val="en-US"/>
        </w:rPr>
        <w:t>Wood modification by heat treatment: A review</w:t>
      </w:r>
      <w:r>
        <w:rPr>
          <w:sz w:val="24"/>
          <w:szCs w:val="24"/>
          <w:lang w:val="en-US"/>
        </w:rPr>
        <w:t xml:space="preserve">. </w:t>
      </w:r>
      <w:proofErr w:type="spellStart"/>
      <w:r>
        <w:rPr>
          <w:sz w:val="24"/>
          <w:szCs w:val="24"/>
          <w:lang w:val="en-US"/>
        </w:rPr>
        <w:t>BioResources</w:t>
      </w:r>
      <w:proofErr w:type="spellEnd"/>
      <w:r>
        <w:rPr>
          <w:sz w:val="24"/>
          <w:szCs w:val="24"/>
          <w:lang w:val="en-US"/>
        </w:rPr>
        <w:t>, v. 4, n. 1, p. 370–404, 2009.</w:t>
      </w:r>
    </w:p>
    <w:p w14:paraId="493B45FA" w14:textId="77777777" w:rsidR="004E2661" w:rsidRPr="004E2661" w:rsidRDefault="004E2661" w:rsidP="00871F3A">
      <w:pPr>
        <w:jc w:val="both"/>
        <w:rPr>
          <w:sz w:val="24"/>
          <w:szCs w:val="24"/>
          <w:lang w:val="en-US"/>
        </w:rPr>
      </w:pPr>
    </w:p>
    <w:p w14:paraId="114DBACC" w14:textId="63971152" w:rsidR="00125C54" w:rsidRPr="0038413E" w:rsidRDefault="00125C54" w:rsidP="00871F3A">
      <w:pPr>
        <w:jc w:val="both"/>
        <w:rPr>
          <w:sz w:val="24"/>
          <w:szCs w:val="24"/>
          <w:lang w:val="en-US"/>
        </w:rPr>
      </w:pPr>
      <w:r w:rsidRPr="0038413E">
        <w:rPr>
          <w:sz w:val="24"/>
          <w:szCs w:val="24"/>
          <w:lang w:val="en-US"/>
        </w:rPr>
        <w:t xml:space="preserve">GUNDUZ, G; AYDEMIR, D.; KARAKAS, G. The effects of thermal treatment on the mechanical properties of wild Pear (Pyrus </w:t>
      </w:r>
      <w:proofErr w:type="spellStart"/>
      <w:r w:rsidRPr="0038413E">
        <w:rPr>
          <w:sz w:val="24"/>
          <w:szCs w:val="24"/>
          <w:lang w:val="en-US"/>
        </w:rPr>
        <w:t>elaeagnifolia</w:t>
      </w:r>
      <w:proofErr w:type="spellEnd"/>
      <w:r w:rsidRPr="0038413E">
        <w:rPr>
          <w:sz w:val="24"/>
          <w:szCs w:val="24"/>
          <w:lang w:val="en-US"/>
        </w:rPr>
        <w:t xml:space="preserve"> Pall.) wood and changes in physical properties. </w:t>
      </w:r>
      <w:r w:rsidRPr="0038413E">
        <w:rPr>
          <w:b/>
          <w:bCs/>
          <w:sz w:val="24"/>
          <w:szCs w:val="24"/>
          <w:lang w:val="en-US"/>
        </w:rPr>
        <w:t>Materials and Design</w:t>
      </w:r>
      <w:r w:rsidRPr="0038413E">
        <w:rPr>
          <w:sz w:val="24"/>
          <w:szCs w:val="24"/>
          <w:lang w:val="en-US"/>
        </w:rPr>
        <w:t xml:space="preserve">, Surrey, v. 30, p. 4391- 4395, 2009. DOI: </w:t>
      </w:r>
      <w:hyperlink r:id="rId14" w:history="1">
        <w:r w:rsidRPr="0038413E">
          <w:rPr>
            <w:rStyle w:val="Hyperlink"/>
            <w:sz w:val="24"/>
            <w:szCs w:val="24"/>
            <w:lang w:val="en-US"/>
          </w:rPr>
          <w:t>https://doi.org/10.1016/j.matdes.2009.04.005</w:t>
        </w:r>
      </w:hyperlink>
      <w:r w:rsidRPr="0038413E">
        <w:rPr>
          <w:sz w:val="24"/>
          <w:szCs w:val="24"/>
          <w:lang w:val="en-US"/>
        </w:rPr>
        <w:t xml:space="preserve"> </w:t>
      </w:r>
    </w:p>
    <w:p w14:paraId="0EF71FC8" w14:textId="77777777" w:rsidR="00125C54" w:rsidRPr="0038413E" w:rsidRDefault="00125C54" w:rsidP="00871F3A">
      <w:pPr>
        <w:jc w:val="both"/>
        <w:rPr>
          <w:sz w:val="24"/>
          <w:szCs w:val="24"/>
          <w:lang w:val="en-US"/>
        </w:rPr>
      </w:pPr>
    </w:p>
    <w:p w14:paraId="11612FCA" w14:textId="3A4257A6" w:rsidR="00125C54" w:rsidRPr="0038413E" w:rsidRDefault="00125C54" w:rsidP="00871F3A">
      <w:pPr>
        <w:jc w:val="both"/>
        <w:rPr>
          <w:sz w:val="24"/>
          <w:szCs w:val="24"/>
          <w:lang w:val="en-US"/>
        </w:rPr>
      </w:pPr>
      <w:r w:rsidRPr="0038413E">
        <w:rPr>
          <w:sz w:val="24"/>
          <w:szCs w:val="24"/>
          <w:lang w:val="en-US"/>
        </w:rPr>
        <w:t xml:space="preserve">HILL, C. </w:t>
      </w:r>
      <w:r w:rsidRPr="0038413E">
        <w:rPr>
          <w:b/>
          <w:bCs/>
          <w:sz w:val="24"/>
          <w:szCs w:val="24"/>
          <w:lang w:val="en-US"/>
        </w:rPr>
        <w:t>Wood modification: chemical, thermal and other processes</w:t>
      </w:r>
      <w:r w:rsidRPr="0038413E">
        <w:rPr>
          <w:sz w:val="24"/>
          <w:szCs w:val="24"/>
          <w:lang w:val="en-US"/>
        </w:rPr>
        <w:t>. 1ed. West Sussex: John Wiley &amp; Sons, 2006. 239p.</w:t>
      </w:r>
    </w:p>
    <w:p w14:paraId="1E295B84" w14:textId="39566E8F" w:rsidR="0095298E" w:rsidRPr="0038413E" w:rsidRDefault="0095298E" w:rsidP="00871F3A">
      <w:pPr>
        <w:jc w:val="both"/>
        <w:rPr>
          <w:sz w:val="24"/>
          <w:szCs w:val="24"/>
          <w:lang w:val="en-US"/>
        </w:rPr>
      </w:pPr>
    </w:p>
    <w:p w14:paraId="43DC3745" w14:textId="2734F9B0" w:rsidR="0095298E" w:rsidRPr="0095298E" w:rsidRDefault="0095298E" w:rsidP="00871F3A">
      <w:pPr>
        <w:jc w:val="both"/>
        <w:rPr>
          <w:sz w:val="24"/>
          <w:szCs w:val="24"/>
          <w:lang w:val="en-US"/>
        </w:rPr>
      </w:pPr>
      <w:r w:rsidRPr="00450211">
        <w:rPr>
          <w:sz w:val="24"/>
          <w:szCs w:val="24"/>
          <w:lang w:val="pt-BR"/>
        </w:rPr>
        <w:t xml:space="preserve">LEITE, A. S., DO NASCIMENTO, C. S., DE ALMEIDA CRUZ, I., DE OLIVEIRA, M. S., DE ARAÚJO, R. D., DO NASCIMENTO, C. C., &amp; HIGUCHI, N. </w:t>
      </w:r>
      <w:proofErr w:type="spellStart"/>
      <w:r w:rsidRPr="00450211">
        <w:rPr>
          <w:sz w:val="24"/>
          <w:szCs w:val="24"/>
          <w:lang w:val="pt-BR"/>
        </w:rPr>
        <w:t>Impact</w:t>
      </w:r>
      <w:proofErr w:type="spellEnd"/>
      <w:r w:rsidRPr="00450211">
        <w:rPr>
          <w:sz w:val="24"/>
          <w:szCs w:val="24"/>
          <w:lang w:val="pt-BR"/>
        </w:rPr>
        <w:t xml:space="preserve"> </w:t>
      </w:r>
      <w:proofErr w:type="spellStart"/>
      <w:r w:rsidRPr="00450211">
        <w:rPr>
          <w:sz w:val="24"/>
          <w:szCs w:val="24"/>
          <w:lang w:val="pt-BR"/>
        </w:rPr>
        <w:t>of</w:t>
      </w:r>
      <w:proofErr w:type="spellEnd"/>
      <w:r w:rsidRPr="00450211">
        <w:rPr>
          <w:sz w:val="24"/>
          <w:szCs w:val="24"/>
          <w:lang w:val="pt-BR"/>
        </w:rPr>
        <w:t xml:space="preserve"> </w:t>
      </w:r>
      <w:proofErr w:type="spellStart"/>
      <w:r w:rsidRPr="00450211">
        <w:rPr>
          <w:sz w:val="24"/>
          <w:szCs w:val="24"/>
          <w:lang w:val="pt-BR"/>
        </w:rPr>
        <w:t>thermal</w:t>
      </w:r>
      <w:proofErr w:type="spellEnd"/>
      <w:r w:rsidRPr="00450211">
        <w:rPr>
          <w:sz w:val="24"/>
          <w:szCs w:val="24"/>
          <w:lang w:val="pt-BR"/>
        </w:rPr>
        <w:t xml:space="preserve"> </w:t>
      </w:r>
      <w:proofErr w:type="spellStart"/>
      <w:r w:rsidRPr="00450211">
        <w:rPr>
          <w:sz w:val="24"/>
          <w:szCs w:val="24"/>
          <w:lang w:val="pt-BR"/>
        </w:rPr>
        <w:t>treatment</w:t>
      </w:r>
      <w:proofErr w:type="spellEnd"/>
      <w:r w:rsidRPr="00450211">
        <w:rPr>
          <w:sz w:val="24"/>
          <w:szCs w:val="24"/>
          <w:lang w:val="pt-BR"/>
        </w:rPr>
        <w:t xml:space="preserve"> </w:t>
      </w:r>
      <w:proofErr w:type="spellStart"/>
      <w:r w:rsidRPr="00450211">
        <w:rPr>
          <w:sz w:val="24"/>
          <w:szCs w:val="24"/>
          <w:lang w:val="pt-BR"/>
        </w:rPr>
        <w:t>on</w:t>
      </w:r>
      <w:proofErr w:type="spellEnd"/>
      <w:r w:rsidRPr="00450211">
        <w:rPr>
          <w:sz w:val="24"/>
          <w:szCs w:val="24"/>
          <w:lang w:val="pt-BR"/>
        </w:rPr>
        <w:t xml:space="preserve"> </w:t>
      </w:r>
      <w:proofErr w:type="spellStart"/>
      <w:r w:rsidRPr="00450211">
        <w:rPr>
          <w:sz w:val="24"/>
          <w:szCs w:val="24"/>
          <w:lang w:val="pt-BR"/>
        </w:rPr>
        <w:t>the</w:t>
      </w:r>
      <w:proofErr w:type="spellEnd"/>
      <w:r w:rsidRPr="00450211">
        <w:rPr>
          <w:sz w:val="24"/>
          <w:szCs w:val="24"/>
          <w:lang w:val="pt-BR"/>
        </w:rPr>
        <w:t xml:space="preserve"> </w:t>
      </w:r>
      <w:proofErr w:type="spellStart"/>
      <w:r w:rsidRPr="00450211">
        <w:rPr>
          <w:sz w:val="24"/>
          <w:szCs w:val="24"/>
          <w:lang w:val="pt-BR"/>
        </w:rPr>
        <w:t>properties</w:t>
      </w:r>
      <w:proofErr w:type="spellEnd"/>
      <w:r w:rsidRPr="00450211">
        <w:rPr>
          <w:sz w:val="24"/>
          <w:szCs w:val="24"/>
          <w:lang w:val="pt-BR"/>
        </w:rPr>
        <w:t xml:space="preserve"> </w:t>
      </w:r>
      <w:proofErr w:type="spellStart"/>
      <w:r w:rsidRPr="00450211">
        <w:rPr>
          <w:sz w:val="24"/>
          <w:szCs w:val="24"/>
          <w:lang w:val="pt-BR"/>
        </w:rPr>
        <w:t>of</w:t>
      </w:r>
      <w:proofErr w:type="spellEnd"/>
      <w:r w:rsidRPr="00450211">
        <w:rPr>
          <w:sz w:val="24"/>
          <w:szCs w:val="24"/>
          <w:lang w:val="pt-BR"/>
        </w:rPr>
        <w:t xml:space="preserve"> </w:t>
      </w:r>
      <w:proofErr w:type="spellStart"/>
      <w:r w:rsidRPr="00450211">
        <w:rPr>
          <w:sz w:val="24"/>
          <w:szCs w:val="24"/>
          <w:lang w:val="pt-BR"/>
        </w:rPr>
        <w:t>assacú</w:t>
      </w:r>
      <w:proofErr w:type="spellEnd"/>
      <w:r w:rsidRPr="00450211">
        <w:rPr>
          <w:sz w:val="24"/>
          <w:szCs w:val="24"/>
          <w:lang w:val="pt-BR"/>
        </w:rPr>
        <w:t xml:space="preserve"> (</w:t>
      </w:r>
      <w:proofErr w:type="spellStart"/>
      <w:r w:rsidRPr="00450211">
        <w:rPr>
          <w:i/>
          <w:iCs/>
          <w:sz w:val="24"/>
          <w:szCs w:val="24"/>
          <w:lang w:val="pt-BR"/>
        </w:rPr>
        <w:t>Hura</w:t>
      </w:r>
      <w:proofErr w:type="spellEnd"/>
      <w:r w:rsidRPr="00450211">
        <w:rPr>
          <w:i/>
          <w:iCs/>
          <w:sz w:val="24"/>
          <w:szCs w:val="24"/>
          <w:lang w:val="pt-BR"/>
        </w:rPr>
        <w:t xml:space="preserve"> </w:t>
      </w:r>
      <w:proofErr w:type="spellStart"/>
      <w:r w:rsidRPr="00450211">
        <w:rPr>
          <w:i/>
          <w:iCs/>
          <w:sz w:val="24"/>
          <w:szCs w:val="24"/>
          <w:lang w:val="pt-BR"/>
        </w:rPr>
        <w:t>crepitans</w:t>
      </w:r>
      <w:proofErr w:type="spellEnd"/>
      <w:r w:rsidRPr="00450211">
        <w:rPr>
          <w:i/>
          <w:iCs/>
          <w:sz w:val="24"/>
          <w:szCs w:val="24"/>
          <w:lang w:val="pt-BR"/>
        </w:rPr>
        <w:t xml:space="preserve"> L</w:t>
      </w:r>
      <w:r w:rsidRPr="00450211">
        <w:rPr>
          <w:sz w:val="24"/>
          <w:szCs w:val="24"/>
          <w:lang w:val="pt-BR"/>
        </w:rPr>
        <w:t xml:space="preserve">.) </w:t>
      </w:r>
      <w:proofErr w:type="spellStart"/>
      <w:r w:rsidRPr="00450211">
        <w:rPr>
          <w:sz w:val="24"/>
          <w:szCs w:val="24"/>
          <w:lang w:val="pt-BR"/>
        </w:rPr>
        <w:t>and</w:t>
      </w:r>
      <w:proofErr w:type="spellEnd"/>
      <w:r w:rsidRPr="00450211">
        <w:rPr>
          <w:sz w:val="24"/>
          <w:szCs w:val="24"/>
          <w:lang w:val="pt-BR"/>
        </w:rPr>
        <w:t xml:space="preserve"> murici (</w:t>
      </w:r>
      <w:proofErr w:type="spellStart"/>
      <w:r w:rsidRPr="00450211">
        <w:rPr>
          <w:i/>
          <w:iCs/>
          <w:sz w:val="24"/>
          <w:szCs w:val="24"/>
          <w:lang w:val="pt-BR"/>
        </w:rPr>
        <w:t>Byrsonima</w:t>
      </w:r>
      <w:proofErr w:type="spellEnd"/>
      <w:r w:rsidRPr="00450211">
        <w:rPr>
          <w:i/>
          <w:iCs/>
          <w:sz w:val="24"/>
          <w:szCs w:val="24"/>
          <w:lang w:val="pt-BR"/>
        </w:rPr>
        <w:t xml:space="preserve"> crispa </w:t>
      </w:r>
      <w:proofErr w:type="spellStart"/>
      <w:proofErr w:type="gramStart"/>
      <w:r w:rsidRPr="00450211">
        <w:rPr>
          <w:i/>
          <w:iCs/>
          <w:sz w:val="24"/>
          <w:szCs w:val="24"/>
          <w:lang w:val="pt-BR"/>
        </w:rPr>
        <w:t>A.Juss</w:t>
      </w:r>
      <w:proofErr w:type="spellEnd"/>
      <w:proofErr w:type="gramEnd"/>
      <w:r w:rsidRPr="00450211">
        <w:rPr>
          <w:sz w:val="24"/>
          <w:szCs w:val="24"/>
          <w:lang w:val="pt-BR"/>
        </w:rPr>
        <w:t xml:space="preserve">.) </w:t>
      </w:r>
      <w:r w:rsidRPr="0095298E">
        <w:rPr>
          <w:sz w:val="24"/>
          <w:szCs w:val="24"/>
          <w:lang w:val="en-US"/>
        </w:rPr>
        <w:t xml:space="preserve">Amazon woods. </w:t>
      </w:r>
      <w:r w:rsidRPr="0095298E">
        <w:rPr>
          <w:b/>
          <w:bCs/>
          <w:sz w:val="24"/>
          <w:szCs w:val="24"/>
          <w:lang w:val="en-US"/>
        </w:rPr>
        <w:t>New Zealand Journal of Forestry Science</w:t>
      </w:r>
      <w:r w:rsidRPr="0095298E">
        <w:rPr>
          <w:sz w:val="24"/>
          <w:szCs w:val="24"/>
          <w:lang w:val="en-US"/>
        </w:rPr>
        <w:t xml:space="preserve">, v. 54, 2024. </w:t>
      </w:r>
      <w:hyperlink r:id="rId15" w:history="1">
        <w:r w:rsidRPr="00AA41D4">
          <w:rPr>
            <w:rStyle w:val="Hyperlink"/>
            <w:sz w:val="24"/>
            <w:szCs w:val="24"/>
            <w:lang w:val="en-US"/>
          </w:rPr>
          <w:t>https://doi.org/10.33494/nzjfs542024x256x</w:t>
        </w:r>
      </w:hyperlink>
      <w:r>
        <w:rPr>
          <w:sz w:val="24"/>
          <w:szCs w:val="24"/>
          <w:lang w:val="en-US"/>
        </w:rPr>
        <w:t xml:space="preserve"> </w:t>
      </w:r>
    </w:p>
    <w:p w14:paraId="6F30EFEB" w14:textId="43710CBF" w:rsidR="00125C54" w:rsidRPr="0038413E" w:rsidRDefault="00125C54" w:rsidP="00871F3A">
      <w:pPr>
        <w:widowControl/>
        <w:tabs>
          <w:tab w:val="left" w:pos="1290"/>
        </w:tabs>
        <w:jc w:val="both"/>
        <w:rPr>
          <w:color w:val="FF0000"/>
          <w:sz w:val="24"/>
          <w:szCs w:val="24"/>
          <w:lang w:val="en-US"/>
        </w:rPr>
      </w:pPr>
    </w:p>
    <w:p w14:paraId="2C475231" w14:textId="7FE8B007" w:rsidR="00125C54" w:rsidRPr="0038413E" w:rsidRDefault="00125C54" w:rsidP="00871F3A">
      <w:pPr>
        <w:jc w:val="both"/>
        <w:rPr>
          <w:sz w:val="24"/>
          <w:szCs w:val="24"/>
          <w:lang w:val="es-CL"/>
        </w:rPr>
      </w:pPr>
      <w:r w:rsidRPr="0038413E">
        <w:rPr>
          <w:sz w:val="24"/>
          <w:szCs w:val="24"/>
          <w:lang w:val="en-US"/>
        </w:rPr>
        <w:t xml:space="preserve">MENDES, R. F.; BORTOLETTO JÚNIOR, G.; ALMEIDA, N. F. de; SURDI, P. G.; BARBEIRO, I. N. Effects of thermal pre-treatment and variables of production on properties of OSB panels of Pinus </w:t>
      </w:r>
      <w:proofErr w:type="spellStart"/>
      <w:r w:rsidRPr="0038413E">
        <w:rPr>
          <w:sz w:val="24"/>
          <w:szCs w:val="24"/>
          <w:lang w:val="en-US"/>
        </w:rPr>
        <w:t>taeda</w:t>
      </w:r>
      <w:proofErr w:type="spellEnd"/>
      <w:r w:rsidRPr="0038413E">
        <w:rPr>
          <w:sz w:val="24"/>
          <w:szCs w:val="24"/>
          <w:lang w:val="en-US"/>
        </w:rPr>
        <w:t xml:space="preserve">. </w:t>
      </w:r>
      <w:r w:rsidRPr="0038413E">
        <w:rPr>
          <w:b/>
          <w:bCs/>
          <w:sz w:val="24"/>
          <w:szCs w:val="24"/>
          <w:lang w:val="es-CL"/>
        </w:rPr>
        <w:t>Maderas. Ciencia y Tecnología</w:t>
      </w:r>
      <w:r w:rsidRPr="0038413E">
        <w:rPr>
          <w:sz w:val="24"/>
          <w:szCs w:val="24"/>
          <w:lang w:val="es-CL"/>
        </w:rPr>
        <w:t xml:space="preserve">, Concepción, v. 15, n. 2, p. 141-152, 2013. DOI: </w:t>
      </w:r>
      <w:hyperlink r:id="rId16" w:history="1">
        <w:r w:rsidRPr="0038413E">
          <w:rPr>
            <w:rStyle w:val="Hyperlink"/>
            <w:sz w:val="24"/>
            <w:szCs w:val="24"/>
            <w:lang w:val="es-CL"/>
          </w:rPr>
          <w:t>http://dx.doi.org/10.4067/S0718-221X2013005000012</w:t>
        </w:r>
      </w:hyperlink>
      <w:r w:rsidRPr="0038413E">
        <w:rPr>
          <w:sz w:val="24"/>
          <w:szCs w:val="24"/>
          <w:lang w:val="es-CL"/>
        </w:rPr>
        <w:t xml:space="preserve"> </w:t>
      </w:r>
    </w:p>
    <w:p w14:paraId="1CB5EBAA" w14:textId="0A1E9AA0" w:rsidR="0005122E" w:rsidRPr="0038413E" w:rsidRDefault="0005122E" w:rsidP="00871F3A">
      <w:pPr>
        <w:jc w:val="both"/>
        <w:rPr>
          <w:sz w:val="24"/>
          <w:szCs w:val="24"/>
          <w:lang w:val="es-CL"/>
        </w:rPr>
      </w:pPr>
    </w:p>
    <w:p w14:paraId="531E92A3" w14:textId="68465ADC" w:rsidR="0005122E" w:rsidRPr="0038413E" w:rsidRDefault="0005122E" w:rsidP="00871F3A">
      <w:pPr>
        <w:jc w:val="both"/>
        <w:rPr>
          <w:sz w:val="28"/>
          <w:szCs w:val="28"/>
          <w:lang w:val="en-US"/>
        </w:rPr>
      </w:pPr>
      <w:r w:rsidRPr="0038413E">
        <w:rPr>
          <w:sz w:val="24"/>
          <w:szCs w:val="24"/>
          <w:lang w:val="en-US"/>
        </w:rPr>
        <w:t xml:space="preserve">PONCSÁK, S.; KOCAEFE, D.; BOUAZARA, M.; PICHETTE, A. Effect of high temperature treatment on the mechanical properties of birch (Betula </w:t>
      </w:r>
      <w:proofErr w:type="spellStart"/>
      <w:r w:rsidRPr="0038413E">
        <w:rPr>
          <w:sz w:val="24"/>
          <w:szCs w:val="24"/>
          <w:lang w:val="en-US"/>
        </w:rPr>
        <w:t>papyrifera</w:t>
      </w:r>
      <w:proofErr w:type="spellEnd"/>
      <w:r w:rsidRPr="0038413E">
        <w:rPr>
          <w:sz w:val="24"/>
          <w:szCs w:val="24"/>
          <w:lang w:val="en-US"/>
        </w:rPr>
        <w:t xml:space="preserve">). </w:t>
      </w:r>
      <w:r w:rsidRPr="0038413E">
        <w:rPr>
          <w:b/>
          <w:bCs/>
          <w:sz w:val="24"/>
          <w:szCs w:val="24"/>
          <w:lang w:val="en-US"/>
        </w:rPr>
        <w:t>Wood Science and Technology</w:t>
      </w:r>
      <w:r w:rsidRPr="0038413E">
        <w:rPr>
          <w:sz w:val="24"/>
          <w:szCs w:val="24"/>
          <w:lang w:val="en-US"/>
        </w:rPr>
        <w:t xml:space="preserve">, New York, v. 40, n. 8, p. 647-663, 2006. DOI: </w:t>
      </w:r>
      <w:hyperlink r:id="rId17" w:history="1">
        <w:r w:rsidRPr="0038413E">
          <w:rPr>
            <w:rStyle w:val="Hyperlink"/>
            <w:sz w:val="24"/>
            <w:szCs w:val="24"/>
            <w:lang w:val="en-US"/>
          </w:rPr>
          <w:t>https://doi.org/10.1007/s00226-006-0082-9</w:t>
        </w:r>
      </w:hyperlink>
      <w:r w:rsidRPr="0038413E">
        <w:rPr>
          <w:sz w:val="24"/>
          <w:szCs w:val="24"/>
          <w:lang w:val="en-US"/>
        </w:rPr>
        <w:t xml:space="preserve"> </w:t>
      </w:r>
    </w:p>
    <w:p w14:paraId="0E14A514" w14:textId="77777777" w:rsidR="00125C54" w:rsidRPr="0038413E" w:rsidRDefault="00125C54" w:rsidP="00871F3A">
      <w:pPr>
        <w:jc w:val="both"/>
        <w:rPr>
          <w:sz w:val="24"/>
          <w:szCs w:val="24"/>
          <w:lang w:val="en-US"/>
        </w:rPr>
      </w:pPr>
    </w:p>
    <w:p w14:paraId="4E2B8663" w14:textId="76CF69A4" w:rsidR="00125C54" w:rsidRDefault="00125C54" w:rsidP="00871F3A">
      <w:pPr>
        <w:jc w:val="both"/>
        <w:rPr>
          <w:sz w:val="24"/>
          <w:szCs w:val="24"/>
        </w:rPr>
      </w:pPr>
      <w:r w:rsidRPr="00707751">
        <w:rPr>
          <w:sz w:val="24"/>
          <w:szCs w:val="24"/>
        </w:rPr>
        <w:t xml:space="preserve">POUBEL, D.; GARCIA, R. A.; DOS SANTOS, W. A.; OLIVEIRA, G.; ABREU, H. Efeito da termorretificação nas propriedades físicas e químicas da madeira de Pinus caribaea. </w:t>
      </w:r>
      <w:r w:rsidRPr="00707751">
        <w:rPr>
          <w:b/>
          <w:bCs/>
          <w:sz w:val="24"/>
          <w:szCs w:val="24"/>
        </w:rPr>
        <w:t>Cerne</w:t>
      </w:r>
      <w:r w:rsidRPr="00707751">
        <w:rPr>
          <w:sz w:val="24"/>
          <w:szCs w:val="24"/>
        </w:rPr>
        <w:t xml:space="preserve">, Lavras, v.19, n. 3, p. 391-398, 2013. DOI: </w:t>
      </w:r>
      <w:hyperlink r:id="rId18" w:history="1">
        <w:r w:rsidRPr="005C1EF4">
          <w:rPr>
            <w:rStyle w:val="Hyperlink"/>
            <w:sz w:val="24"/>
            <w:szCs w:val="24"/>
          </w:rPr>
          <w:t>https://doi.org/10.1590/S0104- 77602013000300005</w:t>
        </w:r>
      </w:hyperlink>
      <w:r>
        <w:rPr>
          <w:sz w:val="24"/>
          <w:szCs w:val="24"/>
        </w:rPr>
        <w:t xml:space="preserve">. </w:t>
      </w:r>
    </w:p>
    <w:p w14:paraId="6302D752" w14:textId="7F0B601E" w:rsidR="00125C54" w:rsidRDefault="00125C54" w:rsidP="00871F3A">
      <w:pPr>
        <w:widowControl/>
        <w:tabs>
          <w:tab w:val="left" w:pos="1290"/>
        </w:tabs>
        <w:jc w:val="both"/>
        <w:rPr>
          <w:color w:val="FF0000"/>
          <w:sz w:val="24"/>
          <w:szCs w:val="24"/>
        </w:rPr>
      </w:pPr>
    </w:p>
    <w:p w14:paraId="2B6680AA" w14:textId="31B7E66D" w:rsidR="00125C54" w:rsidRPr="0038413E" w:rsidRDefault="00125C54" w:rsidP="00871F3A">
      <w:pPr>
        <w:jc w:val="both"/>
        <w:rPr>
          <w:sz w:val="24"/>
          <w:szCs w:val="24"/>
          <w:lang w:val="en-US"/>
        </w:rPr>
      </w:pPr>
      <w:r w:rsidRPr="00707751">
        <w:rPr>
          <w:sz w:val="24"/>
          <w:szCs w:val="24"/>
        </w:rPr>
        <w:t xml:space="preserve">REIS, A. R. S. Anatomia da madeira de quatro espécies de Aspidosperma Mart. &amp; Zucc. Comercializadas no estado do Pará, Brasil. </w:t>
      </w:r>
      <w:r w:rsidRPr="00707751">
        <w:rPr>
          <w:b/>
          <w:bCs/>
          <w:sz w:val="24"/>
          <w:szCs w:val="24"/>
        </w:rPr>
        <w:t>Ciência da Madeira</w:t>
      </w:r>
      <w:r w:rsidRPr="00707751">
        <w:rPr>
          <w:sz w:val="24"/>
          <w:szCs w:val="24"/>
        </w:rPr>
        <w:t xml:space="preserve">, Pelotas, v. 6, n. 1, p. 47-62, 2015. </w:t>
      </w:r>
      <w:r w:rsidRPr="0038413E">
        <w:rPr>
          <w:sz w:val="24"/>
          <w:szCs w:val="24"/>
          <w:lang w:val="en-US"/>
        </w:rPr>
        <w:t xml:space="preserve">DOI: </w:t>
      </w:r>
      <w:hyperlink r:id="rId19" w:history="1">
        <w:r w:rsidRPr="0038413E">
          <w:rPr>
            <w:rStyle w:val="Hyperlink"/>
            <w:sz w:val="24"/>
            <w:szCs w:val="24"/>
            <w:lang w:val="en-US"/>
          </w:rPr>
          <w:t>http://dx.doi.org/10.15210/cmad.v6i1.5444</w:t>
        </w:r>
      </w:hyperlink>
      <w:r w:rsidRPr="0038413E">
        <w:rPr>
          <w:sz w:val="24"/>
          <w:szCs w:val="24"/>
          <w:lang w:val="en-US"/>
        </w:rPr>
        <w:t>.</w:t>
      </w:r>
    </w:p>
    <w:p w14:paraId="635A5FEE" w14:textId="77777777" w:rsidR="00125C54" w:rsidRPr="0038413E" w:rsidRDefault="00125C54" w:rsidP="00871F3A">
      <w:pPr>
        <w:widowControl/>
        <w:tabs>
          <w:tab w:val="left" w:pos="1290"/>
        </w:tabs>
        <w:jc w:val="both"/>
        <w:rPr>
          <w:color w:val="FF0000"/>
          <w:sz w:val="24"/>
          <w:szCs w:val="24"/>
          <w:lang w:val="en-US"/>
        </w:rPr>
      </w:pPr>
    </w:p>
    <w:p w14:paraId="74D32050" w14:textId="770FA276" w:rsidR="00DB5854" w:rsidRPr="00125C54" w:rsidRDefault="00125C54" w:rsidP="00871F3A">
      <w:pPr>
        <w:jc w:val="both"/>
        <w:rPr>
          <w:sz w:val="24"/>
          <w:szCs w:val="24"/>
        </w:rPr>
      </w:pPr>
      <w:r w:rsidRPr="0038413E">
        <w:rPr>
          <w:sz w:val="24"/>
          <w:szCs w:val="24"/>
          <w:lang w:val="en-US"/>
        </w:rPr>
        <w:t xml:space="preserve">SLIK, J. W. F.; RODRÍGUEZ, A. V.; AIBA, S. I.; ALVAREZ, L. P.; ALVES, L. F., ASHTON, P.; BERNACCI, L. An estimate of the number of tropical tree species. </w:t>
      </w:r>
      <w:r w:rsidRPr="0038413E">
        <w:rPr>
          <w:b/>
          <w:bCs/>
          <w:sz w:val="24"/>
          <w:szCs w:val="24"/>
          <w:lang w:val="en-US"/>
        </w:rPr>
        <w:t>Proceedings of the National Academy of Sciences</w:t>
      </w:r>
      <w:r w:rsidRPr="0038413E">
        <w:rPr>
          <w:sz w:val="24"/>
          <w:szCs w:val="24"/>
          <w:lang w:val="en-US"/>
        </w:rPr>
        <w:t xml:space="preserve">, Washington, v. 112, n. 24, p. 7472-7477, 2015. </w:t>
      </w:r>
      <w:r w:rsidRPr="00707751">
        <w:rPr>
          <w:sz w:val="24"/>
          <w:szCs w:val="24"/>
        </w:rPr>
        <w:t xml:space="preserve">DOI: </w:t>
      </w:r>
      <w:hyperlink r:id="rId20" w:history="1">
        <w:r w:rsidRPr="001E2AF3">
          <w:rPr>
            <w:rStyle w:val="Hyperlink"/>
            <w:sz w:val="24"/>
            <w:szCs w:val="24"/>
          </w:rPr>
          <w:t>https://doi.org/10.1073/pnas.1423147112</w:t>
        </w:r>
      </w:hyperlink>
      <w:r>
        <w:rPr>
          <w:sz w:val="24"/>
          <w:szCs w:val="24"/>
        </w:rPr>
        <w:t>.</w:t>
      </w:r>
    </w:p>
    <w:sectPr w:rsidR="00DB5854" w:rsidRPr="00125C54" w:rsidSect="005A1575">
      <w:headerReference w:type="default" r:id="rId21"/>
      <w:footerReference w:type="default" r:id="rId22"/>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1915" w14:textId="77777777" w:rsidR="00EA636E" w:rsidRDefault="00EA636E" w:rsidP="005A1575">
      <w:r>
        <w:separator/>
      </w:r>
    </w:p>
  </w:endnote>
  <w:endnote w:type="continuationSeparator" w:id="0">
    <w:p w14:paraId="72DB2B12" w14:textId="77777777" w:rsidR="00EA636E" w:rsidRDefault="00EA636E" w:rsidP="005A1575">
      <w:r>
        <w:continuationSeparator/>
      </w:r>
    </w:p>
  </w:endnote>
  <w:endnote w:type="continuationNotice" w:id="1">
    <w:p w14:paraId="56255775" w14:textId="77777777" w:rsidR="00EA636E" w:rsidRDefault="00EA6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B8D7" w14:textId="77777777" w:rsidR="00EA636E" w:rsidRDefault="00EA636E" w:rsidP="005A1575">
      <w:r>
        <w:separator/>
      </w:r>
    </w:p>
  </w:footnote>
  <w:footnote w:type="continuationSeparator" w:id="0">
    <w:p w14:paraId="4B84EB53" w14:textId="77777777" w:rsidR="00EA636E" w:rsidRDefault="00EA636E" w:rsidP="005A1575">
      <w:r>
        <w:continuationSeparator/>
      </w:r>
    </w:p>
  </w:footnote>
  <w:footnote w:type="continuationNotice" w:id="1">
    <w:p w14:paraId="77DFD540" w14:textId="77777777" w:rsidR="00EA636E" w:rsidRDefault="00EA6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50603437"/>
    <w:multiLevelType w:val="hybridMultilevel"/>
    <w:tmpl w:val="85465E8C"/>
    <w:lvl w:ilvl="0" w:tplc="34EE1644">
      <w:start w:val="1"/>
      <w:numFmt w:val="decimal"/>
      <w:lvlText w:val="%1."/>
      <w:lvlJc w:val="left"/>
      <w:pPr>
        <w:ind w:left="1060" w:hanging="360"/>
      </w:pPr>
      <w:rPr>
        <w:rFonts w:hint="default"/>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yMDQwMjAzNDQ2N7ZU0lEKTi0uzszPAykwrAUAJ8SVfCwAAAA="/>
  </w:docVars>
  <w:rsids>
    <w:rsidRoot w:val="00DB5854"/>
    <w:rsid w:val="000436E8"/>
    <w:rsid w:val="00044BD9"/>
    <w:rsid w:val="00050A98"/>
    <w:rsid w:val="0005122E"/>
    <w:rsid w:val="000567A3"/>
    <w:rsid w:val="000802C9"/>
    <w:rsid w:val="000A1B4B"/>
    <w:rsid w:val="000A6139"/>
    <w:rsid w:val="000B3F66"/>
    <w:rsid w:val="000B5ACE"/>
    <w:rsid w:val="000E6288"/>
    <w:rsid w:val="001015E7"/>
    <w:rsid w:val="00111646"/>
    <w:rsid w:val="00117B55"/>
    <w:rsid w:val="0012317F"/>
    <w:rsid w:val="001231B6"/>
    <w:rsid w:val="00125C54"/>
    <w:rsid w:val="00136484"/>
    <w:rsid w:val="00140E11"/>
    <w:rsid w:val="00141987"/>
    <w:rsid w:val="0016620B"/>
    <w:rsid w:val="00174BDE"/>
    <w:rsid w:val="00177FDF"/>
    <w:rsid w:val="00184693"/>
    <w:rsid w:val="001B6EAF"/>
    <w:rsid w:val="001C1EE3"/>
    <w:rsid w:val="001D2D55"/>
    <w:rsid w:val="001D4FA5"/>
    <w:rsid w:val="0022063B"/>
    <w:rsid w:val="0022478A"/>
    <w:rsid w:val="00230385"/>
    <w:rsid w:val="00241A71"/>
    <w:rsid w:val="002455C5"/>
    <w:rsid w:val="00253F65"/>
    <w:rsid w:val="002C289F"/>
    <w:rsid w:val="002D692E"/>
    <w:rsid w:val="002F3682"/>
    <w:rsid w:val="002F505A"/>
    <w:rsid w:val="002F545A"/>
    <w:rsid w:val="0030289C"/>
    <w:rsid w:val="00305B21"/>
    <w:rsid w:val="00313311"/>
    <w:rsid w:val="0031571D"/>
    <w:rsid w:val="00340B04"/>
    <w:rsid w:val="00345106"/>
    <w:rsid w:val="0038413E"/>
    <w:rsid w:val="003949CE"/>
    <w:rsid w:val="003974B5"/>
    <w:rsid w:val="003D304A"/>
    <w:rsid w:val="003D6F41"/>
    <w:rsid w:val="0040034C"/>
    <w:rsid w:val="00414D2E"/>
    <w:rsid w:val="00435B29"/>
    <w:rsid w:val="00442853"/>
    <w:rsid w:val="00450211"/>
    <w:rsid w:val="004825AA"/>
    <w:rsid w:val="004B3806"/>
    <w:rsid w:val="004E2661"/>
    <w:rsid w:val="004E409D"/>
    <w:rsid w:val="004E6A24"/>
    <w:rsid w:val="004F3C51"/>
    <w:rsid w:val="00524DD5"/>
    <w:rsid w:val="005543C1"/>
    <w:rsid w:val="005A1575"/>
    <w:rsid w:val="005A1E40"/>
    <w:rsid w:val="006223BA"/>
    <w:rsid w:val="00637B35"/>
    <w:rsid w:val="00645BA4"/>
    <w:rsid w:val="00664F1E"/>
    <w:rsid w:val="006705EC"/>
    <w:rsid w:val="0069650B"/>
    <w:rsid w:val="006D1488"/>
    <w:rsid w:val="007154A6"/>
    <w:rsid w:val="00716015"/>
    <w:rsid w:val="00740973"/>
    <w:rsid w:val="007701A8"/>
    <w:rsid w:val="007851FF"/>
    <w:rsid w:val="007A3840"/>
    <w:rsid w:val="007B00E2"/>
    <w:rsid w:val="007E4595"/>
    <w:rsid w:val="00836259"/>
    <w:rsid w:val="00853C44"/>
    <w:rsid w:val="00871F3A"/>
    <w:rsid w:val="00887B80"/>
    <w:rsid w:val="008A238B"/>
    <w:rsid w:val="008A6433"/>
    <w:rsid w:val="008C44A9"/>
    <w:rsid w:val="008D43A3"/>
    <w:rsid w:val="008E54EA"/>
    <w:rsid w:val="008F673E"/>
    <w:rsid w:val="00902AAF"/>
    <w:rsid w:val="009077CF"/>
    <w:rsid w:val="0095298E"/>
    <w:rsid w:val="00956C3E"/>
    <w:rsid w:val="009613E3"/>
    <w:rsid w:val="00962C69"/>
    <w:rsid w:val="00980004"/>
    <w:rsid w:val="00A00165"/>
    <w:rsid w:val="00A02594"/>
    <w:rsid w:val="00AB1CDF"/>
    <w:rsid w:val="00B30D17"/>
    <w:rsid w:val="00B712A9"/>
    <w:rsid w:val="00B759F2"/>
    <w:rsid w:val="00BE0BC5"/>
    <w:rsid w:val="00BE41CB"/>
    <w:rsid w:val="00BE5156"/>
    <w:rsid w:val="00BF07BF"/>
    <w:rsid w:val="00C21F1E"/>
    <w:rsid w:val="00C33F6D"/>
    <w:rsid w:val="00C57763"/>
    <w:rsid w:val="00C607CE"/>
    <w:rsid w:val="00C97B40"/>
    <w:rsid w:val="00CC0774"/>
    <w:rsid w:val="00CD60EE"/>
    <w:rsid w:val="00CE2B1C"/>
    <w:rsid w:val="00D536C4"/>
    <w:rsid w:val="00D75744"/>
    <w:rsid w:val="00DB5854"/>
    <w:rsid w:val="00DE04D3"/>
    <w:rsid w:val="00DE57A1"/>
    <w:rsid w:val="00DF4243"/>
    <w:rsid w:val="00E27862"/>
    <w:rsid w:val="00E27FBA"/>
    <w:rsid w:val="00E6430C"/>
    <w:rsid w:val="00E97925"/>
    <w:rsid w:val="00EA37F0"/>
    <w:rsid w:val="00EA636E"/>
    <w:rsid w:val="00F46632"/>
    <w:rsid w:val="00F6089D"/>
    <w:rsid w:val="00F76B6B"/>
    <w:rsid w:val="00F948A7"/>
    <w:rsid w:val="00FA1600"/>
    <w:rsid w:val="00FE424E"/>
    <w:rsid w:val="00FE56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8A238B"/>
    <w:rPr>
      <w:color w:val="0000FF" w:themeColor="hyperlink"/>
      <w:u w:val="single"/>
    </w:rPr>
  </w:style>
  <w:style w:type="character" w:styleId="MenoPendente">
    <w:name w:val="Unresolved Mention"/>
    <w:basedOn w:val="Fontepargpadro"/>
    <w:uiPriority w:val="99"/>
    <w:semiHidden/>
    <w:unhideWhenUsed/>
    <w:rsid w:val="008A238B"/>
    <w:rPr>
      <w:color w:val="605E5C"/>
      <w:shd w:val="clear" w:color="auto" w:fill="E1DFDD"/>
    </w:rPr>
  </w:style>
  <w:style w:type="paragraph" w:styleId="Legenda">
    <w:name w:val="caption"/>
    <w:basedOn w:val="Normal"/>
    <w:next w:val="Normal"/>
    <w:uiPriority w:val="35"/>
    <w:unhideWhenUsed/>
    <w:qFormat/>
    <w:rsid w:val="00435B29"/>
    <w:pPr>
      <w:widowControl/>
      <w:autoSpaceDE/>
      <w:autoSpaceDN/>
      <w:spacing w:after="200"/>
    </w:pPr>
    <w:rPr>
      <w:rFonts w:asciiTheme="minorHAnsi" w:eastAsiaTheme="minorHAnsi" w:hAnsiTheme="minorHAnsi" w:cstheme="minorBidi"/>
      <w:i/>
      <w:iCs/>
      <w:color w:val="1F497D" w:themeColor="text2"/>
      <w:sz w:val="18"/>
      <w:szCs w:val="18"/>
      <w:lang w:val="pt-BR"/>
    </w:rPr>
  </w:style>
  <w:style w:type="character" w:styleId="TextodoEspaoReservado">
    <w:name w:val="Placeholder Text"/>
    <w:basedOn w:val="Fontepargpadro"/>
    <w:uiPriority w:val="99"/>
    <w:semiHidden/>
    <w:rsid w:val="00CC0774"/>
    <w:rPr>
      <w:color w:val="808080"/>
    </w:rPr>
  </w:style>
  <w:style w:type="table" w:styleId="Tabelacomgrade">
    <w:name w:val="Table Grid"/>
    <w:basedOn w:val="Tabelanormal"/>
    <w:uiPriority w:val="59"/>
    <w:rsid w:val="00C97B40"/>
    <w:pPr>
      <w:widowControl/>
      <w:autoSpaceDE/>
      <w:autoSpaceDN/>
    </w:pPr>
    <w:rPr>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02C9"/>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0802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2818">
      <w:bodyDiv w:val="1"/>
      <w:marLeft w:val="0"/>
      <w:marRight w:val="0"/>
      <w:marTop w:val="0"/>
      <w:marBottom w:val="0"/>
      <w:divBdr>
        <w:top w:val="none" w:sz="0" w:space="0" w:color="auto"/>
        <w:left w:val="none" w:sz="0" w:space="0" w:color="auto"/>
        <w:bottom w:val="none" w:sz="0" w:space="0" w:color="auto"/>
        <w:right w:val="none" w:sz="0" w:space="0" w:color="auto"/>
      </w:divBdr>
    </w:div>
    <w:div w:id="559554738">
      <w:bodyDiv w:val="1"/>
      <w:marLeft w:val="0"/>
      <w:marRight w:val="0"/>
      <w:marTop w:val="0"/>
      <w:marBottom w:val="0"/>
      <w:divBdr>
        <w:top w:val="none" w:sz="0" w:space="0" w:color="auto"/>
        <w:left w:val="none" w:sz="0" w:space="0" w:color="auto"/>
        <w:bottom w:val="none" w:sz="0" w:space="0" w:color="auto"/>
        <w:right w:val="none" w:sz="0" w:space="0" w:color="auto"/>
      </w:divBdr>
    </w:div>
    <w:div w:id="906454315">
      <w:bodyDiv w:val="1"/>
      <w:marLeft w:val="0"/>
      <w:marRight w:val="0"/>
      <w:marTop w:val="0"/>
      <w:marBottom w:val="0"/>
      <w:divBdr>
        <w:top w:val="none" w:sz="0" w:space="0" w:color="auto"/>
        <w:left w:val="none" w:sz="0" w:space="0" w:color="auto"/>
        <w:bottom w:val="none" w:sz="0" w:space="0" w:color="auto"/>
        <w:right w:val="none" w:sz="0" w:space="0" w:color="auto"/>
      </w:divBdr>
    </w:div>
    <w:div w:id="1755514802">
      <w:bodyDiv w:val="1"/>
      <w:marLeft w:val="0"/>
      <w:marRight w:val="0"/>
      <w:marTop w:val="0"/>
      <w:marBottom w:val="0"/>
      <w:divBdr>
        <w:top w:val="none" w:sz="0" w:space="0" w:color="auto"/>
        <w:left w:val="none" w:sz="0" w:space="0" w:color="auto"/>
        <w:bottom w:val="none" w:sz="0" w:space="0" w:color="auto"/>
        <w:right w:val="none" w:sz="0" w:space="0" w:color="auto"/>
      </w:divBdr>
    </w:div>
    <w:div w:id="1801722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515/hf-2013-0092" TargetMode="External"/><Relationship Id="rId18" Type="http://schemas.openxmlformats.org/officeDocument/2006/relationships/hyperlink" Target="https://doi.org/10.1590/S0104-%207760201300030000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luidy.ferreira@aluno.uepa.br" TargetMode="External"/><Relationship Id="rId12" Type="http://schemas.openxmlformats.org/officeDocument/2006/relationships/hyperlink" Target="https://doi.org/10.1007/s00226-013-0515-8" TargetMode="External"/><Relationship Id="rId17" Type="http://schemas.openxmlformats.org/officeDocument/2006/relationships/hyperlink" Target="https://doi.org/10.1007/s00226-006-0082-9" TargetMode="External"/><Relationship Id="rId2" Type="http://schemas.openxmlformats.org/officeDocument/2006/relationships/styles" Target="styles.xml"/><Relationship Id="rId16" Type="http://schemas.openxmlformats.org/officeDocument/2006/relationships/hyperlink" Target="http://dx.doi.org/10.4067/S0718-221X2013005000012" TargetMode="External"/><Relationship Id="rId20" Type="http://schemas.openxmlformats.org/officeDocument/2006/relationships/hyperlink" Target="https://doi.org/10.1073/pnas.14231471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S0100-676220060003000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494/nzjfs542024x256x" TargetMode="External"/><Relationship Id="rId23" Type="http://schemas.openxmlformats.org/officeDocument/2006/relationships/fontTable" Target="fontTable.xml"/><Relationship Id="rId10" Type="http://schemas.openxmlformats.org/officeDocument/2006/relationships/hyperlink" Target="https://doi.org/10.1016/j.biortech.2008.03.069%5d(https://doi.org/10.1016/j.biortech.2008.03.069)" TargetMode="External"/><Relationship Id="rId19" Type="http://schemas.openxmlformats.org/officeDocument/2006/relationships/hyperlink" Target="http://dx.doi.org/10.15210/cmad.v6i1.5444" TargetMode="External"/><Relationship Id="rId4" Type="http://schemas.openxmlformats.org/officeDocument/2006/relationships/webSettings" Target="webSettings.xml"/><Relationship Id="rId9" Type="http://schemas.openxmlformats.org/officeDocument/2006/relationships/hyperlink" Target="https://doi.org/10.1016/j.biortech.2011.12.093" TargetMode="External"/><Relationship Id="rId14" Type="http://schemas.openxmlformats.org/officeDocument/2006/relationships/hyperlink" Target="https://doi.org/10.1016/j.matdes.2009.04.005"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3244</Words>
  <Characters>17521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Lísias Faria</dc:creator>
  <cp:lastModifiedBy>Aluno</cp:lastModifiedBy>
  <cp:revision>2</cp:revision>
  <dcterms:created xsi:type="dcterms:W3CDTF">2025-11-03T15:31:00Z</dcterms:created>
  <dcterms:modified xsi:type="dcterms:W3CDTF">2025-11-03T15:31:00Z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