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FC93E" w14:textId="77777777" w:rsidR="009F658E" w:rsidRPr="006D1C13" w:rsidRDefault="009F658E" w:rsidP="009F658E">
      <w:pPr>
        <w:rPr>
          <w:b/>
          <w:bCs/>
          <w:color w:val="FF0000"/>
          <w:sz w:val="28"/>
          <w:szCs w:val="28"/>
        </w:rPr>
      </w:pPr>
    </w:p>
    <w:p w14:paraId="12E587DB" w14:textId="77777777" w:rsidR="00487CF1" w:rsidRPr="006D1C13" w:rsidRDefault="00487CF1" w:rsidP="00487CF1">
      <w:pPr>
        <w:jc w:val="center"/>
        <w:rPr>
          <w:b/>
          <w:bCs/>
          <w:color w:val="000000" w:themeColor="text1"/>
          <w:sz w:val="28"/>
          <w:szCs w:val="28"/>
        </w:rPr>
      </w:pPr>
      <w:r w:rsidRPr="006D1C13">
        <w:rPr>
          <w:b/>
          <w:bCs/>
          <w:color w:val="000000" w:themeColor="text1"/>
          <w:sz w:val="28"/>
          <w:szCs w:val="28"/>
        </w:rPr>
        <w:t>Bacterial inoculation modulates auxin and nitrogen-related gene expression in maize</w:t>
      </w:r>
    </w:p>
    <w:p w14:paraId="35603D3A" w14:textId="77777777" w:rsidR="000F16BF" w:rsidRPr="006D1C13" w:rsidRDefault="000F16BF">
      <w:pPr>
        <w:jc w:val="center"/>
      </w:pPr>
    </w:p>
    <w:p w14:paraId="31530F9B" w14:textId="6282DA17" w:rsidR="00FE2C9E" w:rsidRPr="006D1C13" w:rsidRDefault="00FE2C9E" w:rsidP="00FE2C9E">
      <w:pPr>
        <w:jc w:val="center"/>
        <w:rPr>
          <w:b/>
          <w:bCs/>
          <w:sz w:val="22"/>
          <w:szCs w:val="22"/>
          <w:vertAlign w:val="superscript"/>
        </w:rPr>
      </w:pPr>
      <w:r w:rsidRPr="006D1C13">
        <w:rPr>
          <w:b/>
          <w:bCs/>
          <w:sz w:val="22"/>
          <w:szCs w:val="22"/>
          <w:u w:val="single"/>
        </w:rPr>
        <w:t>Samuel Felipe Azevedo Galvão</w:t>
      </w:r>
      <w:r w:rsidRPr="006D1C13">
        <w:rPr>
          <w:b/>
          <w:bCs/>
          <w:sz w:val="22"/>
          <w:szCs w:val="22"/>
          <w:u w:val="single"/>
          <w:vertAlign w:val="superscript"/>
        </w:rPr>
        <w:t>1</w:t>
      </w:r>
      <w:r w:rsidR="00855E74" w:rsidRPr="006D1C13">
        <w:rPr>
          <w:b/>
          <w:bCs/>
          <w:sz w:val="22"/>
          <w:szCs w:val="22"/>
          <w:u w:val="single"/>
          <w:vertAlign w:val="superscript"/>
        </w:rPr>
        <w:t>*</w:t>
      </w:r>
      <w:r w:rsidRPr="006D1C13">
        <w:rPr>
          <w:b/>
          <w:bCs/>
          <w:sz w:val="22"/>
          <w:szCs w:val="22"/>
        </w:rPr>
        <w:t xml:space="preserve">, </w:t>
      </w:r>
      <w:proofErr w:type="spellStart"/>
      <w:r w:rsidRPr="006D1C13">
        <w:rPr>
          <w:b/>
          <w:bCs/>
          <w:sz w:val="22"/>
          <w:szCs w:val="22"/>
        </w:rPr>
        <w:t>Ubiraci</w:t>
      </w:r>
      <w:proofErr w:type="spellEnd"/>
      <w:r w:rsidRPr="006D1C13">
        <w:rPr>
          <w:b/>
          <w:bCs/>
          <w:sz w:val="22"/>
          <w:szCs w:val="22"/>
        </w:rPr>
        <w:t xml:space="preserve"> Gomes de Paula Lana</w:t>
      </w:r>
      <w:r w:rsidRPr="006D1C13">
        <w:rPr>
          <w:b/>
          <w:bCs/>
          <w:sz w:val="22"/>
          <w:szCs w:val="22"/>
          <w:vertAlign w:val="superscript"/>
        </w:rPr>
        <w:t>2</w:t>
      </w:r>
      <w:r w:rsidRPr="006D1C13">
        <w:rPr>
          <w:b/>
          <w:bCs/>
          <w:sz w:val="22"/>
          <w:szCs w:val="22"/>
        </w:rPr>
        <w:t xml:space="preserve">, </w:t>
      </w:r>
      <w:r w:rsidR="008E1AC1" w:rsidRPr="006D1C13">
        <w:rPr>
          <w:b/>
          <w:bCs/>
          <w:sz w:val="22"/>
          <w:szCs w:val="22"/>
        </w:rPr>
        <w:t xml:space="preserve">Vitória </w:t>
      </w:r>
      <w:r w:rsidRPr="006D1C13">
        <w:rPr>
          <w:b/>
          <w:bCs/>
          <w:sz w:val="22"/>
          <w:szCs w:val="22"/>
        </w:rPr>
        <w:t>Palhares Ribeiro</w:t>
      </w:r>
      <w:r w:rsidRPr="006D1C13">
        <w:rPr>
          <w:b/>
          <w:bCs/>
          <w:sz w:val="22"/>
          <w:szCs w:val="22"/>
          <w:vertAlign w:val="superscript"/>
        </w:rPr>
        <w:t>3</w:t>
      </w:r>
      <w:r w:rsidRPr="006D1C13">
        <w:rPr>
          <w:b/>
          <w:bCs/>
          <w:sz w:val="22"/>
          <w:szCs w:val="22"/>
        </w:rPr>
        <w:t xml:space="preserve">, Christiane Abreu </w:t>
      </w:r>
      <w:r w:rsidR="008E1AC1" w:rsidRPr="006D1C13">
        <w:rPr>
          <w:b/>
          <w:bCs/>
          <w:sz w:val="22"/>
          <w:szCs w:val="22"/>
        </w:rPr>
        <w:t xml:space="preserve">de </w:t>
      </w:r>
      <w:r w:rsidRPr="006D1C13">
        <w:rPr>
          <w:b/>
          <w:bCs/>
          <w:sz w:val="22"/>
          <w:szCs w:val="22"/>
        </w:rPr>
        <w:t>Oliveira Paiva</w:t>
      </w:r>
      <w:r w:rsidRPr="006D1C13">
        <w:rPr>
          <w:b/>
          <w:bCs/>
          <w:sz w:val="22"/>
          <w:szCs w:val="22"/>
          <w:vertAlign w:val="superscript"/>
        </w:rPr>
        <w:t>4</w:t>
      </w:r>
      <w:r w:rsidRPr="006D1C13">
        <w:rPr>
          <w:b/>
          <w:bCs/>
          <w:sz w:val="22"/>
          <w:szCs w:val="22"/>
        </w:rPr>
        <w:t>, Sylvia Morais de Sousa Tinoco</w:t>
      </w:r>
      <w:r w:rsidRPr="006D1C13">
        <w:rPr>
          <w:b/>
          <w:bCs/>
          <w:sz w:val="22"/>
          <w:szCs w:val="22"/>
          <w:vertAlign w:val="superscript"/>
        </w:rPr>
        <w:t xml:space="preserve">1,2   </w:t>
      </w:r>
    </w:p>
    <w:p w14:paraId="5A8A8C2B" w14:textId="77777777" w:rsidR="00FE2C9E" w:rsidRPr="006D1C13" w:rsidRDefault="00FE2C9E" w:rsidP="00FE2C9E">
      <w:pPr>
        <w:jc w:val="center"/>
        <w:rPr>
          <w:sz w:val="20"/>
          <w:szCs w:val="20"/>
          <w:vertAlign w:val="superscript"/>
        </w:rPr>
      </w:pPr>
    </w:p>
    <w:p w14:paraId="1D9BFD5F" w14:textId="3432D34A" w:rsidR="000F16BF" w:rsidRPr="006D1C13" w:rsidRDefault="00FE2C9E">
      <w:pPr>
        <w:jc w:val="center"/>
        <w:rPr>
          <w:i/>
          <w:iCs/>
          <w:color w:val="C00000"/>
          <w:sz w:val="18"/>
          <w:szCs w:val="18"/>
        </w:rPr>
      </w:pPr>
      <w:r w:rsidRPr="006D1C13">
        <w:rPr>
          <w:i/>
          <w:iCs/>
          <w:sz w:val="18"/>
          <w:szCs w:val="18"/>
        </w:rPr>
        <w:t>¹Universidade Federal de São João del-Rei, S</w:t>
      </w:r>
      <w:r w:rsidR="00D91DA4" w:rsidRPr="006D1C13">
        <w:rPr>
          <w:i/>
          <w:iCs/>
          <w:sz w:val="18"/>
          <w:szCs w:val="18"/>
        </w:rPr>
        <w:t>ão João del-Rei</w:t>
      </w:r>
      <w:r w:rsidRPr="006D1C13">
        <w:rPr>
          <w:i/>
          <w:iCs/>
          <w:sz w:val="18"/>
          <w:szCs w:val="18"/>
        </w:rPr>
        <w:t>-MG</w:t>
      </w:r>
      <w:r w:rsidRPr="006D1C13">
        <w:rPr>
          <w:i/>
          <w:iCs/>
          <w:color w:val="C00000"/>
          <w:sz w:val="18"/>
          <w:szCs w:val="18"/>
        </w:rPr>
        <w:t xml:space="preserve"> </w:t>
      </w:r>
    </w:p>
    <w:p w14:paraId="0453DACA" w14:textId="4DD32706" w:rsidR="000F16BF" w:rsidRPr="006D1C13" w:rsidRDefault="00157601" w:rsidP="00FE2C9E">
      <w:pPr>
        <w:jc w:val="center"/>
        <w:rPr>
          <w:i/>
          <w:iCs/>
          <w:sz w:val="18"/>
          <w:szCs w:val="18"/>
        </w:rPr>
      </w:pPr>
      <w:r w:rsidRPr="006D1C13">
        <w:rPr>
          <w:b/>
          <w:bCs/>
          <w:i/>
          <w:iCs/>
          <w:sz w:val="18"/>
          <w:szCs w:val="18"/>
          <w:vertAlign w:val="superscript"/>
        </w:rPr>
        <w:t>2</w:t>
      </w:r>
      <w:r w:rsidR="00FE2C9E" w:rsidRPr="006D1C13">
        <w:rPr>
          <w:i/>
          <w:iCs/>
          <w:sz w:val="18"/>
          <w:szCs w:val="18"/>
        </w:rPr>
        <w:t xml:space="preserve">Embrapa </w:t>
      </w:r>
      <w:proofErr w:type="spellStart"/>
      <w:r w:rsidR="00FE2C9E" w:rsidRPr="006D1C13">
        <w:rPr>
          <w:i/>
          <w:iCs/>
          <w:sz w:val="18"/>
          <w:szCs w:val="18"/>
        </w:rPr>
        <w:t>Milho</w:t>
      </w:r>
      <w:proofErr w:type="spellEnd"/>
      <w:r w:rsidR="00FE2C9E" w:rsidRPr="006D1C13">
        <w:rPr>
          <w:i/>
          <w:iCs/>
          <w:sz w:val="18"/>
          <w:szCs w:val="18"/>
        </w:rPr>
        <w:t xml:space="preserve"> e Sorgo, Sete Lagoas-MG</w:t>
      </w:r>
    </w:p>
    <w:p w14:paraId="0314C469" w14:textId="41C69724" w:rsidR="00E97700" w:rsidRPr="006D1C13" w:rsidRDefault="00E97700" w:rsidP="00FE2C9E">
      <w:pPr>
        <w:jc w:val="center"/>
        <w:rPr>
          <w:i/>
          <w:iCs/>
          <w:sz w:val="18"/>
          <w:szCs w:val="18"/>
        </w:rPr>
      </w:pPr>
      <w:r w:rsidRPr="006D1C13">
        <w:rPr>
          <w:i/>
          <w:iCs/>
          <w:sz w:val="18"/>
          <w:szCs w:val="18"/>
          <w:vertAlign w:val="superscript"/>
        </w:rPr>
        <w:t>3</w:t>
      </w:r>
      <w:r w:rsidRPr="006D1C13">
        <w:rPr>
          <w:i/>
          <w:iCs/>
          <w:sz w:val="18"/>
          <w:szCs w:val="18"/>
        </w:rPr>
        <w:t xml:space="preserve">Embrapa </w:t>
      </w:r>
      <w:proofErr w:type="spellStart"/>
      <w:r w:rsidRPr="006D1C13">
        <w:rPr>
          <w:i/>
          <w:iCs/>
          <w:sz w:val="18"/>
          <w:szCs w:val="18"/>
        </w:rPr>
        <w:t>Milho</w:t>
      </w:r>
      <w:proofErr w:type="spellEnd"/>
      <w:r w:rsidRPr="006D1C13">
        <w:rPr>
          <w:i/>
          <w:iCs/>
          <w:sz w:val="18"/>
          <w:szCs w:val="18"/>
        </w:rPr>
        <w:t xml:space="preserve"> e Sorgo, Sete Lagoas-MG</w:t>
      </w:r>
    </w:p>
    <w:p w14:paraId="2DB6C496" w14:textId="7AA11C29" w:rsidR="00E97700" w:rsidRPr="006D1C13" w:rsidRDefault="00E97700" w:rsidP="00FE2C9E">
      <w:pPr>
        <w:jc w:val="center"/>
        <w:rPr>
          <w:i/>
          <w:iCs/>
          <w:sz w:val="18"/>
          <w:szCs w:val="18"/>
        </w:rPr>
      </w:pPr>
      <w:r w:rsidRPr="006D1C13">
        <w:rPr>
          <w:i/>
          <w:iCs/>
          <w:sz w:val="18"/>
          <w:szCs w:val="18"/>
          <w:vertAlign w:val="superscript"/>
        </w:rPr>
        <w:t>4</w:t>
      </w:r>
      <w:r w:rsidRPr="006D1C13">
        <w:rPr>
          <w:i/>
          <w:iCs/>
          <w:sz w:val="18"/>
          <w:szCs w:val="18"/>
        </w:rPr>
        <w:t xml:space="preserve">Embrapa </w:t>
      </w:r>
      <w:proofErr w:type="spellStart"/>
      <w:r w:rsidRPr="006D1C13">
        <w:rPr>
          <w:i/>
          <w:iCs/>
          <w:sz w:val="18"/>
          <w:szCs w:val="18"/>
        </w:rPr>
        <w:t>Milho</w:t>
      </w:r>
      <w:proofErr w:type="spellEnd"/>
      <w:r w:rsidRPr="006D1C13">
        <w:rPr>
          <w:i/>
          <w:iCs/>
          <w:sz w:val="18"/>
          <w:szCs w:val="18"/>
        </w:rPr>
        <w:t xml:space="preserve"> e Sorgo, Sete Lagoas-MG</w:t>
      </w:r>
    </w:p>
    <w:p w14:paraId="5A4A711A" w14:textId="45D4AD4C" w:rsidR="000F16BF" w:rsidRPr="006D1C13" w:rsidRDefault="00372613" w:rsidP="003968CC">
      <w:pPr>
        <w:jc w:val="center"/>
        <w:rPr>
          <w:i/>
          <w:iCs/>
          <w:sz w:val="18"/>
          <w:szCs w:val="18"/>
        </w:rPr>
      </w:pPr>
      <w:r w:rsidRPr="006D1C13">
        <w:rPr>
          <w:i/>
          <w:iCs/>
          <w:sz w:val="18"/>
          <w:szCs w:val="18"/>
        </w:rPr>
        <w:t>*</w:t>
      </w:r>
      <w:r w:rsidR="00E97700" w:rsidRPr="006D1C13">
        <w:rPr>
          <w:i/>
          <w:iCs/>
          <w:color w:val="000000"/>
          <w:sz w:val="18"/>
          <w:szCs w:val="18"/>
          <w:bdr w:val="none" w:sz="0" w:space="0" w:color="auto" w:frame="1"/>
        </w:rPr>
        <w:t>Contact of the correspondent author</w:t>
      </w:r>
      <w:r w:rsidR="00C3798C" w:rsidRPr="006D1C13">
        <w:rPr>
          <w:i/>
          <w:iCs/>
          <w:sz w:val="18"/>
          <w:szCs w:val="18"/>
        </w:rPr>
        <w:t xml:space="preserve">: </w:t>
      </w:r>
      <w:r w:rsidR="00FE2C9E" w:rsidRPr="006D1C13">
        <w:rPr>
          <w:i/>
          <w:iCs/>
          <w:sz w:val="18"/>
          <w:szCs w:val="18"/>
        </w:rPr>
        <w:t>samuelgalvao96@hotmail.com</w:t>
      </w:r>
      <w:r w:rsidRPr="006D1C13">
        <w:rPr>
          <w:i/>
          <w:iCs/>
          <w:sz w:val="18"/>
          <w:szCs w:val="18"/>
        </w:rPr>
        <w:t xml:space="preserve"> </w:t>
      </w:r>
    </w:p>
    <w:p w14:paraId="7824BAA2" w14:textId="77777777" w:rsidR="003968CC" w:rsidRPr="006D1C13" w:rsidRDefault="003968CC" w:rsidP="003968CC">
      <w:pPr>
        <w:jc w:val="center"/>
      </w:pPr>
    </w:p>
    <w:p w14:paraId="3FD97CA9" w14:textId="58E109BB" w:rsidR="00487CF1" w:rsidRPr="006D1C13" w:rsidRDefault="00487CF1" w:rsidP="00487CF1">
      <w:r w:rsidRPr="006D1C13">
        <w:t xml:space="preserve">Understanding how plant growth-promoting bacteria (PGPB) regulate plant molecular responses is key to optimizing their use in sustainable agriculture. This study investigated the transcriptional modulation of maize growth-related pathways following inoculation with two PGPB strains, </w:t>
      </w:r>
      <w:r w:rsidRPr="006D1C13">
        <w:rPr>
          <w:i/>
          <w:iCs/>
        </w:rPr>
        <w:t>Priestia megaterium</w:t>
      </w:r>
      <w:r w:rsidRPr="006D1C13">
        <w:t xml:space="preserve"> (B119) and </w:t>
      </w:r>
      <w:r w:rsidRPr="006D1C13">
        <w:rPr>
          <w:i/>
          <w:iCs/>
        </w:rPr>
        <w:t>Bacillus subtilis</w:t>
      </w:r>
      <w:r w:rsidRPr="006D1C13">
        <w:t xml:space="preserve"> (B2084), applied individually or in consortium. Maize plants were grown under hydroponic conditions and sampled at 7, 10, 14, 17, and 21 days after inoculation. The expression of genes associated with auxin signaling (</w:t>
      </w:r>
      <w:r w:rsidRPr="00D62E6B">
        <w:rPr>
          <w:i/>
          <w:iCs/>
        </w:rPr>
        <w:t>ARF3, ARF8</w:t>
      </w:r>
      <w:r w:rsidRPr="006D1C13">
        <w:t>), auxin transport (</w:t>
      </w:r>
      <w:r w:rsidRPr="00D62E6B">
        <w:rPr>
          <w:i/>
          <w:iCs/>
        </w:rPr>
        <w:t>LAX1, LAX2, LAX3</w:t>
      </w:r>
      <w:r w:rsidRPr="006D1C13">
        <w:t xml:space="preserve">), </w:t>
      </w:r>
      <w:r w:rsidR="006D1C13" w:rsidRPr="006D1C13">
        <w:t>nitrogen uptake (</w:t>
      </w:r>
      <w:r w:rsidR="006D1C13" w:rsidRPr="00D62E6B">
        <w:rPr>
          <w:i/>
          <w:iCs/>
        </w:rPr>
        <w:t>NRT2</w:t>
      </w:r>
      <w:r w:rsidR="006D1C13" w:rsidRPr="006D1C13">
        <w:t>)</w:t>
      </w:r>
      <w:r w:rsidR="006D1C13">
        <w:t>, and transcription factor associated with plant growth and stress resistance (</w:t>
      </w:r>
      <w:r w:rsidR="006D1C13" w:rsidRPr="00D62E6B">
        <w:rPr>
          <w:i/>
          <w:iCs/>
        </w:rPr>
        <w:t>NAC1</w:t>
      </w:r>
      <w:r w:rsidR="006D1C13">
        <w:t>)</w:t>
      </w:r>
      <w:r w:rsidRPr="006D1C13">
        <w:t xml:space="preserve"> was quantified by </w:t>
      </w:r>
      <w:r w:rsidR="006D1C13">
        <w:t>quantitative real-time PCR (</w:t>
      </w:r>
      <w:r w:rsidRPr="006D1C13">
        <w:t>qPCR</w:t>
      </w:r>
      <w:r w:rsidR="006D1C13">
        <w:t>)</w:t>
      </w:r>
      <w:r w:rsidRPr="006D1C13">
        <w:t>.</w:t>
      </w:r>
      <w:r w:rsidR="006D1C13">
        <w:t xml:space="preserve"> </w:t>
      </w:r>
      <w:r w:rsidRPr="006D1C13">
        <w:t xml:space="preserve">Bacterial inoculation significantly modulated gene expression in a time- and treatment-dependent manner. The consortium enhanced early auxin signaling, with peak </w:t>
      </w:r>
      <w:r w:rsidRPr="00D62E6B">
        <w:rPr>
          <w:i/>
          <w:iCs/>
        </w:rPr>
        <w:t>ARF3</w:t>
      </w:r>
      <w:r w:rsidRPr="006D1C13">
        <w:t xml:space="preserve"> expression at 10 days, while </w:t>
      </w:r>
      <w:r w:rsidRPr="00D62E6B">
        <w:rPr>
          <w:i/>
          <w:iCs/>
        </w:rPr>
        <w:t>ARF8</w:t>
      </w:r>
      <w:r w:rsidRPr="006D1C13">
        <w:t xml:space="preserve"> expression increased under </w:t>
      </w:r>
      <w:r w:rsidRPr="006D1C13">
        <w:rPr>
          <w:i/>
          <w:iCs/>
        </w:rPr>
        <w:t>B. subtilis</w:t>
      </w:r>
      <w:r w:rsidRPr="006D1C13">
        <w:t xml:space="preserve"> and the consortium at later stages. Auxin transport genes (</w:t>
      </w:r>
      <w:r w:rsidRPr="00D62E6B">
        <w:rPr>
          <w:i/>
          <w:iCs/>
        </w:rPr>
        <w:t>LAX1</w:t>
      </w:r>
      <w:r w:rsidRPr="006D1C13">
        <w:t xml:space="preserve"> and </w:t>
      </w:r>
      <w:r w:rsidRPr="00D62E6B">
        <w:rPr>
          <w:i/>
          <w:iCs/>
        </w:rPr>
        <w:t>LAX2</w:t>
      </w:r>
      <w:r w:rsidRPr="006D1C13">
        <w:t xml:space="preserve">) were upregulated under co-inoculation, whereas </w:t>
      </w:r>
      <w:r w:rsidRPr="00D62E6B">
        <w:rPr>
          <w:i/>
          <w:iCs/>
        </w:rPr>
        <w:t>LAX3</w:t>
      </w:r>
      <w:r w:rsidRPr="006D1C13">
        <w:t xml:space="preserve"> showed a progressive increase under </w:t>
      </w:r>
      <w:r w:rsidRPr="006D1C13">
        <w:rPr>
          <w:i/>
          <w:iCs/>
        </w:rPr>
        <w:t>P. megaterium</w:t>
      </w:r>
      <w:r w:rsidRPr="006D1C13">
        <w:t xml:space="preserve">. </w:t>
      </w:r>
      <w:r w:rsidRPr="00D62E6B">
        <w:rPr>
          <w:i/>
          <w:iCs/>
        </w:rPr>
        <w:t>NAC1</w:t>
      </w:r>
      <w:r w:rsidRPr="006D1C13">
        <w:t xml:space="preserve"> expression, associated </w:t>
      </w:r>
      <w:r w:rsidR="006D1C13">
        <w:t xml:space="preserve">with plant growth and </w:t>
      </w:r>
      <w:r w:rsidR="006D1C13" w:rsidRPr="006D1C13">
        <w:t>stress resistance</w:t>
      </w:r>
      <w:r w:rsidRPr="006D1C13">
        <w:t xml:space="preserve">, was strongly induced at later stages, particularly under combined inoculation. The nitrogen transporter gene </w:t>
      </w:r>
      <w:r w:rsidRPr="00D62E6B">
        <w:rPr>
          <w:i/>
          <w:iCs/>
        </w:rPr>
        <w:t>NRT2</w:t>
      </w:r>
      <w:r w:rsidRPr="006D1C13">
        <w:t xml:space="preserve"> showed early and late induction under </w:t>
      </w:r>
      <w:r w:rsidRPr="006D1C13">
        <w:rPr>
          <w:i/>
          <w:iCs/>
        </w:rPr>
        <w:t>P. megaterium</w:t>
      </w:r>
      <w:r w:rsidRPr="006D1C13">
        <w:t xml:space="preserve">, indicating enhanced nitrogen acquisition. Importantly, these transcriptional responses were directly associated with phenotypic outcomes, as inoculated plants exhibited enhanced root </w:t>
      </w:r>
      <w:r w:rsidR="006642B4" w:rsidRPr="006D1C13">
        <w:t>systems</w:t>
      </w:r>
      <w:r w:rsidRPr="006D1C13">
        <w:t>, including increased root growth and development.</w:t>
      </w:r>
      <w:r w:rsidR="006642B4" w:rsidRPr="006D1C13">
        <w:t xml:space="preserve"> </w:t>
      </w:r>
      <w:r w:rsidRPr="006D1C13">
        <w:t xml:space="preserve">Overall, the results demonstrate that PGPB inoculation orchestrates key growth-related pathways in maize, particularly auxin signaling and nitrogen uptake, highlighting the synergistic effects of bacterial consortia. These findings provide mechanistic evidence linking microbial inoculation to improved root </w:t>
      </w:r>
      <w:r w:rsidR="006642B4" w:rsidRPr="006D1C13">
        <w:t>growth</w:t>
      </w:r>
      <w:r w:rsidRPr="006D1C13">
        <w:t xml:space="preserve"> and support the use of PGPB to enhance crop performance and resource-use efficiency.</w:t>
      </w:r>
    </w:p>
    <w:p w14:paraId="56766C67" w14:textId="77777777" w:rsidR="00C3798C" w:rsidRPr="006D1C13" w:rsidRDefault="00C3798C" w:rsidP="00C3798C">
      <w:pPr>
        <w:tabs>
          <w:tab w:val="left" w:pos="7567"/>
        </w:tabs>
        <w:rPr>
          <w:color w:val="FF0000"/>
        </w:rPr>
      </w:pPr>
    </w:p>
    <w:p w14:paraId="044BAACB" w14:textId="77777777" w:rsidR="000F16BF" w:rsidRPr="006D1C13" w:rsidRDefault="000F16BF">
      <w:pPr>
        <w:rPr>
          <w:sz w:val="22"/>
          <w:szCs w:val="22"/>
        </w:rPr>
      </w:pPr>
    </w:p>
    <w:p w14:paraId="65E3DF7F" w14:textId="00780E43" w:rsidR="000F16BF" w:rsidRPr="006D1C13" w:rsidRDefault="00372613">
      <w:pPr>
        <w:tabs>
          <w:tab w:val="left" w:pos="8300"/>
        </w:tabs>
        <w:rPr>
          <w:sz w:val="22"/>
          <w:szCs w:val="22"/>
        </w:rPr>
        <w:sectPr w:rsidR="000F16BF" w:rsidRPr="006D1C13">
          <w:headerReference w:type="even" r:id="rId7"/>
          <w:headerReference w:type="first" r:id="rId8"/>
          <w:pgSz w:w="11906" w:h="16838"/>
          <w:pgMar w:top="1418" w:right="1701" w:bottom="1418" w:left="1701" w:header="0" w:footer="1134" w:gutter="0"/>
          <w:pgNumType w:start="1"/>
          <w:cols w:space="720"/>
          <w:titlePg/>
        </w:sectPr>
      </w:pPr>
      <w:r w:rsidRPr="006D1C13">
        <w:rPr>
          <w:b/>
          <w:bCs/>
          <w:smallCaps/>
          <w:sz w:val="22"/>
          <w:szCs w:val="22"/>
        </w:rPr>
        <w:t>KEYWORDS</w:t>
      </w:r>
      <w:r w:rsidRPr="006D1C13">
        <w:rPr>
          <w:sz w:val="22"/>
          <w:szCs w:val="22"/>
        </w:rPr>
        <w:t xml:space="preserve">: </w:t>
      </w:r>
      <w:r w:rsidR="006D1C13" w:rsidRPr="006D1C13">
        <w:rPr>
          <w:sz w:val="22"/>
          <w:szCs w:val="22"/>
        </w:rPr>
        <w:t xml:space="preserve">microbial consortia; </w:t>
      </w:r>
      <w:r w:rsidR="00487CF1" w:rsidRPr="006D1C13">
        <w:rPr>
          <w:sz w:val="22"/>
          <w:szCs w:val="22"/>
        </w:rPr>
        <w:t xml:space="preserve">Plant growth-promoting bacteria; </w:t>
      </w:r>
      <w:r w:rsidR="006D1C13" w:rsidRPr="006D1C13">
        <w:rPr>
          <w:sz w:val="22"/>
          <w:szCs w:val="22"/>
        </w:rPr>
        <w:t>plant–microbe interactions; qPCR;</w:t>
      </w:r>
      <w:r w:rsidR="006D1C13">
        <w:rPr>
          <w:sz w:val="22"/>
          <w:szCs w:val="22"/>
        </w:rPr>
        <w:t xml:space="preserve"> </w:t>
      </w:r>
      <w:r w:rsidR="00487CF1" w:rsidRPr="006D1C13">
        <w:rPr>
          <w:sz w:val="22"/>
          <w:szCs w:val="22"/>
        </w:rPr>
        <w:t xml:space="preserve">root system morphology; sustainable agriculture. </w:t>
      </w:r>
    </w:p>
    <w:p w14:paraId="7201FC5A" w14:textId="77777777" w:rsidR="000F16BF" w:rsidRPr="006D1C13" w:rsidRDefault="000F16BF">
      <w:pPr>
        <w:jc w:val="center"/>
      </w:pPr>
    </w:p>
    <w:p w14:paraId="513AF424" w14:textId="6D837B75" w:rsidR="000F16BF" w:rsidRPr="006D1C13" w:rsidRDefault="000F16BF">
      <w:pPr>
        <w:jc w:val="center"/>
      </w:pPr>
    </w:p>
    <w:p w14:paraId="022F837E" w14:textId="47738D36" w:rsidR="000F16BF" w:rsidRPr="00855E74" w:rsidRDefault="00E97700" w:rsidP="00E97700">
      <w:pPr>
        <w:rPr>
          <w:sz w:val="22"/>
          <w:szCs w:val="22"/>
        </w:rPr>
      </w:pPr>
      <w:r w:rsidRPr="006D1C13">
        <w:rPr>
          <w:b/>
          <w:bCs/>
          <w:smallCaps/>
          <w:sz w:val="22"/>
          <w:szCs w:val="22"/>
        </w:rPr>
        <w:t xml:space="preserve">            FUNDING: </w:t>
      </w:r>
      <w:r w:rsidR="00D91DA4" w:rsidRPr="006D1C13">
        <w:rPr>
          <w:b/>
          <w:bCs/>
          <w:smallCaps/>
          <w:sz w:val="22"/>
          <w:szCs w:val="22"/>
        </w:rPr>
        <w:t xml:space="preserve"> </w:t>
      </w:r>
      <w:r w:rsidR="00194362" w:rsidRPr="006D1C13">
        <w:rPr>
          <w:color w:val="000000" w:themeColor="text1"/>
          <w:sz w:val="22"/>
          <w:szCs w:val="22"/>
        </w:rPr>
        <w:t>Embrapa,</w:t>
      </w:r>
      <w:r w:rsidR="00194362">
        <w:rPr>
          <w:color w:val="000000" w:themeColor="text1"/>
          <w:sz w:val="22"/>
          <w:szCs w:val="22"/>
        </w:rPr>
        <w:t xml:space="preserve"> </w:t>
      </w:r>
      <w:proofErr w:type="spellStart"/>
      <w:r w:rsidR="00D91DA4" w:rsidRPr="006D1C13">
        <w:rPr>
          <w:color w:val="000000" w:themeColor="text1"/>
          <w:sz w:val="22"/>
          <w:szCs w:val="22"/>
        </w:rPr>
        <w:t>Fapemig</w:t>
      </w:r>
      <w:proofErr w:type="spellEnd"/>
      <w:r w:rsidR="00D91DA4" w:rsidRPr="006D1C13">
        <w:rPr>
          <w:color w:val="000000" w:themeColor="text1"/>
          <w:sz w:val="22"/>
          <w:szCs w:val="22"/>
        </w:rPr>
        <w:t xml:space="preserve">, Capes, </w:t>
      </w:r>
      <w:r w:rsidR="00D91DA4" w:rsidRPr="006D1C13">
        <w:rPr>
          <w:sz w:val="22"/>
          <w:szCs w:val="22"/>
        </w:rPr>
        <w:t>INCT-</w:t>
      </w:r>
      <w:proofErr w:type="spellStart"/>
      <w:r w:rsidR="00D91DA4" w:rsidRPr="006D1C13">
        <w:rPr>
          <w:sz w:val="22"/>
          <w:szCs w:val="22"/>
        </w:rPr>
        <w:t>CNPq</w:t>
      </w:r>
      <w:proofErr w:type="spellEnd"/>
      <w:r w:rsidR="00D91DA4" w:rsidRPr="006D1C13">
        <w:rPr>
          <w:sz w:val="22"/>
          <w:szCs w:val="22"/>
        </w:rPr>
        <w:t>, Fine</w:t>
      </w:r>
      <w:r w:rsidRPr="006D1C13">
        <w:rPr>
          <w:sz w:val="22"/>
          <w:szCs w:val="22"/>
        </w:rPr>
        <w:t>p</w:t>
      </w:r>
      <w:r w:rsidR="00194362">
        <w:rPr>
          <w:sz w:val="22"/>
          <w:szCs w:val="22"/>
        </w:rPr>
        <w:t>.</w:t>
      </w:r>
    </w:p>
    <w:sectPr w:rsidR="000F16BF" w:rsidRPr="00855E74">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0F688" w14:textId="77777777" w:rsidR="00967844" w:rsidRPr="006D1C13" w:rsidRDefault="00967844">
      <w:r w:rsidRPr="006D1C13">
        <w:separator/>
      </w:r>
    </w:p>
  </w:endnote>
  <w:endnote w:type="continuationSeparator" w:id="0">
    <w:p w14:paraId="35598CD8" w14:textId="77777777" w:rsidR="00967844" w:rsidRPr="006D1C13" w:rsidRDefault="00967844">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2D62C7F-38E7-4491-8B47-34F1B6EB84EC}"/>
  </w:font>
  <w:font w:name="Georgia">
    <w:panose1 w:val="02040502050405020303"/>
    <w:charset w:val="00"/>
    <w:family w:val="roman"/>
    <w:pitch w:val="variable"/>
    <w:sig w:usb0="00000287" w:usb1="00000000" w:usb2="00000000" w:usb3="00000000" w:csb0="0000009F" w:csb1="00000000"/>
    <w:embedItalic r:id="rId2" w:fontKey="{5B4F2153-3927-4882-B651-EAC36D4852D9}"/>
  </w:font>
  <w:font w:name="Cambria">
    <w:panose1 w:val="02040503050406030204"/>
    <w:charset w:val="00"/>
    <w:family w:val="roman"/>
    <w:pitch w:val="variable"/>
    <w:sig w:usb0="E00006FF" w:usb1="420024FF" w:usb2="02000000" w:usb3="00000000" w:csb0="0000019F" w:csb1="00000000"/>
    <w:embedRegular r:id="rId3" w:fontKey="{7321B1D9-39D0-49D3-BD4C-76EDD05C3C72}"/>
  </w:font>
  <w:font w:name="Calibri">
    <w:panose1 w:val="020F0502020204030204"/>
    <w:charset w:val="00"/>
    <w:family w:val="swiss"/>
    <w:pitch w:val="variable"/>
    <w:sig w:usb0="E4002EFF" w:usb1="C200247B" w:usb2="00000009" w:usb3="00000000" w:csb0="000001FF" w:csb1="00000000"/>
    <w:embedRegular r:id="rId4" w:fontKey="{A5857685-3CA0-4D69-AE58-741124EFEC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28C46" w14:textId="77777777" w:rsidR="00967844" w:rsidRPr="006D1C13" w:rsidRDefault="00967844">
      <w:r w:rsidRPr="006D1C13">
        <w:separator/>
      </w:r>
    </w:p>
  </w:footnote>
  <w:footnote w:type="continuationSeparator" w:id="0">
    <w:p w14:paraId="5D33CCB5" w14:textId="77777777" w:rsidR="00967844" w:rsidRPr="006D1C13" w:rsidRDefault="00967844">
      <w:r w:rsidRPr="006D1C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1C3A"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1027"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5657" w14:textId="77777777" w:rsidR="000F16BF" w:rsidRPr="006D1C13" w:rsidRDefault="00000000">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1025"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BF"/>
    <w:rsid w:val="000600BF"/>
    <w:rsid w:val="000B1B44"/>
    <w:rsid w:val="000F16BF"/>
    <w:rsid w:val="001161A9"/>
    <w:rsid w:val="00153E8E"/>
    <w:rsid w:val="00157601"/>
    <w:rsid w:val="00180881"/>
    <w:rsid w:val="00194362"/>
    <w:rsid w:val="001B168F"/>
    <w:rsid w:val="001B34D8"/>
    <w:rsid w:val="00220A02"/>
    <w:rsid w:val="00277D58"/>
    <w:rsid w:val="00296F5C"/>
    <w:rsid w:val="002E162E"/>
    <w:rsid w:val="003268DA"/>
    <w:rsid w:val="00372482"/>
    <w:rsid w:val="00372613"/>
    <w:rsid w:val="003968CC"/>
    <w:rsid w:val="004645B4"/>
    <w:rsid w:val="00487CF1"/>
    <w:rsid w:val="0058736E"/>
    <w:rsid w:val="00595350"/>
    <w:rsid w:val="00596593"/>
    <w:rsid w:val="005E1BC7"/>
    <w:rsid w:val="00633CAB"/>
    <w:rsid w:val="006642B4"/>
    <w:rsid w:val="0069425B"/>
    <w:rsid w:val="006D1C13"/>
    <w:rsid w:val="006F383F"/>
    <w:rsid w:val="00725D7E"/>
    <w:rsid w:val="007C73C4"/>
    <w:rsid w:val="007E6443"/>
    <w:rsid w:val="0084720C"/>
    <w:rsid w:val="00855E74"/>
    <w:rsid w:val="008B2488"/>
    <w:rsid w:val="008B3BE0"/>
    <w:rsid w:val="008E1AC1"/>
    <w:rsid w:val="008E37C1"/>
    <w:rsid w:val="00916247"/>
    <w:rsid w:val="00967844"/>
    <w:rsid w:val="009909F8"/>
    <w:rsid w:val="009F658E"/>
    <w:rsid w:val="00AF1C0D"/>
    <w:rsid w:val="00B27657"/>
    <w:rsid w:val="00B7186E"/>
    <w:rsid w:val="00BB4E7B"/>
    <w:rsid w:val="00C3798C"/>
    <w:rsid w:val="00D46974"/>
    <w:rsid w:val="00D62E6B"/>
    <w:rsid w:val="00D701D9"/>
    <w:rsid w:val="00D91DA4"/>
    <w:rsid w:val="00E85A3C"/>
    <w:rsid w:val="00E97700"/>
    <w:rsid w:val="00EC2032"/>
    <w:rsid w:val="00EF6955"/>
    <w:rsid w:val="00FB1054"/>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8E1AC1"/>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2387</Characters>
  <Application>Microsoft Office Word</Application>
  <DocSecurity>0</DocSecurity>
  <Lines>45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Samuel Galvão</cp:lastModifiedBy>
  <cp:revision>3</cp:revision>
  <dcterms:created xsi:type="dcterms:W3CDTF">2026-04-13T15:50:00Z</dcterms:created>
  <dcterms:modified xsi:type="dcterms:W3CDTF">2026-04-13T15:51:00Z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