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7F5F" w14:textId="77777777" w:rsidR="004C7DE2" w:rsidRDefault="004C7DE2">
      <w:pPr>
        <w:jc w:val="center"/>
        <w:rPr>
          <w:rFonts w:ascii="Times New Roman" w:eastAsia="Times New Roman" w:hAnsi="Times New Roman" w:cs="Times New Roman"/>
          <w:b/>
        </w:rPr>
      </w:pPr>
    </w:p>
    <w:p w14:paraId="00000001" w14:textId="5DC9B4C3" w:rsidR="00D92214" w:rsidRDefault="001E032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IMPACTOS HEMODINÂMICOS DOS AGONISTAS ALFA 2 ADRENÉRGICOS: O QUE ESPERAR MESMO EM PACIENTES HÍGIDOS? – RELATO DE CASO</w:t>
      </w:r>
    </w:p>
    <w:p w14:paraId="00000002" w14:textId="77777777" w:rsidR="00D92214" w:rsidRDefault="00D9221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3" w14:textId="2AFC1CB2" w:rsidR="00D92214" w:rsidRDefault="001E0328">
      <w:pPr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PINTO, Lara Camile Nunes</w:t>
      </w:r>
      <w:r w:rsidR="004C7DE2">
        <w:rPr>
          <w:rFonts w:ascii="Times New Roman" w:eastAsia="Times New Roman" w:hAnsi="Times New Roman" w:cs="Times New Roman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DA 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Gabrielly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Moreira¹; </w:t>
      </w:r>
      <w:r w:rsidR="004C7DE2">
        <w:rPr>
          <w:rFonts w:ascii="Times New Roman" w:eastAsia="Times New Roman" w:hAnsi="Times New Roman" w:cs="Times New Roman"/>
          <w:sz w:val="20"/>
          <w:szCs w:val="20"/>
        </w:rPr>
        <w:t xml:space="preserve">DORNELAS, Diogo Viveiros; </w:t>
      </w:r>
      <w:r>
        <w:rPr>
          <w:rFonts w:ascii="Times New Roman" w:eastAsia="Times New Roman" w:hAnsi="Times New Roman" w:cs="Times New Roman"/>
          <w:sz w:val="20"/>
          <w:szCs w:val="20"/>
        </w:rPr>
        <w:t>FERREIRA, Larissa Vieira</w:t>
      </w:r>
      <w:r w:rsidR="004C7DE2">
        <w:rPr>
          <w:rFonts w:ascii="Times New Roman" w:eastAsia="Times New Roman" w:hAnsi="Times New Roman" w:cs="Times New Roman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; PEIXOTO, Gabriela Vitória; SANTOS, Renata da Silva</w:t>
      </w:r>
      <w:r w:rsidR="004C7DE2">
        <w:rPr>
          <w:rFonts w:ascii="Times New Roman" w:eastAsia="Times New Roman" w:hAnsi="Times New Roman" w:cs="Times New Roman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4C7DE2">
        <w:rPr>
          <w:rFonts w:ascii="Times New Roman" w:eastAsia="Times New Roman" w:hAnsi="Times New Roman" w:cs="Times New Roman"/>
          <w:sz w:val="20"/>
          <w:szCs w:val="20"/>
        </w:rPr>
        <w:t>SILVA, Clara Beatriz Costa</w:t>
      </w:r>
      <w:r w:rsidR="004C7DE2">
        <w:rPr>
          <w:rFonts w:ascii="Times New Roman" w:eastAsia="Times New Roman" w:hAnsi="Times New Roman" w:cs="Times New Roman"/>
          <w:sz w:val="20"/>
          <w:szCs w:val="20"/>
        </w:rPr>
        <w:t>¹</w:t>
      </w:r>
      <w:r w:rsidR="004C7DE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CARVALHO Leticia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Calovi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Santos</w:t>
      </w:r>
      <w:r w:rsidR="004C7DE2" w:rsidRPr="004C7DE2">
        <w:rPr>
          <w:rFonts w:ascii="Times New Roman" w:eastAsia="Times New Roman" w:hAnsi="Times New Roman" w:cs="Times New Roman"/>
          <w:iCs/>
          <w:sz w:val="20"/>
          <w:szCs w:val="20"/>
        </w:rPr>
        <w:t>²</w:t>
      </w:r>
    </w:p>
    <w:p w14:paraId="00000004" w14:textId="77777777" w:rsidR="00D92214" w:rsidRDefault="00D92214">
      <w:pPr>
        <w:tabs>
          <w:tab w:val="left" w:pos="469"/>
        </w:tabs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664EC388" w:rsidR="00D92214" w:rsidRDefault="001E0328">
      <w:pPr>
        <w:tabs>
          <w:tab w:val="left" w:pos="469"/>
        </w:tabs>
        <w:ind w:right="1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Graduanda em Medicina Veterinária, Unipac -Lafaiete, MG; ²Professora do Curso de Medicina Veterinária da Unipac, Conselheiro Lafaiete, MG. </w:t>
      </w:r>
      <w:hyperlink r:id="rId7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*211-001347@unipac.com.br</w:t>
        </w:r>
      </w:hyperlink>
    </w:p>
    <w:p w14:paraId="76B02007" w14:textId="77777777" w:rsidR="004C7DE2" w:rsidRDefault="004C7DE2">
      <w:pPr>
        <w:tabs>
          <w:tab w:val="left" w:pos="469"/>
        </w:tabs>
        <w:ind w:right="1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2767D5E" w14:textId="5FEB3CB4" w:rsidR="00190D67" w:rsidRDefault="001E0328">
      <w:pPr>
        <w:tabs>
          <w:tab w:val="left" w:pos="469"/>
        </w:tabs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alfa-2 agonistas são fármacos importantes na medicação pré-anestésica, proporcionando efeitos sedativos, analgésicos e miorrelaxantes. Suas ações sistêmicas resultam da estimulação de receptores alfa-2 adrenérgicos no corno dorsal da medula e em vasos periféricos, </w:t>
      </w:r>
      <w:r w:rsidR="002D5064"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</w:rPr>
        <w:t xml:space="preserve"> exemplos desses fármacos a </w:t>
      </w:r>
      <w:r w:rsidR="00A31D49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ilazina, </w:t>
      </w:r>
      <w:r w:rsidR="00A31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exmedetomidina e </w:t>
      </w:r>
      <w:r w:rsidR="00A31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etomidina. O objetivo deste relato foi enfatizar os impactos hemodinâmicos dessa classe em um paciente canino ASA III. Um cão, SRD, 12 anos, 36,7 kg, deu entrada na Policlínica Veterinária UNIPAC, </w:t>
      </w:r>
      <w:r w:rsidR="00C722BF">
        <w:rPr>
          <w:rFonts w:ascii="Times New Roman" w:eastAsia="Times New Roman" w:hAnsi="Times New Roman" w:cs="Times New Roman"/>
        </w:rPr>
        <w:t xml:space="preserve">com </w:t>
      </w:r>
      <w:r>
        <w:rPr>
          <w:rFonts w:ascii="Times New Roman" w:eastAsia="Times New Roman" w:hAnsi="Times New Roman" w:cs="Times New Roman"/>
        </w:rPr>
        <w:t>suspeita de neoplasia óssea, sendo então indicado para o procedimento de biópsia óssea. Foram realizados os exames pré-anestésicos</w:t>
      </w:r>
      <w:r w:rsidR="002D5064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 xml:space="preserve">hematologia e eletrocardiograma, que não apresentaram alterações </w:t>
      </w:r>
      <w:r w:rsidR="002D5064">
        <w:rPr>
          <w:rFonts w:ascii="Times New Roman" w:eastAsia="Times New Roman" w:hAnsi="Times New Roman" w:cs="Times New Roman"/>
        </w:rPr>
        <w:t>relevantes</w:t>
      </w:r>
      <w:r>
        <w:rPr>
          <w:rFonts w:ascii="Times New Roman" w:eastAsia="Times New Roman" w:hAnsi="Times New Roman" w:cs="Times New Roman"/>
        </w:rPr>
        <w:t xml:space="preserve">. Dessa maneira, no dia 24/05/2025, foi feita a preparação do animal para o procedimento cirúrgico, utilizando como medicação pré-anestésica Dexmedetomidina (2 mcg/kg) e Metadona (0,3 mg/kg), em via intramuscular. Após realização do acesso venoso e tricotomia cirúrgica, com o cão já posicionado na mesa operatória e com os parâmetros mensurados, foi feita a indução anestésica com Propofol (5 mg/kg) seguida de intubação orotraqueal e manutenção em </w:t>
      </w:r>
      <w:r w:rsidR="00A31D49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sofluorano no circuito com reinação total. Ademais, foi realizado bloqueio do plexo braquial com Lidocaína (2 mg/kg). O animal foi mantido no estágio III, plano II da anestesia</w:t>
      </w:r>
      <w:r>
        <w:t xml:space="preserve">. </w:t>
      </w:r>
      <w:r w:rsidR="002D5064"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</w:rPr>
        <w:t xml:space="preserve"> monitoramento anestésico, foi possível observar bradicardia (60bpm),  a presença de sinus arrest intermitente seguido de bloqueio atrioventricular de segundo grau (BAV2) </w:t>
      </w:r>
      <w:proofErr w:type="spellStart"/>
      <w:r>
        <w:rPr>
          <w:rFonts w:ascii="Times New Roman" w:eastAsia="Times New Roman" w:hAnsi="Times New Roman" w:cs="Times New Roman"/>
        </w:rPr>
        <w:t>mobitz</w:t>
      </w:r>
      <w:proofErr w:type="spellEnd"/>
      <w:r>
        <w:rPr>
          <w:rFonts w:ascii="Times New Roman" w:eastAsia="Times New Roman" w:hAnsi="Times New Roman" w:cs="Times New Roman"/>
        </w:rPr>
        <w:t xml:space="preserve"> tipo II, </w:t>
      </w:r>
      <w:r w:rsidR="002D5064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hipotensão (PAS 80mmhg). Dessa maneira, prosseguiu-se com a administração de Escopolamina (0,1 mg/kg). A frequência cardíaca foi pronta</w:t>
      </w:r>
      <w:r w:rsidR="002D5064">
        <w:rPr>
          <w:rFonts w:ascii="Times New Roman" w:eastAsia="Times New Roman" w:hAnsi="Times New Roman" w:cs="Times New Roman"/>
        </w:rPr>
        <w:t>mente</w:t>
      </w:r>
      <w:r>
        <w:rPr>
          <w:rFonts w:ascii="Times New Roman" w:eastAsia="Times New Roman" w:hAnsi="Times New Roman" w:cs="Times New Roman"/>
        </w:rPr>
        <w:t xml:space="preserve"> restabelecida, com elevação abrupta inicial de 160 bpm, seguida de rápida redução até atingir 135 bpm. Isso aconteceu de forma síncrona à literatura, que indica que os agonistas alfa-2 adrenérgicos causam uma falsa hipertensão devido à vasoconstrição transitória provocada pela estimulação de receptores alfa-2 pós-sinápticos, o que aumenta o tônus vagal e resulta em bradicardia reflexa. Isso leva à queda do débito cardíaco e, </w:t>
      </w:r>
      <w:r w:rsidR="002D5064">
        <w:rPr>
          <w:rFonts w:ascii="Times New Roman" w:eastAsia="Times New Roman" w:hAnsi="Times New Roman" w:cs="Times New Roman"/>
        </w:rPr>
        <w:t>logo</w:t>
      </w:r>
      <w:r>
        <w:rPr>
          <w:rFonts w:ascii="Times New Roman" w:eastAsia="Times New Roman" w:hAnsi="Times New Roman" w:cs="Times New Roman"/>
        </w:rPr>
        <w:t xml:space="preserve">, dá lugar aos efeitos pré-sinápticos, resultando em diminuição da resistência vascular sistêmica, hipotensão e persistência da bradicardia. Os agonistas α2-adrenérgicos também têm algum efeito sobre os receptores α1-adrenérgicos, resultando em excitação e aumento da atividade motora. Por esse motivo, preconizou-se a utilização da Dexmedetomidina, que, dentre as outras medicações da classe, é a mais seletiva aos receptores alfa-2 adrenérgicos. As alterações observadas no período trans-anestésico do cão em questão refletem a importância de uma análise criteriosa por parte do anestesiologista, tendo em vista o conjunto da situação clínica do animal e os medicamentos utilizados. O entendimento e reversão das alterações subsequentes é crucial, embora represente um desafio considerável, especialmente no que tange ao uso dos </w:t>
      </w:r>
      <w:r w:rsidR="00C722BF">
        <w:rPr>
          <w:rFonts w:ascii="Times New Roman" w:eastAsia="Times New Roman" w:hAnsi="Times New Roman" w:cs="Times New Roman"/>
        </w:rPr>
        <w:t>agonistas α2-adrenérgicos</w:t>
      </w:r>
      <w:r w:rsidR="002D5064">
        <w:rPr>
          <w:rFonts w:ascii="Times New Roman" w:eastAsia="Times New Roman" w:hAnsi="Times New Roman" w:cs="Times New Roman"/>
        </w:rPr>
        <w:t>.</w:t>
      </w:r>
    </w:p>
    <w:p w14:paraId="2DED9C9F" w14:textId="77777777" w:rsidR="002D5064" w:rsidRDefault="002D5064">
      <w:pPr>
        <w:tabs>
          <w:tab w:val="left" w:pos="469"/>
        </w:tabs>
        <w:ind w:right="110"/>
        <w:jc w:val="both"/>
        <w:rPr>
          <w:rFonts w:ascii="Times New Roman" w:eastAsia="Times New Roman" w:hAnsi="Times New Roman" w:cs="Times New Roman"/>
        </w:rPr>
      </w:pPr>
    </w:p>
    <w:p w14:paraId="0000000B" w14:textId="15590F6E" w:rsidR="00D92214" w:rsidRPr="002D5064" w:rsidRDefault="001E0328" w:rsidP="002D50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>anestesiologia, medicação pré-anestésica, fisiologia, sistema cardiovascular</w:t>
      </w:r>
    </w:p>
    <w:sectPr w:rsidR="00D92214" w:rsidRPr="002D5064">
      <w:headerReference w:type="default" r:id="rId8"/>
      <w:pgSz w:w="11906" w:h="16838"/>
      <w:pgMar w:top="1418" w:right="1701" w:bottom="1418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B9F0" w14:textId="77777777" w:rsidR="00D938FD" w:rsidRDefault="00D938FD">
      <w:r>
        <w:separator/>
      </w:r>
    </w:p>
  </w:endnote>
  <w:endnote w:type="continuationSeparator" w:id="0">
    <w:p w14:paraId="35D56233" w14:textId="77777777" w:rsidR="00D938FD" w:rsidRDefault="00D9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F9F5" w14:textId="77777777" w:rsidR="00D938FD" w:rsidRDefault="00D938FD">
      <w:r>
        <w:separator/>
      </w:r>
    </w:p>
  </w:footnote>
  <w:footnote w:type="continuationSeparator" w:id="0">
    <w:p w14:paraId="401B352C" w14:textId="77777777" w:rsidR="00D938FD" w:rsidRDefault="00D9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01C36386" w:rsidR="00D92214" w:rsidRDefault="00190D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CDCE24" wp14:editId="7D37E9A3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568315" cy="904875"/>
          <wp:effectExtent l="0" t="0" r="0" b="9525"/>
          <wp:wrapNone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568859" cy="904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14"/>
    <w:rsid w:val="00190D67"/>
    <w:rsid w:val="001E0328"/>
    <w:rsid w:val="002D5064"/>
    <w:rsid w:val="004C7DE2"/>
    <w:rsid w:val="00613804"/>
    <w:rsid w:val="007778DC"/>
    <w:rsid w:val="00A31D49"/>
    <w:rsid w:val="00C722BF"/>
    <w:rsid w:val="00D92214"/>
    <w:rsid w:val="00D938FD"/>
    <w:rsid w:val="00E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5253"/>
  <w15:docId w15:val="{1BED49D7-26AB-4F38-9B6A-59B9DB9E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600346"/>
  </w:style>
  <w:style w:type="paragraph" w:styleId="Cabealho">
    <w:name w:val="header"/>
    <w:basedOn w:val="Normal"/>
    <w:link w:val="CabealhoChar"/>
    <w:uiPriority w:val="99"/>
    <w:unhideWhenUsed/>
    <w:rsid w:val="00190D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D67"/>
  </w:style>
  <w:style w:type="paragraph" w:styleId="Rodap">
    <w:name w:val="footer"/>
    <w:basedOn w:val="Normal"/>
    <w:link w:val="RodapChar"/>
    <w:uiPriority w:val="99"/>
    <w:unhideWhenUsed/>
    <w:rsid w:val="00190D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11-001347@unipac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2O7UiPccjBhpvqZxcp2LpZTZDA==">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Calovi</dc:creator>
  <cp:lastModifiedBy>Lara Nunes</cp:lastModifiedBy>
  <cp:revision>5</cp:revision>
  <dcterms:created xsi:type="dcterms:W3CDTF">2025-05-09T17:09:00Z</dcterms:created>
  <dcterms:modified xsi:type="dcterms:W3CDTF">2025-05-10T19:34:00Z</dcterms:modified>
</cp:coreProperties>
</file>