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FÍSICO-QUÍMICO E MICROBIOLÓGICO DA ÁGUA DO CHAFARIZ DA RODOVIÁRIA MUNICIPAL DE PIRIPIRI - PI: </w:t>
      </w:r>
      <w:r w:rsidDel="00000000" w:rsidR="00000000" w:rsidRPr="00000000">
        <w:rPr>
          <w:sz w:val="24"/>
          <w:szCs w:val="24"/>
          <w:rtl w:val="0"/>
        </w:rPr>
        <w:t xml:space="preserve">riscos e implicações para a saúde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540"/>
        </w:tabs>
        <w:spacing w:line="360" w:lineRule="auto"/>
        <w:ind w:left="-36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40"/>
        </w:tabs>
        <w:spacing w:line="360" w:lineRule="auto"/>
        <w:ind w:left="-36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Raylane de Sousa Calaço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060"/>
        </w:tabs>
        <w:spacing w:line="360" w:lineRule="auto"/>
        <w:ind w:left="-36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Clara Alves da Silva</w:t>
      </w:r>
    </w:p>
    <w:p w:rsidR="00000000" w:rsidDel="00000000" w:rsidP="00000000" w:rsidRDefault="00000000" w:rsidRPr="00000000" w14:paraId="00000005">
      <w:pPr>
        <w:tabs>
          <w:tab w:val="left" w:leader="none" w:pos="2060"/>
          <w:tab w:val="left" w:leader="none" w:pos="7240"/>
        </w:tabs>
        <w:spacing w:line="360" w:lineRule="auto"/>
        <w:ind w:left="-36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Guilherme Antônio Lopes de Oliveira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060"/>
          <w:tab w:val="left" w:leader="none" w:pos="7240"/>
        </w:tabs>
        <w:spacing w:line="360" w:lineRule="auto"/>
        <w:ind w:left="-36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sz w:val="24"/>
          <w:szCs w:val="24"/>
          <w:rtl w:val="0"/>
        </w:rPr>
        <w:t xml:space="preserve"> Introdução: O acesso à água potável é essencial para a saúde humana e para a prevenção de doenças transmissíveis, principalmente gastrointestinais. Ambientes com grande fluxo de pessoas, como a Rodoviária Municipal de Piripiri, apresentam risco potencial de contaminação da água, afetando moradores e visitantes. Avaliar a qualidade da água nesses locais é fundamental para identificar riscos e subsidiar medidas de proteção à saúde pública, além de possibilitar intervenções que minimizem a exposição da população a microrganismos patogênicos.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sz w:val="24"/>
          <w:szCs w:val="24"/>
          <w:rtl w:val="0"/>
        </w:rPr>
        <w:t xml:space="preserve">Este estudo teve como objetivo avaliar a qualidade da água distribuída na rodoviária por meio de análises físico-químicas e microbiológicas, comparando os resultados com os limites estabelecidos pela Portaria GM/MS nº 888/2021 e discutindo implicações para a saúde da população, considerando a relevância do monitoramento em locais de grande circulação.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sz w:val="24"/>
          <w:szCs w:val="24"/>
          <w:rtl w:val="0"/>
        </w:rPr>
        <w:t xml:space="preserve">Trata-se de um estudo observacional, descritivo e analítico. Foram coletadas amostras de água entre janeiro e julho de 2025, analisadas quanto a pH, turbidez, cloro residual livre e presença de coliformes totais e Escherichia coli. Entre janeiro e junho de 2025, foram coletadas amostras de água em chafarizes previamente higienizados, acondicionadas em sacos estéreis e transportadas sob refrigeração. Realizaram-se análises físico-químicas (pH, cloro residual livre e turbidez) com kits ALFAKIT® e microbiológicas com Colipaper®, incubadas a 36 °C por 24 h para detecção de coliformes totais e </w:t>
      </w:r>
      <w:r w:rsidDel="00000000" w:rsidR="00000000" w:rsidRPr="00000000">
        <w:rPr>
          <w:i w:val="1"/>
          <w:sz w:val="24"/>
          <w:szCs w:val="24"/>
          <w:rtl w:val="0"/>
        </w:rPr>
        <w:t xml:space="preserve">E. coli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discussão:</w:t>
      </w:r>
      <w:r w:rsidDel="00000000" w:rsidR="00000000" w:rsidRPr="00000000">
        <w:rPr>
          <w:sz w:val="24"/>
          <w:szCs w:val="24"/>
          <w:rtl w:val="0"/>
        </w:rPr>
        <w:t xml:space="preserve"> As análises mostraram pH abaixo do recomendado (5,0–5,5), turbidez de 0 NTU e ausência de cloro residual livre, indicando risco à saúde devido à possível presença de microrganismos patogênicos. Coliformes totais foram detectados em janeiro e abril, enquanto Escherichia coli não foi encontrada. A baixa turbidez facilita a desinfecção, mas a ausência de cloro residual compromete a eliminação de patógenos e aumenta a probabilidade de transmissão de doenças gastrointestinais. Esses resultados evidenciam a necessidade de manutenção adequada dos reservatórios e adoção de práticas de desinfecção, reforçando a importância de políticas públicas de saneamento. Intervenções em água, saneamento e higiene são fundamentais para reduzir a mortalidade e a morbilidade associadas a doenças gastrointestinais, promovendo segurança à população e proteção da saúde pública.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sz w:val="24"/>
          <w:szCs w:val="24"/>
          <w:rtl w:val="0"/>
        </w:rPr>
        <w:t xml:space="preserve"> O estudo reforça a importância do monitoramento  contínuo da qualidade da água em locais com grande circulação de pessoas. Garantir água potável e segura é crucial para a prevenção de doenças, proteção da saúde pública e promoção de um ambiente saudável. Os achados destacam a necessidade de ações coordenadas entre gestores e população, alinhadas a políticas de saneamento e manutenção dos sistemas de distribuição de água em Piripiri, além de programas educativos que envolvam a comunidade na preservação da qualidade da água e na adoção de práticas de higiene adequadas.</w:t>
      </w:r>
    </w:p>
    <w:p w:rsidR="00000000" w:rsidDel="00000000" w:rsidP="00000000" w:rsidRDefault="00000000" w:rsidRPr="00000000" w14:paraId="00000009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sz w:val="24"/>
          <w:szCs w:val="24"/>
          <w:rtl w:val="0"/>
        </w:rPr>
        <w:t xml:space="preserve"> “água”; “monitoramento de água” ; “água potável”.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9uq4snldxz5g" w:id="0"/>
    <w:bookmarkEnd w:id="0"/>
    <w:p w:rsidR="00000000" w:rsidDel="00000000" w:rsidP="00000000" w:rsidRDefault="00000000" w:rsidRPr="00000000" w14:paraId="0000000B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ingestão de água é essencial para o organismo, representando entre 50% e 70% do peso corporal e participando de diversas funções vitais. Ela atua como solvente, transporta nutrientes e toxinas, auxilia na eliminação de produtos metabólicos e regula a temperatura corporal por meio da redistribuição de calor e da transpiração. O equilíbrio hídrico, mantido entre ingestão e perdas, é fundamental para o bom funcionamento dos sistemas cardiovascular, renal e digestivo, além de garantir desempenho físico e cognitivo adequado (García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2025). 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Segundo Silva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(2024), beber água contaminada é um dos maiores fatores de risco para o surgimento de doenças diarreicas, que ainda preocupam bastante a saúde pública em países em desenvolvimento. A ausência de saneamento e de fornecimento seguro faz com que muitas famílias dependem de fontes alternativas, como poços, que têm maior chance de estarem contaminados. Essa situação favorece a propagação de infecções, atingindo tanto adultos quanto crianças e levando, todos os anos, milhares de crianças à morte.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Nessa ótica, um dos patógenos mais comuns são os </w:t>
      </w:r>
      <w:r w:rsidDel="00000000" w:rsidR="00000000" w:rsidRPr="00000000">
        <w:rPr>
          <w:i w:val="1"/>
          <w:sz w:val="24"/>
          <w:szCs w:val="24"/>
          <w:rtl w:val="0"/>
        </w:rPr>
        <w:t xml:space="preserve">coliformes totais</w:t>
      </w:r>
      <w:r w:rsidDel="00000000" w:rsidR="00000000" w:rsidRPr="00000000">
        <w:rPr>
          <w:sz w:val="24"/>
          <w:szCs w:val="24"/>
          <w:rtl w:val="0"/>
        </w:rPr>
        <w:t xml:space="preserve"> e a </w:t>
      </w:r>
      <w:r w:rsidDel="00000000" w:rsidR="00000000" w:rsidRPr="00000000">
        <w:rPr>
          <w:i w:val="1"/>
          <w:sz w:val="24"/>
          <w:szCs w:val="24"/>
          <w:rtl w:val="0"/>
        </w:rPr>
        <w:t xml:space="preserve">Escherichia coli</w:t>
      </w:r>
      <w:r w:rsidDel="00000000" w:rsidR="00000000" w:rsidRPr="00000000">
        <w:rPr>
          <w:sz w:val="24"/>
          <w:szCs w:val="24"/>
          <w:rtl w:val="0"/>
        </w:rPr>
        <w:t xml:space="preserve">. A </w:t>
      </w:r>
      <w:r w:rsidDel="00000000" w:rsidR="00000000" w:rsidRPr="00000000">
        <w:rPr>
          <w:i w:val="1"/>
          <w:sz w:val="24"/>
          <w:szCs w:val="24"/>
          <w:rtl w:val="0"/>
        </w:rPr>
        <w:t xml:space="preserve">Escherichia coli</w:t>
      </w:r>
      <w:r w:rsidDel="00000000" w:rsidR="00000000" w:rsidRPr="00000000">
        <w:rPr>
          <w:sz w:val="24"/>
          <w:szCs w:val="24"/>
          <w:rtl w:val="0"/>
        </w:rPr>
        <w:t xml:space="preserve"> é uma bactéria naturalmente presente no intestino de animais de sangue quente, incluindo humanos e ruminantes como bovinos, ovinos e caprinos. A maioria das cepas é inofensiva, mas algumas desenvolveram combinações específicas de características de virulência, formando virótipos capazes de causar diarreia em humanos. Esses virótipos, conhecidos como E. coli diarreagênica, incluem ETEC, EPEC, EHEC, EAEC, EIEC e DAEC, e embora possam estar presentes em animais, tornam-se patogênicos quando transmitidos aos humanos pela via digestiva ( Aditya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2023).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água potável é um direito humano fundamental e integra o ODS 6 da Agenda 2030, que busca garantir acesso universal e gestão sustentável da água. A Política Nacional de Recursos Hídricos (Lei nº 9.433/1997) estabelece ações para assegurar água em quantidade e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qualidade adequadas, e programas como o Vigiagua, por meio do Sisagua, monitoram a qualidade da água e ajudam a gerenciar os riscos à saúde da população (Mata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água da rodoviária, por estar em um local de grande movimento, pode oferecer riscos à saúde se estiver contaminada, aumentando casos de doenças gastrointestinais. Por isso, é importante avaliar sua qualidade regularmente e adotar medidas de prevenção para proteger a saúde pública.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OBJETIVO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Este estudo tem como objetivo avaliar a qualidade da água utilizada na Rodoviária Municipal em Piripiri-PI, por meio de análises físico-químicas e microbiológicas, confrontando os resultados com os limites da Portaria GM/MS nº 888/2021, a fim de identificar possíveis inconformidades e discutir implicações para a saúde pública.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MÉTODO</w:t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é um estudo observacional e descritivo experimental e quantitativo. A pesquisa foi desenvolvida no município de Piripiri, Piauí, localizado a 166 km da capital Teresina, o qual possui população estimada em 65.538 habitantes (IBGE, 2022). As amostras de água foram coletadas no mercado público municipal, abastecido por um poço artesiano situado na região central da cidade.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coletas ocorreram entre janeiro e junho de 2025. Inicialmente, procedeu-se à higienização dos chafarizes com detergente neutro e esponja, seguida de flambagem e desinfecção com gaze embebida em álcool 70%. Após esse processo, as torneiras dos  chafarizes permaneceram abertas por 2 minutos e, em seguida, as amostras foram acondicionadas em sacos estéreis, devidamente lacrados, identificados e transportados em caixa térmica sob refrigeração até o local de análise.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determinações físico-químicas e microbiológicas foram realizadas com reagentes e equipamentos da marca ALFAKIT®. A análise do potencial hidrogeniônico (pH) foi conduzida em campo, utilizando indicadores específicos fornecidos pelo kit. Para tal, coletaram-se 5 mL da amostra em recipiente estéril, aos quais foi adicionada uma gota da solução indicadora de pH, promovendo agitação para observar a mudança de cor correspondente ao valor obtido.          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quantificação do cloro residual livre (CRL) foi realizada mediante a transferência de 5 mL da amostra para uma cubeta, seguida da adição de 10 gotas do reagente CRL1 e posterior dissolução de uma medida padrão do reagente CRL2. O resultado foi interpretado por leitura colorimétrica.</w:t>
      </w:r>
    </w:p>
    <w:p w:rsidR="00000000" w:rsidDel="00000000" w:rsidP="00000000" w:rsidRDefault="00000000" w:rsidRPr="00000000" w14:paraId="0000001E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turbidez foi avaliada por meio de comparação com o Disco de Secchi, confeccionado em acrílico e dividido em quadrantes pretos e brancos, permitindo melhor visualização sob diferentes condições de luminosidade.</w:t>
      </w:r>
    </w:p>
    <w:p w:rsidR="00000000" w:rsidDel="00000000" w:rsidP="00000000" w:rsidRDefault="00000000" w:rsidRPr="00000000" w14:paraId="0000001F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 análise microbiológica, utilizou-se o kit Colipaper®, composto por cartelas contendo meio de cultura em gel desidratado. As amostras foram manipuladas próximas à chama do bico de Bunsen, a fim de reduzir riscos de contaminação cruzada. Em seguida, as cartelas foram postas em contato com as amostras até a completa umidificação e incubadas em estufa a 36 ºC por 24 horas. A leitura foi realizada considerando a coloração apresentada: o surgimento de manchas ou pontilhados azul-violetas indicou presença de Escherichia coli, enquanto a tonalidade vermelha a rosada sinalizou a presença de coliformes totais, sendo os resultados expressos em UFC/100 mL.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RESULTADOS E DISCUSSÃO</w:t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Os resultados adquiridos para os parâmetros físico-químicos e microbiológicos das amostras de água coletadas entre os meses de janeiro, fevereiro, maio, junho e julho de 2025 na Rodoviária Municipal em Piripiri. A Tabela 01 consolida os dados e os compara com as diretrizes de potabilidade definidas na Portaria GM/MS Nº 888/2021. 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Tabela 01. </w:t>
      </w:r>
      <w:r w:rsidDel="00000000" w:rsidR="00000000" w:rsidRPr="00000000">
        <w:rPr>
          <w:sz w:val="24"/>
          <w:szCs w:val="24"/>
          <w:rtl w:val="0"/>
        </w:rPr>
        <w:t xml:space="preserve">Resultados das análises físico-químicas e microbiológicas das amostras de água compiladas no chafariz da rodoviária entre janeiro e julho de 2025 na Rodoviária Municipal de Piripiri.</w:t>
      </w:r>
    </w:p>
    <w:tbl>
      <w:tblPr>
        <w:tblStyle w:val="Table1"/>
        <w:tblpPr w:leftFromText="180" w:rightFromText="180" w:topFromText="180" w:bottomFromText="180" w:vertAnchor="text" w:horzAnchor="text" w:tblpX="0" w:tblpY="242"/>
        <w:tblW w:w="892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7"/>
        <w:gridCol w:w="1418"/>
        <w:gridCol w:w="1559"/>
        <w:gridCol w:w="1559"/>
        <w:gridCol w:w="1418"/>
        <w:tblGridChange w:id="0">
          <w:tblGrid>
            <w:gridCol w:w="2967"/>
            <w:gridCol w:w="1418"/>
            <w:gridCol w:w="1559"/>
            <w:gridCol w:w="1559"/>
            <w:gridCol w:w="1418"/>
          </w:tblGrid>
        </w:tblGridChange>
      </w:tblGrid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DAS COLETAS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24/02/2025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01/04/2025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20/06/2025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PARÂMETROS FÍSICO-QUÍMICO 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 (6 a 9)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5,5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5,5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Turbidez (VMP¹ 5uT²)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Cloro residual livre (0,2 a 5mg/L) 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PARÂMETROS MICROBIOLÓGICOS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Coliformes totais (Ausente)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PRESENTE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PRESENTE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Escherichia coli (Ausente) 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55">
      <w:pPr>
        <w:spacing w:line="360" w:lineRule="auto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Fonte:</w:t>
      </w:r>
      <w:r w:rsidDel="00000000" w:rsidR="00000000" w:rsidRPr="00000000">
        <w:rPr>
          <w:sz w:val="20"/>
          <w:szCs w:val="20"/>
          <w:rtl w:val="0"/>
        </w:rPr>
        <w:t xml:space="preserve"> autoria própria, (2025). ¹Valor máximo permitido; ²Unidade de Turbidez.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 acesso à água potável e ao saneamento é fundamental para a saúde e o desenvolvimento humano. No entanto, cerca de 2 bilhões de pessoas não possuem água potável em casa e 3,6 bilhões carecem de saneamento básico, sendo que 494 milhões ainda realizam suas necessidades a céu aberto, especialmente em áreas rurais. Como consequência, 2,3 bilhões necessitam de serviços básicos de higiene, e 28% da população mundial não dispõe de instalações adequadas para lavar as mãos em casa (OMS, 2021, </w:t>
      </w:r>
      <w:r w:rsidDel="00000000" w:rsidR="00000000" w:rsidRPr="00000000">
        <w:rPr>
          <w:i w:val="1"/>
          <w:sz w:val="24"/>
          <w:szCs w:val="24"/>
          <w:rtl w:val="0"/>
        </w:rPr>
        <w:t xml:space="preserve">apud</w:t>
      </w:r>
      <w:r w:rsidDel="00000000" w:rsidR="00000000" w:rsidRPr="00000000">
        <w:rPr>
          <w:sz w:val="24"/>
          <w:szCs w:val="24"/>
          <w:rtl w:val="0"/>
        </w:rPr>
        <w:t xml:space="preserve"> Chamy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2023).</w:t>
      </w:r>
    </w:p>
    <w:p w:rsidR="00000000" w:rsidDel="00000000" w:rsidP="00000000" w:rsidRDefault="00000000" w:rsidRPr="00000000" w14:paraId="00000058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a Portaria GM/MS nº 888/2021, a água destinada ao consumo humano deve apresentar pH entre 6,0 e 9,0, garantindo a potabilidade e reduzindo riscos à saúde e à rede de distribuição (Brasil, 2021). Entretanto, as medições realizadas no estudo apresentaram valores entre 5,0 e 5,5, caracterizando episódios de acidificação nos meses de janeiro, fevereiro e junho. Essa condição pode indicar desequilíbrios na qualidade da água, tornando necessária maior atenção no monitoramento e na adoção de medidas corretivas para assegurar a segurança do consumo.</w:t>
      </w:r>
    </w:p>
    <w:p w:rsidR="00000000" w:rsidDel="00000000" w:rsidP="00000000" w:rsidRDefault="00000000" w:rsidRPr="00000000" w14:paraId="00000059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turbidez, indicador da presença de partículas em suspensão, muitas vezes provenientes de efluentes domésticos ou industriais, pode ser reduzida por sedimentação. Níveis baixos facilitam a desinfecção ao reduzir o “efeito barreira” que protege microrganismos patogênicos, enquanto valores elevados podem indicar falhas no tratamento, baixa qualidade da água na fonte ou acúmulo de sedimentos e biopelículas nos sistemas de distribuição (Mata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2024). Nas análises, a turbidez foi de 0 NTU nos meses avaliados, indicando ausência de partículas detectáveis; entretanto, esse resultado não garante a ausência de microrganismos ou substâncias dissolvidas, sendo necessária a desinfecção para assegurar a potabilidade (Brasil, 2021). </w:t>
      </w:r>
    </w:p>
    <w:p w:rsidR="00000000" w:rsidDel="00000000" w:rsidP="00000000" w:rsidRDefault="00000000" w:rsidRPr="00000000" w14:paraId="0000005A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química revelou ausência de cloro residual livre, essencial para a desinfecção e prevenção da proliferação de microrganismos como coliformes totais e </w:t>
      </w:r>
      <w:r w:rsidDel="00000000" w:rsidR="00000000" w:rsidRPr="00000000">
        <w:rPr>
          <w:i w:val="1"/>
          <w:sz w:val="24"/>
          <w:szCs w:val="24"/>
          <w:rtl w:val="0"/>
        </w:rPr>
        <w:t xml:space="preserve">Escherichia coli </w:t>
      </w:r>
      <w:r w:rsidDel="00000000" w:rsidR="00000000" w:rsidRPr="00000000">
        <w:rPr>
          <w:sz w:val="24"/>
          <w:szCs w:val="24"/>
          <w:rtl w:val="0"/>
        </w:rPr>
        <w:t xml:space="preserve">. A água contaminada favorece a disseminação de doenças gastrointestinais infecciosas, transmitidas principalmente pela via fecal-oral, que podem afetar humanos e animais por meio da água e alimentos contaminados. Intervenções em água, saneamento e higiene são, portanto, fundamentais para reduzir a mortalidade e a morbilidade associadas a essas infecções (Wandera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2022).</w:t>
      </w:r>
    </w:p>
    <w:p w:rsidR="00000000" w:rsidDel="00000000" w:rsidP="00000000" w:rsidRDefault="00000000" w:rsidRPr="00000000" w14:paraId="0000005B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acordo com a Portaria GM/MS nº 888/2021, a concentração mínima de cloro residual livre deve ser de 0,2 mg/L após 30 minutos de contato com a água. Esse parâmetro garante a eficácia da desinfecção, promovendo a eliminação de bactérias, vírus e protozoários patogênicos, além de prevenir possíveis recontaminações ao longo da rede de distribuição. Assim, a manutenção desse residual mínimo de cloro constitui uma medida essencial para assegurar a potabilidade da água e a proteção da saúde pública (Brasil, 2021).</w:t>
      </w:r>
    </w:p>
    <w:p w:rsidR="00000000" w:rsidDel="00000000" w:rsidP="00000000" w:rsidRDefault="00000000" w:rsidRPr="00000000" w14:paraId="0000005C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 amostras analisadas, foram detectados coliformes totais nos meses de janeiro e abril, indicando possível contaminação da água. Na última coleta, esses microrganismos não foram encontrados, sugerindo melhora na qualidade microbiológica e eficácia do tratamento ou manutenção da rede de abastecimento.</w:t>
      </w:r>
    </w:p>
    <w:p w:rsidR="00000000" w:rsidDel="00000000" w:rsidP="00000000" w:rsidRDefault="00000000" w:rsidRPr="00000000" w14:paraId="0000005D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CONSIDERAÇÕES FINAIS</w:t>
      </w:r>
    </w:p>
    <w:p w:rsidR="00000000" w:rsidDel="00000000" w:rsidP="00000000" w:rsidRDefault="00000000" w:rsidRPr="00000000" w14:paraId="0000005F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O presente estudo evidencia a relevância do monitoramento contínuo dos parâmetros físico-químicos e microbiológicos da água distribuída na Rodoviária Municipal de Piripiri, considerando o intenso fluxo de pessoas, tanto moradores quanto visitantes, e o uso frequente desse recurso para a preparação de alimentos e higiene dos produtos comercializados. Os resultados microbiológicos reforçam a necessidade de manutenção adequada dos reservatórios e da adoção de práticas de desinfecção, já que a presença de contaminantes em águas de uso coletivo representa um risco significativo à saúde pública.</w:t>
      </w:r>
    </w:p>
    <w:p w:rsidR="00000000" w:rsidDel="00000000" w:rsidP="00000000" w:rsidRDefault="00000000" w:rsidRPr="00000000" w14:paraId="00000061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sentido, torna-se imprescindível a implementação de medidas de vigilância mais rigorosas, alinhadas às políticas públicas de saneamento e saúde, bem como o fortalecimento das ações de fiscalização e educação sanitária. A participação ativa da população, aliada à responsabilidade dos gestores locais, é fundamental para garantir que a qualidade da água ofertada esteja em conformidade com os padrões de potabilidade estabelecidos pela legislação vigente.</w:t>
      </w:r>
    </w:p>
    <w:p w:rsidR="00000000" w:rsidDel="00000000" w:rsidP="00000000" w:rsidRDefault="00000000" w:rsidRPr="00000000" w14:paraId="00000062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este estudo contribui como subsídio científico para futuras pesquisas voltadas à qualidade da água em ambientes de grande circulação populacional, podendo auxiliar no desenvolvimento de estratégias de prevenção e controle de surtos de doenças de veiculação hídrica. Ressalta-se ainda que garantir o acesso à água potável e segura constitui não apenas um direito humano básico, mas também uma condição essencial para a promoção da saúde coletiva, a redução de desigualdades e a construção de um futuro mais justo, saudável e sustentável para a comunidade de Piripiri.</w:t>
      </w:r>
    </w:p>
    <w:p w:rsidR="00000000" w:rsidDel="00000000" w:rsidP="00000000" w:rsidRDefault="00000000" w:rsidRPr="00000000" w14:paraId="00000063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center" w:leader="none" w:pos="4252"/>
          <w:tab w:val="right" w:leader="none" w:pos="8504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ADITYA, A.; TABASHSUM, Z.; ALVARADO MARTINEZ, Z.; WEI TUNG, C.; SUH, G.; NGUYEN, P.; BISWAS, D. Diarrheagenic Escherichia coli and their antibiotic resistance patterns in dairy farms and their microbial ecosystems. </w:t>
      </w:r>
      <w:r w:rsidDel="00000000" w:rsidR="00000000" w:rsidRPr="00000000">
        <w:rPr>
          <w:i w:val="1"/>
          <w:sz w:val="24"/>
          <w:szCs w:val="24"/>
          <w:rtl w:val="0"/>
        </w:rPr>
        <w:t xml:space="preserve">Journal of Food Protection</w:t>
      </w:r>
      <w:r w:rsidDel="00000000" w:rsidR="00000000" w:rsidRPr="00000000">
        <w:rPr>
          <w:sz w:val="24"/>
          <w:szCs w:val="24"/>
          <w:rtl w:val="0"/>
        </w:rPr>
        <w:t xml:space="preserve">, v. 86, n. 3, p. 100051, 2023. DOI: https://doi.org/10.1016/j.jfp.2023.100051.</w:t>
      </w:r>
    </w:p>
    <w:p w:rsidR="00000000" w:rsidDel="00000000" w:rsidP="00000000" w:rsidRDefault="00000000" w:rsidRPr="00000000" w14:paraId="00000066">
      <w:pPr>
        <w:tabs>
          <w:tab w:val="center" w:leader="none" w:pos="4252"/>
          <w:tab w:val="right" w:leader="none" w:pos="8504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Ministério da Saúde. Portaria GM/MS nº 888, de 4 de maio de 2021. Estabelece os procedimentos e responsabilidades relativos ao controle e à vigilância da qualidade da água para consumo humano e seu padrão de potabilidade. </w:t>
      </w:r>
      <w:r w:rsidDel="00000000" w:rsidR="00000000" w:rsidRPr="00000000">
        <w:rPr>
          <w:i w:val="1"/>
          <w:sz w:val="24"/>
          <w:szCs w:val="24"/>
          <w:rtl w:val="0"/>
        </w:rPr>
        <w:t xml:space="preserve">Diário Oficial da União</w:t>
      </w:r>
      <w:r w:rsidDel="00000000" w:rsidR="00000000" w:rsidRPr="00000000">
        <w:rPr>
          <w:sz w:val="24"/>
          <w:szCs w:val="24"/>
          <w:rtl w:val="0"/>
        </w:rPr>
        <w:t xml:space="preserve">, Brasília, DF, 4 maio 2021. Disponível em: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https://www.in.gov.br/en/web/dou/-/portaria-gm-ms-n-888-de-4-de-maio-de-2021-319469151</w:t>
        </w:r>
      </w:hyperlink>
      <w:r w:rsidDel="00000000" w:rsidR="00000000" w:rsidRPr="00000000">
        <w:rPr>
          <w:sz w:val="24"/>
          <w:szCs w:val="24"/>
          <w:rtl w:val="0"/>
        </w:rPr>
        <w:t xml:space="preserve">. Acesso em: 7 set. 2025.</w:t>
      </w:r>
    </w:p>
    <w:p w:rsidR="00000000" w:rsidDel="00000000" w:rsidP="00000000" w:rsidRDefault="00000000" w:rsidRPr="00000000" w14:paraId="00000067">
      <w:pPr>
        <w:tabs>
          <w:tab w:val="center" w:leader="none" w:pos="4252"/>
          <w:tab w:val="right" w:leader="none" w:pos="8504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CHAMY, M. N. C. L. Microbiological and antimicrobial evaluation of drinking water consumed by residents of floating houses. </w:t>
      </w:r>
      <w:r w:rsidDel="00000000" w:rsidR="00000000" w:rsidRPr="00000000">
        <w:rPr>
          <w:i w:val="1"/>
          <w:sz w:val="24"/>
          <w:szCs w:val="24"/>
          <w:rtl w:val="0"/>
        </w:rPr>
        <w:t xml:space="preserve">Ambiente &amp; Água</w:t>
      </w:r>
      <w:r w:rsidDel="00000000" w:rsidR="00000000" w:rsidRPr="00000000">
        <w:rPr>
          <w:sz w:val="24"/>
          <w:szCs w:val="24"/>
          <w:rtl w:val="0"/>
        </w:rPr>
        <w:t xml:space="preserve">, v. 18, n. 1, e3153, 2023. Disponível em: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https://doi.org/10.1590/1809-4392202401583</w:t>
        </w:r>
      </w:hyperlink>
      <w:r w:rsidDel="00000000" w:rsidR="00000000" w:rsidRPr="00000000">
        <w:rPr>
          <w:sz w:val="24"/>
          <w:szCs w:val="24"/>
          <w:rtl w:val="0"/>
        </w:rPr>
        <w:t xml:space="preserve">. Acesso em: 7 set. 2025.</w:t>
      </w:r>
    </w:p>
    <w:p w:rsidR="00000000" w:rsidDel="00000000" w:rsidP="00000000" w:rsidRDefault="00000000" w:rsidRPr="00000000" w14:paraId="00000068">
      <w:pPr>
        <w:tabs>
          <w:tab w:val="center" w:leader="none" w:pos="4252"/>
          <w:tab w:val="right" w:leader="none" w:pos="8504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FERNÁNDEZ-GARCÍA, J. M.; GARCÍA-VALLEJO, O.; LÓPEZ-SOBALER, A. M.; MARTÍN-SALINAS, C.; GONZÁLEZ-GROSS, M.; URRIALDE, R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Hidratación y aguas minerales naturales: una revisión sobre la importancia para la salud del aporte de agua y los minerales [Hydration and natural mineral water: a review on the importance of water and mineral intake for health]. </w:t>
      </w:r>
      <w:r w:rsidDel="00000000" w:rsidR="00000000" w:rsidRPr="00000000">
        <w:rPr>
          <w:i w:val="1"/>
          <w:sz w:val="24"/>
          <w:szCs w:val="24"/>
          <w:rtl w:val="0"/>
        </w:rPr>
        <w:t xml:space="preserve">Semergen</w:t>
      </w:r>
      <w:r w:rsidDel="00000000" w:rsidR="00000000" w:rsidRPr="00000000">
        <w:rPr>
          <w:sz w:val="24"/>
          <w:szCs w:val="24"/>
          <w:rtl w:val="0"/>
        </w:rPr>
        <w:t xml:space="preserve">, v. 51, n. 4, p. 102441, 2025. Disponível em:</w:t>
      </w:r>
      <w:hyperlink r:id="rId11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https://doi.org/10.1016/j.semerg.2024.102441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9">
      <w:pPr>
        <w:tabs>
          <w:tab w:val="center" w:leader="none" w:pos="4252"/>
          <w:tab w:val="right" w:leader="none" w:pos="8504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MATA, M. M. DA;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Qualidade e acesso à água para consumo humano: um olhar sobre o estado do Amazonas, Brasil. </w:t>
      </w:r>
      <w:r w:rsidDel="00000000" w:rsidR="00000000" w:rsidRPr="00000000">
        <w:rPr>
          <w:i w:val="1"/>
          <w:sz w:val="24"/>
          <w:szCs w:val="24"/>
          <w:rtl w:val="0"/>
        </w:rPr>
        <w:t xml:space="preserve">Ciência &amp; Saúde Coletiva</w:t>
      </w:r>
      <w:r w:rsidDel="00000000" w:rsidR="00000000" w:rsidRPr="00000000">
        <w:rPr>
          <w:sz w:val="24"/>
          <w:szCs w:val="24"/>
          <w:rtl w:val="0"/>
        </w:rPr>
        <w:t xml:space="preserve">, v. 29, n. 8, p. e05442023, ago. 2024.</w:t>
      </w:r>
    </w:p>
    <w:p w:rsidR="00000000" w:rsidDel="00000000" w:rsidP="00000000" w:rsidRDefault="00000000" w:rsidRPr="00000000" w14:paraId="0000006A">
      <w:pPr>
        <w:tabs>
          <w:tab w:val="center" w:leader="none" w:pos="4252"/>
          <w:tab w:val="right" w:leader="none" w:pos="8504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SILVA, I. A. DA;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Estudo de Escherichia coli, EPEC, ETEC e STEC, em água oferecida em escolas de um município com baixo índice de desenvolvimento humano no estado do Maranhão, Brasil. </w:t>
      </w:r>
      <w:r w:rsidDel="00000000" w:rsidR="00000000" w:rsidRPr="00000000">
        <w:rPr>
          <w:i w:val="1"/>
          <w:sz w:val="24"/>
          <w:szCs w:val="24"/>
          <w:rtl w:val="0"/>
        </w:rPr>
        <w:t xml:space="preserve">Revista Ambiente &amp; Água</w:t>
      </w:r>
      <w:r w:rsidDel="00000000" w:rsidR="00000000" w:rsidRPr="00000000">
        <w:rPr>
          <w:sz w:val="24"/>
          <w:szCs w:val="24"/>
          <w:rtl w:val="0"/>
        </w:rPr>
        <w:t xml:space="preserve">, v. 19, p. e3002, 2024.</w:t>
      </w:r>
    </w:p>
    <w:p w:rsidR="00000000" w:rsidDel="00000000" w:rsidP="00000000" w:rsidRDefault="00000000" w:rsidRPr="00000000" w14:paraId="0000006B">
      <w:pPr>
        <w:tabs>
          <w:tab w:val="center" w:leader="none" w:pos="4252"/>
          <w:tab w:val="right" w:leader="none" w:pos="8504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WANDERA, E. A.; MURIITHI, B.; KATHIIKO, C.;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Impact of integrated water, sanitation, hygiene, health and nutritional interventions on diarrhoea disease epidemiology and microbial quality of water in a resource-constrained setting in Kenya: a controlled intervention study. </w:t>
      </w:r>
      <w:r w:rsidDel="00000000" w:rsidR="00000000" w:rsidRPr="00000000">
        <w:rPr>
          <w:i w:val="1"/>
          <w:sz w:val="24"/>
          <w:szCs w:val="24"/>
          <w:rtl w:val="0"/>
        </w:rPr>
        <w:t xml:space="preserve">Tropical Medicine &amp; International Health</w:t>
      </w:r>
      <w:r w:rsidDel="00000000" w:rsidR="00000000" w:rsidRPr="00000000">
        <w:rPr>
          <w:sz w:val="24"/>
          <w:szCs w:val="24"/>
          <w:rtl w:val="0"/>
        </w:rPr>
        <w:t xml:space="preserve">, v. 27, n. 8, p. 669-677, 2022. Disponível em:</w:t>
      </w:r>
      <w:hyperlink r:id="rId13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https://doi.org/10.1111/tmi.13793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C">
      <w:pPr>
        <w:tabs>
          <w:tab w:val="center" w:leader="none" w:pos="4252"/>
          <w:tab w:val="righ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40" w:w="11906" w:orient="portrait"/>
      <w:pgMar w:bottom="1134" w:top="226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1418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1418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-1021604</wp:posOffset>
          </wp:positionH>
          <wp:positionV relativeFrom="paragraph">
            <wp:posOffset>-168903</wp:posOffset>
          </wp:positionV>
          <wp:extent cx="5643037" cy="103759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1418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Titulação máxima – Instituição. Exemplo: Graduando em Enfermagem – Christus Faculdade do Piauí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Doutor em Biotecnologia, Professor da Christus Faculdade do Piauí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2595"/>
        <w:tab w:val="left" w:leader="none" w:pos="7670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-447034</wp:posOffset>
          </wp:positionV>
          <wp:extent cx="7629525" cy="140284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1016/j.semerg.2024.102441" TargetMode="External"/><Relationship Id="rId10" Type="http://schemas.openxmlformats.org/officeDocument/2006/relationships/hyperlink" Target="https://doi.org/10.1590/1809-4392202401583" TargetMode="External"/><Relationship Id="rId13" Type="http://schemas.openxmlformats.org/officeDocument/2006/relationships/hyperlink" Target="https://doi.org/10.1111/tmi.13793" TargetMode="External"/><Relationship Id="rId12" Type="http://schemas.openxmlformats.org/officeDocument/2006/relationships/hyperlink" Target="https://doi.org/10.1016/j.semerg.2024.10244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590/1809-4392202401583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doi.org/10.1111/tmi.13793" TargetMode="Externa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in.gov.br/en/web/dou/-/portaria-gm-ms-n-888-de-4-de-maio-de-2021-319469151" TargetMode="External"/><Relationship Id="rId8" Type="http://schemas.openxmlformats.org/officeDocument/2006/relationships/hyperlink" Target="https://www.in.gov.br/en/web/dou/-/portaria-gm-ms-n-888-de-4-de-maio-de-2021-31946915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