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083" w:rsidRPr="00857DD5" w:rsidRDefault="00FA1A82" w:rsidP="00607083">
      <w:pPr>
        <w:pStyle w:val="NormalWeb"/>
        <w:spacing w:before="0" w:beforeAutospacing="0" w:after="0" w:afterAutospacing="0" w:line="256" w:lineRule="auto"/>
        <w:jc w:val="center"/>
        <w:rPr>
          <w:b/>
          <w:color w:val="000000" w:themeColor="text1"/>
          <w:sz w:val="28"/>
          <w:szCs w:val="28"/>
          <w:lang w:val="en-US"/>
        </w:rPr>
      </w:pPr>
      <w:r w:rsidRPr="00857DD5">
        <w:rPr>
          <w:b/>
          <w:bCs/>
          <w:color w:val="000000" w:themeColor="text1"/>
          <w:sz w:val="28"/>
          <w:szCs w:val="28"/>
        </w:rPr>
        <w:t xml:space="preserve">Bioprospecting of </w:t>
      </w:r>
      <w:proofErr w:type="spellStart"/>
      <w:r w:rsidRPr="00857DD5">
        <w:rPr>
          <w:b/>
          <w:bCs/>
          <w:color w:val="000000" w:themeColor="text1"/>
          <w:sz w:val="28"/>
          <w:szCs w:val="28"/>
        </w:rPr>
        <w:t>endophytic</w:t>
      </w:r>
      <w:proofErr w:type="spellEnd"/>
      <w:r w:rsidRPr="00857DD5">
        <w:rPr>
          <w:b/>
          <w:bCs/>
          <w:color w:val="000000" w:themeColor="text1"/>
          <w:sz w:val="28"/>
          <w:szCs w:val="28"/>
        </w:rPr>
        <w:t xml:space="preserve"> fungi isolated from soybean plants with potential for the biocontrol of </w:t>
      </w:r>
      <w:proofErr w:type="spellStart"/>
      <w:r w:rsidRPr="00857DD5">
        <w:rPr>
          <w:b/>
          <w:bCs/>
          <w:i/>
          <w:iCs/>
          <w:color w:val="000000" w:themeColor="text1"/>
          <w:sz w:val="28"/>
          <w:szCs w:val="28"/>
        </w:rPr>
        <w:t>Cercospora</w:t>
      </w:r>
      <w:proofErr w:type="spellEnd"/>
      <w:r w:rsidRPr="00857DD5">
        <w:rPr>
          <w:b/>
          <w:bCs/>
          <w:color w:val="000000" w:themeColor="text1"/>
          <w:sz w:val="28"/>
          <w:szCs w:val="28"/>
        </w:rPr>
        <w:t xml:space="preserve"> sp.</w:t>
      </w:r>
    </w:p>
    <w:p w:rsidR="00CC3790" w:rsidRPr="00A17BBF" w:rsidRDefault="00FA1A82" w:rsidP="00CC3790">
      <w:pPr>
        <w:pStyle w:val="NormalWeb"/>
        <w:spacing w:before="0" w:beforeAutospacing="0" w:after="0" w:afterAutospacing="0" w:line="256" w:lineRule="auto"/>
        <w:jc w:val="center"/>
        <w:rPr>
          <w:rFonts w:eastAsia="Arial"/>
          <w:b/>
          <w:position w:val="1"/>
          <w:sz w:val="22"/>
          <w:szCs w:val="22"/>
          <w:vertAlign w:val="superscript"/>
          <w:lang w:val="pt-BR"/>
        </w:rPr>
      </w:pPr>
      <w:r w:rsidRPr="00A17BBF">
        <w:rPr>
          <w:rFonts w:eastAsia="Arial"/>
          <w:b/>
          <w:bCs/>
          <w:position w:val="1"/>
          <w:sz w:val="22"/>
          <w:szCs w:val="22"/>
          <w:u w:val="single"/>
          <w:lang w:val="pt-BR"/>
        </w:rPr>
        <w:t>Eduardo dos Santos Lima (PIBIC/UFPI)</w:t>
      </w:r>
      <w:r w:rsidRPr="00A17BBF">
        <w:rPr>
          <w:rFonts w:eastAsia="Arial"/>
          <w:b/>
          <w:bCs/>
          <w:position w:val="1"/>
          <w:sz w:val="22"/>
          <w:szCs w:val="22"/>
          <w:lang w:val="pt-BR"/>
        </w:rPr>
        <w:t xml:space="preserve">, Sara do Lago Gomes, </w:t>
      </w:r>
      <w:proofErr w:type="spellStart"/>
      <w:r w:rsidRPr="00A17BBF">
        <w:rPr>
          <w:rFonts w:eastAsia="Arial"/>
          <w:b/>
          <w:bCs/>
          <w:position w:val="1"/>
          <w:sz w:val="22"/>
          <w:szCs w:val="22"/>
          <w:lang w:val="pt-BR"/>
        </w:rPr>
        <w:t>Estefenson</w:t>
      </w:r>
      <w:proofErr w:type="spellEnd"/>
      <w:r w:rsidRPr="00A17BBF">
        <w:rPr>
          <w:rFonts w:eastAsia="Arial"/>
          <w:b/>
          <w:bCs/>
          <w:position w:val="1"/>
          <w:sz w:val="22"/>
          <w:szCs w:val="22"/>
          <w:lang w:val="pt-BR"/>
        </w:rPr>
        <w:t xml:space="preserve"> Marques Morais, Francisca Diana da Silva Araújo</w:t>
      </w:r>
      <w:r w:rsidR="000D50B5" w:rsidRPr="00A17BBF">
        <w:rPr>
          <w:rFonts w:eastAsia="Arial"/>
          <w:b/>
          <w:bCs/>
          <w:position w:val="1"/>
          <w:sz w:val="22"/>
          <w:szCs w:val="22"/>
          <w:vertAlign w:val="superscript"/>
          <w:lang w:val="pt-BR"/>
        </w:rPr>
        <w:t>*</w:t>
      </w:r>
    </w:p>
    <w:p w:rsidR="00A17BBF" w:rsidRPr="00C20852" w:rsidRDefault="00A17BBF" w:rsidP="00A17BBF">
      <w:pPr>
        <w:jc w:val="center"/>
        <w:rPr>
          <w:i/>
          <w:sz w:val="18"/>
          <w:szCs w:val="18"/>
          <w:lang w:val="pt-BR"/>
        </w:rPr>
      </w:pPr>
      <w:r w:rsidRPr="00C20852">
        <w:rPr>
          <w:i/>
          <w:sz w:val="18"/>
          <w:szCs w:val="18"/>
          <w:lang w:val="pt-BR"/>
        </w:rPr>
        <w:t xml:space="preserve">Campus Professora </w:t>
      </w:r>
      <w:proofErr w:type="spellStart"/>
      <w:r w:rsidRPr="00C20852">
        <w:rPr>
          <w:i/>
          <w:sz w:val="18"/>
          <w:szCs w:val="18"/>
          <w:lang w:val="pt-BR"/>
        </w:rPr>
        <w:t>Cinobelina</w:t>
      </w:r>
      <w:proofErr w:type="spellEnd"/>
      <w:r w:rsidRPr="00C20852">
        <w:rPr>
          <w:i/>
          <w:sz w:val="18"/>
          <w:szCs w:val="18"/>
          <w:lang w:val="pt-BR"/>
        </w:rPr>
        <w:t xml:space="preserve"> </w:t>
      </w:r>
      <w:proofErr w:type="spellStart"/>
      <w:r w:rsidRPr="00C20852">
        <w:rPr>
          <w:i/>
          <w:sz w:val="18"/>
          <w:szCs w:val="18"/>
          <w:lang w:val="pt-BR"/>
        </w:rPr>
        <w:t>Elvas</w:t>
      </w:r>
      <w:proofErr w:type="spellEnd"/>
      <w:r w:rsidRPr="00C20852">
        <w:rPr>
          <w:i/>
          <w:sz w:val="18"/>
          <w:szCs w:val="18"/>
          <w:lang w:val="pt-BR"/>
        </w:rPr>
        <w:t xml:space="preserve">, Federal </w:t>
      </w:r>
      <w:proofErr w:type="spellStart"/>
      <w:r>
        <w:rPr>
          <w:i/>
          <w:sz w:val="18"/>
          <w:szCs w:val="18"/>
          <w:lang w:val="pt-BR"/>
        </w:rPr>
        <w:t>University</w:t>
      </w:r>
      <w:proofErr w:type="spellEnd"/>
      <w:r>
        <w:rPr>
          <w:i/>
          <w:sz w:val="18"/>
          <w:szCs w:val="18"/>
          <w:lang w:val="pt-BR"/>
        </w:rPr>
        <w:t xml:space="preserve"> </w:t>
      </w:r>
      <w:proofErr w:type="spellStart"/>
      <w:r>
        <w:rPr>
          <w:i/>
          <w:sz w:val="18"/>
          <w:szCs w:val="18"/>
          <w:lang w:val="pt-BR"/>
        </w:rPr>
        <w:t>of</w:t>
      </w:r>
      <w:proofErr w:type="spellEnd"/>
      <w:r w:rsidRPr="00C20852">
        <w:rPr>
          <w:i/>
          <w:sz w:val="18"/>
          <w:szCs w:val="18"/>
          <w:lang w:val="pt-BR"/>
        </w:rPr>
        <w:t xml:space="preserve"> Piauí, Bom Jesus, P</w:t>
      </w:r>
      <w:r>
        <w:rPr>
          <w:i/>
          <w:sz w:val="18"/>
          <w:szCs w:val="18"/>
          <w:lang w:val="pt-BR"/>
        </w:rPr>
        <w:t xml:space="preserve">I, </w:t>
      </w:r>
      <w:r w:rsidRPr="00BD56F3">
        <w:rPr>
          <w:i/>
          <w:sz w:val="18"/>
          <w:szCs w:val="18"/>
          <w:lang w:val="pt-BR"/>
        </w:rPr>
        <w:t>64900-000,</w:t>
      </w:r>
      <w:r w:rsidRPr="00C20852">
        <w:rPr>
          <w:i/>
          <w:sz w:val="18"/>
          <w:szCs w:val="18"/>
          <w:lang w:val="pt-BR"/>
        </w:rPr>
        <w:t xml:space="preserve"> </w:t>
      </w:r>
      <w:proofErr w:type="spellStart"/>
      <w:r w:rsidRPr="00C20852">
        <w:rPr>
          <w:i/>
          <w:sz w:val="18"/>
          <w:szCs w:val="18"/>
          <w:lang w:val="pt-BR"/>
        </w:rPr>
        <w:t>Brazil</w:t>
      </w:r>
      <w:proofErr w:type="spellEnd"/>
      <w:r>
        <w:rPr>
          <w:i/>
          <w:sz w:val="18"/>
          <w:szCs w:val="18"/>
          <w:lang w:val="pt-BR"/>
        </w:rPr>
        <w:t>.</w:t>
      </w:r>
    </w:p>
    <w:p w:rsidR="00087E17" w:rsidRPr="00A17BBF" w:rsidRDefault="000D614D" w:rsidP="000D614D">
      <w:pPr>
        <w:pStyle w:val="NormalWeb"/>
        <w:spacing w:before="0" w:beforeAutospacing="0" w:after="0" w:afterAutospacing="0" w:line="256" w:lineRule="auto"/>
        <w:jc w:val="center"/>
        <w:rPr>
          <w:sz w:val="18"/>
          <w:lang w:val="pt-BR"/>
        </w:rPr>
        <w:sectPr w:rsidR="00087E17" w:rsidRPr="00A17BBF">
          <w:headerReference w:type="even" r:id="rId7"/>
          <w:headerReference w:type="first" r:id="rId8"/>
          <w:pgSz w:w="11906" w:h="16838"/>
          <w:pgMar w:top="1418" w:right="1701" w:bottom="1418" w:left="1701" w:header="0" w:footer="1134" w:gutter="0"/>
          <w:pgNumType w:start="1"/>
          <w:cols w:space="720"/>
          <w:titlePg/>
        </w:sectPr>
      </w:pPr>
      <w:r w:rsidRPr="00A17BBF">
        <w:rPr>
          <w:rFonts w:eastAsia="Calibri"/>
          <w:color w:val="000000" w:themeColor="text1"/>
          <w:sz w:val="18"/>
          <w:lang w:val="pt-BR"/>
        </w:rPr>
        <w:t>* E-mail: diana.araujo@ufpi.edu.br</w:t>
      </w:r>
    </w:p>
    <w:p w:rsidR="00087E17" w:rsidRDefault="00FA1A82" w:rsidP="00607083">
      <w:pPr>
        <w:spacing w:before="100" w:beforeAutospacing="1" w:after="100" w:afterAutospacing="1" w:line="360" w:lineRule="auto"/>
      </w:pPr>
      <w:proofErr w:type="spellStart"/>
      <w:r w:rsidRPr="00857DD5">
        <w:lastRenderedPageBreak/>
        <w:t>Cercosporiosis</w:t>
      </w:r>
      <w:proofErr w:type="spellEnd"/>
      <w:r w:rsidRPr="00857DD5">
        <w:t xml:space="preserve">, a disease caused by fungi of the genus </w:t>
      </w:r>
      <w:proofErr w:type="spellStart"/>
      <w:r w:rsidRPr="007E74C3">
        <w:rPr>
          <w:i/>
        </w:rPr>
        <w:t>Cercospora</w:t>
      </w:r>
      <w:proofErr w:type="spellEnd"/>
      <w:r w:rsidRPr="00857DD5">
        <w:t xml:space="preserve">, represents an important disease associated with leaf </w:t>
      </w:r>
      <w:r>
        <w:t>spot</w:t>
      </w:r>
      <w:r w:rsidRPr="00857DD5">
        <w:t xml:space="preserve"> across a wide </w:t>
      </w:r>
      <w:r>
        <w:t>variety</w:t>
      </w:r>
      <w:r w:rsidRPr="00857DD5">
        <w:t xml:space="preserve"> of hosts, including cultivated and wild species. </w:t>
      </w:r>
      <w:proofErr w:type="spellStart"/>
      <w:r w:rsidRPr="0099051E">
        <w:rPr>
          <w:i/>
          <w:iCs/>
        </w:rPr>
        <w:t>Cercospora</w:t>
      </w:r>
      <w:proofErr w:type="spellEnd"/>
      <w:r w:rsidRPr="0099051E">
        <w:rPr>
          <w:i/>
          <w:iCs/>
        </w:rPr>
        <w:t xml:space="preserve"> </w:t>
      </w:r>
      <w:proofErr w:type="spellStart"/>
      <w:r w:rsidRPr="0099051E">
        <w:rPr>
          <w:i/>
          <w:iCs/>
        </w:rPr>
        <w:t>kikuchii</w:t>
      </w:r>
      <w:proofErr w:type="spellEnd"/>
      <w:r w:rsidRPr="00857DD5">
        <w:t xml:space="preserve"> has a broad geographic distribution and a high capacity for dissemination, potentially causing significant yield loss</w:t>
      </w:r>
      <w:bookmarkStart w:id="0" w:name="_GoBack"/>
      <w:bookmarkEnd w:id="0"/>
      <w:r w:rsidRPr="00857DD5">
        <w:t xml:space="preserve">es in different agricultural systems. As an alternative to the intensive use of chemical fungicides, biological control using </w:t>
      </w:r>
      <w:proofErr w:type="spellStart"/>
      <w:r w:rsidRPr="00857DD5">
        <w:t>endophytic</w:t>
      </w:r>
      <w:proofErr w:type="spellEnd"/>
      <w:r w:rsidRPr="00857DD5">
        <w:t xml:space="preserve"> fungi has emerged as a promising strategy for the sustainable management of </w:t>
      </w:r>
      <w:proofErr w:type="spellStart"/>
      <w:r w:rsidRPr="00857DD5">
        <w:t>phytopathogens</w:t>
      </w:r>
      <w:proofErr w:type="spellEnd"/>
      <w:r w:rsidRPr="00857DD5">
        <w:t xml:space="preserve">. In this context, the present study aimed to evaluate the antagonistic potential of </w:t>
      </w:r>
      <w:proofErr w:type="spellStart"/>
      <w:r w:rsidRPr="00857DD5">
        <w:t>endophytic</w:t>
      </w:r>
      <w:proofErr w:type="spellEnd"/>
      <w:r w:rsidRPr="00857DD5">
        <w:t xml:space="preserve"> fungi isolated from the roots of soybean plants cultivated in </w:t>
      </w:r>
      <w:proofErr w:type="spellStart"/>
      <w:r w:rsidRPr="00857DD5">
        <w:t>southwestern</w:t>
      </w:r>
      <w:proofErr w:type="spellEnd"/>
      <w:r w:rsidRPr="00857DD5">
        <w:t xml:space="preserve"> </w:t>
      </w:r>
      <w:proofErr w:type="spellStart"/>
      <w:r w:rsidRPr="00857DD5">
        <w:t>Piauí</w:t>
      </w:r>
      <w:proofErr w:type="spellEnd"/>
      <w:r w:rsidRPr="00857DD5">
        <w:t xml:space="preserve">, Brazil, for the biocontrol of </w:t>
      </w:r>
      <w:proofErr w:type="spellStart"/>
      <w:r w:rsidRPr="0099051E">
        <w:rPr>
          <w:i/>
          <w:iCs/>
        </w:rPr>
        <w:t>Cercospora</w:t>
      </w:r>
      <w:proofErr w:type="spellEnd"/>
      <w:r w:rsidRPr="00857DD5">
        <w:t xml:space="preserve"> sp. A total of 16 isolates were tested for </w:t>
      </w:r>
      <w:proofErr w:type="gramStart"/>
      <w:r w:rsidRPr="00857DD5">
        <w:t>their</w:t>
      </w:r>
      <w:proofErr w:type="gramEnd"/>
      <w:r w:rsidRPr="00857DD5">
        <w:t xml:space="preserve"> in vitro inhibition capacity using the dual culture technique. The experimental design was completely randomized, with four replicates per treatment. Data were subjected to analysis of variance (ANOVA), followed by the Scott–Knott test (p ≤ 0.05), using R software. When the assumption of normality was not met, according to the Shapiro–Wilk test (p ≤ 0.05), the nonparametric Mann–Whitney test was applied.</w:t>
      </w:r>
      <w:r>
        <w:t xml:space="preserve"> </w:t>
      </w:r>
      <w:r w:rsidRPr="00857DD5">
        <w:t xml:space="preserve">The results revealed significant differences among the isolates, with inhibition percentages ranging from 34 to 82%. The isolates FS50, FS42, and RS15 stood out, showing the highest inhibition percentages (81.50, 77.25, and 71.50%, respectively). These findings highlight the high potential of </w:t>
      </w:r>
      <w:proofErr w:type="spellStart"/>
      <w:r w:rsidRPr="00857DD5">
        <w:t>endophytic</w:t>
      </w:r>
      <w:proofErr w:type="spellEnd"/>
      <w:r w:rsidRPr="00857DD5">
        <w:t xml:space="preserve"> isolates native to </w:t>
      </w:r>
      <w:proofErr w:type="spellStart"/>
      <w:r w:rsidRPr="00857DD5">
        <w:t>southwestern</w:t>
      </w:r>
      <w:proofErr w:type="spellEnd"/>
      <w:r w:rsidRPr="00857DD5">
        <w:t xml:space="preserve"> </w:t>
      </w:r>
      <w:proofErr w:type="spellStart"/>
      <w:r w:rsidRPr="00857DD5">
        <w:t>Piauí</w:t>
      </w:r>
      <w:proofErr w:type="spellEnd"/>
      <w:r w:rsidRPr="00857DD5">
        <w:t xml:space="preserve"> for the biocontrol of </w:t>
      </w:r>
      <w:proofErr w:type="spellStart"/>
      <w:r w:rsidRPr="0099051E">
        <w:rPr>
          <w:i/>
          <w:iCs/>
        </w:rPr>
        <w:t>Cercospora</w:t>
      </w:r>
      <w:proofErr w:type="spellEnd"/>
      <w:r w:rsidRPr="00857DD5">
        <w:t xml:space="preserve"> sp., emphasizing the importance of selecting microorganisms adapted to local </w:t>
      </w:r>
      <w:proofErr w:type="spellStart"/>
      <w:r w:rsidRPr="00857DD5">
        <w:t>edaphoclimatic</w:t>
      </w:r>
      <w:proofErr w:type="spellEnd"/>
      <w:r w:rsidRPr="00857DD5">
        <w:t xml:space="preserve"> conditions for the development of sustainable disease management strategies.</w:t>
      </w:r>
    </w:p>
    <w:p w:rsidR="007E74C3" w:rsidRPr="007E74C3" w:rsidRDefault="007E74C3" w:rsidP="007E74C3">
      <w:pPr>
        <w:jc w:val="left"/>
        <w:rPr>
          <w:lang w:val="pt-BR"/>
        </w:rPr>
      </w:pPr>
      <w:r>
        <w:rPr>
          <w:rStyle w:val="Forte"/>
        </w:rPr>
        <w:t>Keywords:</w:t>
      </w:r>
      <w:r>
        <w:t xml:space="preserve"> Soybean; Antagonistic activity; In vitro assay</w:t>
      </w:r>
    </w:p>
    <w:sectPr w:rsidR="007E74C3" w:rsidRPr="007E74C3">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6FC" w:rsidRDefault="00B366FC">
      <w:r>
        <w:separator/>
      </w:r>
    </w:p>
  </w:endnote>
  <w:endnote w:type="continuationSeparator" w:id="0">
    <w:p w:rsidR="00B366FC" w:rsidRDefault="00B3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BD425AA-6742-4E6C-9905-32E9D1378369}"/>
  </w:font>
  <w:font w:name="Georgia">
    <w:panose1 w:val="02040502050405020303"/>
    <w:charset w:val="00"/>
    <w:family w:val="roman"/>
    <w:pitch w:val="variable"/>
    <w:sig w:usb0="00000287" w:usb1="00000000" w:usb2="00000000" w:usb3="00000000" w:csb0="0000009F" w:csb1="00000000"/>
    <w:embedItalic r:id="rId2" w:fontKey="{12CFFB57-21EB-4F1A-AB2F-55229C054CA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C9B6B28-BE18-4AD8-8170-28EA93340A41}"/>
  </w:font>
  <w:font w:name="Cambria">
    <w:panose1 w:val="02040503050406030204"/>
    <w:charset w:val="00"/>
    <w:family w:val="roman"/>
    <w:pitch w:val="variable"/>
    <w:sig w:usb0="E00006FF" w:usb1="420024FF" w:usb2="02000000" w:usb3="00000000" w:csb0="0000019F" w:csb1="00000000"/>
    <w:embedRegular r:id="rId4" w:fontKey="{AA3FFFB3-1A69-4834-832E-5B9182D29F5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6FC" w:rsidRDefault="00B366FC">
      <w:r>
        <w:separator/>
      </w:r>
    </w:p>
  </w:footnote>
  <w:footnote w:type="continuationSeparator" w:id="0">
    <w:p w:rsidR="00B366FC" w:rsidRDefault="00B366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17" w:rsidRDefault="00B366FC">
    <w:pPr>
      <w:pBdr>
        <w:top w:val="nil"/>
        <w:left w:val="nil"/>
        <w:bottom w:val="nil"/>
        <w:right w:val="nil"/>
        <w:between w:val="nil"/>
      </w:pBdr>
      <w:tabs>
        <w:tab w:val="center" w:pos="4680"/>
        <w:tab w:val="right" w:pos="9360"/>
      </w:tabs>
      <w:rPr>
        <w:color w:val="000000"/>
      </w:rPr>
    </w:pPr>
    <w:r>
      <w:rPr>
        <w:color w:val="000000"/>
      </w:rPr>
      <w:pict w14:anchorId="02671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style="position:absolute;left:0;text-align:left;margin-left:0;margin-top:0;width:424.7pt;height:424.7pt;z-index:-251656192;mso-position-horizontal:center;mso-position-horizontal-relative:margin;mso-position-vertical:center;mso-position-vertical-relative:margin">
          <v:imagedata r:id="rId1" o:title="image4" gain="19661f" blacklevel="22938f"/>
          <w10:wrap anchorx="margin" anchory="margin"/>
        </v:shape>
      </w:pict>
    </w:r>
    <w:r>
      <w:rPr>
        <w:color w:val="000000"/>
      </w:rPr>
      <w:pict w14:anchorId="47525141">
        <v:shape id="WordPictureWatermark1" o:spid="_x0000_s3074" type="#_x0000_t75" style="position:absolute;left:0;text-align:left;margin-left:0;margin-top:0;width:481.75pt;height:503.6pt;z-index:-251655168;mso-position-horizontal:center;mso-position-horizontal-relative:margin;mso-position-vertical:center;mso-position-vertical-relative:margin">
          <v:imagedata r:id="rId2" o:title="image6"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17" w:rsidRDefault="00FA1A82">
    <w:pPr>
      <w:pBdr>
        <w:top w:val="nil"/>
        <w:left w:val="nil"/>
        <w:bottom w:val="nil"/>
        <w:right w:val="nil"/>
        <w:between w:val="nil"/>
      </w:pBdr>
      <w:tabs>
        <w:tab w:val="center" w:pos="4680"/>
        <w:tab w:val="right" w:pos="9360"/>
      </w:tabs>
      <w:rPr>
        <w:color w:val="000000"/>
      </w:rPr>
    </w:pPr>
    <w:r>
      <w:rPr>
        <w:noProof/>
        <w:lang w:val="pt-BR"/>
      </w:rPr>
      <w:drawing>
        <wp:anchor distT="0" distB="0" distL="0" distR="0" simplePos="0" relativeHeight="251658240" behindDoc="1" locked="0" layoutInCell="1" allowOverlap="1">
          <wp:simplePos x="0" y="0"/>
          <wp:positionH relativeFrom="column">
            <wp:posOffset>-1242059</wp:posOffset>
          </wp:positionH>
          <wp:positionV relativeFrom="paragraph">
            <wp:posOffset>9525</wp:posOffset>
          </wp:positionV>
          <wp:extent cx="7737575" cy="1745963"/>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
                  <a:srcRect l="-1965" t="5847" r="1965" b="-5847"/>
                  <a:stretch>
                    <a:fillRect/>
                  </a:stretch>
                </pic:blipFill>
                <pic:spPr>
                  <a:xfrm>
                    <a:off x="0" y="0"/>
                    <a:ext cx="7737575" cy="1745963"/>
                  </a:xfrm>
                  <a:prstGeom prst="rect">
                    <a:avLst/>
                  </a:prstGeom>
                </pic:spPr>
              </pic:pic>
            </a:graphicData>
          </a:graphic>
        </wp:anchor>
      </w:drawing>
    </w: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p w:rsidR="00087E17" w:rsidRDefault="00087E1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17" w:rsidRDefault="00FA1A82">
    <w:pPr>
      <w:pBdr>
        <w:top w:val="nil"/>
        <w:left w:val="nil"/>
        <w:bottom w:val="nil"/>
        <w:right w:val="nil"/>
        <w:between w:val="nil"/>
      </w:pBdr>
      <w:tabs>
        <w:tab w:val="center" w:pos="4680"/>
        <w:tab w:val="right" w:pos="9360"/>
      </w:tabs>
      <w:rPr>
        <w:color w:val="000000"/>
      </w:rPr>
    </w:pPr>
    <w:r>
      <w:rPr>
        <w:noProof/>
        <w:color w:val="000000"/>
        <w:lang w:val="pt-BR"/>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393690" cy="5393690"/>
          <wp:effectExtent l="0" t="0" r="0" b="0"/>
          <wp:wrapNone/>
          <wp:docPr id="4" name="Imagem 4" descr="Logoti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tipo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tretch>
                    <a:fillRect/>
                  </a:stretch>
                </pic:blipFill>
                <pic:spPr bwMode="auto">
                  <a:xfrm>
                    <a:off x="0" y="0"/>
                    <a:ext cx="5393690" cy="539369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pt-BR"/>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18225" cy="6395720"/>
          <wp:effectExtent l="0" t="0" r="0" b="5080"/>
          <wp:wrapNone/>
          <wp:docPr id="3" name="Imagem 3" descr="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tretch>
                    <a:fillRect/>
                  </a:stretch>
                </pic:blipFill>
                <pic:spPr bwMode="auto">
                  <a:xfrm>
                    <a:off x="0" y="0"/>
                    <a:ext cx="6118225" cy="63957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E17" w:rsidRDefault="00FA1A82">
    <w:pPr>
      <w:pBdr>
        <w:top w:val="nil"/>
        <w:left w:val="nil"/>
        <w:bottom w:val="nil"/>
        <w:right w:val="nil"/>
        <w:between w:val="nil"/>
      </w:pBdr>
      <w:tabs>
        <w:tab w:val="center" w:pos="4680"/>
        <w:tab w:val="right" w:pos="9360"/>
      </w:tabs>
      <w:rPr>
        <w:color w:val="000000"/>
      </w:rPr>
    </w:pPr>
    <w:r>
      <w:rPr>
        <w:noProof/>
        <w:lang w:val="pt-BR"/>
      </w:rPr>
      <w:drawing>
        <wp:anchor distT="0" distB="0" distL="114300" distR="114300" simplePos="0" relativeHeight="251659264" behindDoc="0" locked="0" layoutInCell="1" allowOverlap="1">
          <wp:simplePos x="0" y="0"/>
          <wp:positionH relativeFrom="column">
            <wp:posOffset>-1097912</wp:posOffset>
          </wp:positionH>
          <wp:positionV relativeFrom="paragraph">
            <wp:posOffset>-198116</wp:posOffset>
          </wp:positionV>
          <wp:extent cx="7598410" cy="2517775"/>
          <wp:effectExtent l="0" t="0" r="0" b="0"/>
          <wp:wrapSquare wrapText="bothSides"/>
          <wp:docPr id="1785663953" name="image5.png"/>
          <wp:cNvGraphicFramePr/>
          <a:graphic xmlns:a="http://schemas.openxmlformats.org/drawingml/2006/main">
            <a:graphicData uri="http://schemas.openxmlformats.org/drawingml/2006/picture">
              <pic:pic xmlns:pic="http://schemas.openxmlformats.org/drawingml/2006/picture">
                <pic:nvPicPr>
                  <pic:cNvPr id="1785663953" name="image5.png"/>
                  <pic:cNvPicPr/>
                </pic:nvPicPr>
                <pic:blipFill>
                  <a:blip r:embed="rId1"/>
                  <a:stretch>
                    <a:fillRect/>
                  </a:stretch>
                </pic:blipFill>
                <pic:spPr>
                  <a:xfrm>
                    <a:off x="0" y="0"/>
                    <a:ext cx="7598410" cy="25177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E17"/>
    <w:rsid w:val="00087E17"/>
    <w:rsid w:val="000D50B5"/>
    <w:rsid w:val="000D614D"/>
    <w:rsid w:val="000E7188"/>
    <w:rsid w:val="00104608"/>
    <w:rsid w:val="00160724"/>
    <w:rsid w:val="002F16B5"/>
    <w:rsid w:val="00307F77"/>
    <w:rsid w:val="00403F13"/>
    <w:rsid w:val="00417EE8"/>
    <w:rsid w:val="004C5076"/>
    <w:rsid w:val="004C7FF3"/>
    <w:rsid w:val="00530815"/>
    <w:rsid w:val="00563484"/>
    <w:rsid w:val="00582945"/>
    <w:rsid w:val="005925CC"/>
    <w:rsid w:val="00607083"/>
    <w:rsid w:val="006B36A9"/>
    <w:rsid w:val="007027E6"/>
    <w:rsid w:val="00713A50"/>
    <w:rsid w:val="007E74C3"/>
    <w:rsid w:val="00857DD5"/>
    <w:rsid w:val="00880714"/>
    <w:rsid w:val="009873C8"/>
    <w:rsid w:val="0099051E"/>
    <w:rsid w:val="00995644"/>
    <w:rsid w:val="00A17BBF"/>
    <w:rsid w:val="00A63AEA"/>
    <w:rsid w:val="00A9715F"/>
    <w:rsid w:val="00AD21D9"/>
    <w:rsid w:val="00AF1FCF"/>
    <w:rsid w:val="00B366FC"/>
    <w:rsid w:val="00C30003"/>
    <w:rsid w:val="00CC3790"/>
    <w:rsid w:val="00CD5AB4"/>
    <w:rsid w:val="00D37FF5"/>
    <w:rsid w:val="00DE7D7D"/>
    <w:rsid w:val="00DF1C03"/>
    <w:rsid w:val="00E117FD"/>
    <w:rsid w:val="00FA1A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62866DD7"/>
  <w15:docId w15:val="{3E2E1182-E730-4F6E-B2F8-D0F163E3B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Ttulo1">
    <w:name w:val="heading 1"/>
    <w:basedOn w:val="Normal"/>
    <w:next w:val="Normal"/>
    <w:pPr>
      <w:keepNext/>
      <w:spacing w:before="120" w:after="120"/>
      <w:jc w:val="center"/>
      <w:outlineLvl w:val="0"/>
    </w:pPr>
    <w:rPr>
      <w:b/>
      <w:bCs/>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_0"/>
    <w:tblPr>
      <w:tblCellMar>
        <w:top w:w="100" w:type="dxa"/>
        <w:left w:w="100" w:type="dxa"/>
        <w:bottom w:w="100" w:type="dxa"/>
        <w:right w:w="100" w:type="dxa"/>
      </w:tblCellMar>
    </w:tblPr>
  </w:style>
  <w:style w:type="table" w:customStyle="1" w:styleId="TableNormal00">
    <w:name w:val="Table Normal_0"/>
    <w:tblPr>
      <w:tblCellMar>
        <w:top w:w="0" w:type="dxa"/>
        <w:left w:w="0" w:type="dxa"/>
        <w:bottom w:w="0" w:type="dxa"/>
        <w:right w:w="0" w:type="dxa"/>
      </w:tblCellMar>
    </w:tblPr>
  </w:style>
  <w:style w:type="paragraph" w:customStyle="1" w:styleId="Ref">
    <w:name w:val="Ref"/>
    <w:basedOn w:val="Normal"/>
    <w:rsid w:val="00060B2C"/>
    <w:pPr>
      <w:ind w:left="720" w:hanging="720"/>
    </w:pPr>
  </w:style>
  <w:style w:type="paragraph" w:customStyle="1" w:styleId="Authors">
    <w:name w:val="Authors"/>
    <w:basedOn w:val="Normal"/>
    <w:rsid w:val="00060B2C"/>
    <w:pPr>
      <w:spacing w:before="240" w:after="240"/>
      <w:jc w:val="center"/>
    </w:pPr>
    <w:rPr>
      <w:i/>
      <w:sz w:val="28"/>
    </w:rPr>
  </w:style>
  <w:style w:type="paragraph" w:customStyle="1" w:styleId="address">
    <w:name w:val="address"/>
    <w:basedOn w:val="Normal"/>
    <w:rsid w:val="00060B2C"/>
    <w:pPr>
      <w:spacing w:before="120" w:after="120"/>
    </w:p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0E7188"/>
    <w:pPr>
      <w:spacing w:before="100" w:beforeAutospacing="1" w:after="100" w:afterAutospacing="1"/>
      <w:jc w:val="left"/>
    </w:pPr>
  </w:style>
  <w:style w:type="paragraph" w:styleId="Reviso">
    <w:name w:val="Revision"/>
    <w:hidden/>
    <w:uiPriority w:val="99"/>
    <w:semiHidden/>
    <w:rsid w:val="002F16B5"/>
    <w:pPr>
      <w:jc w:val="left"/>
    </w:pPr>
  </w:style>
  <w:style w:type="character" w:styleId="Refdecomentrio">
    <w:name w:val="annotation reference"/>
    <w:basedOn w:val="Fontepargpadro"/>
    <w:uiPriority w:val="99"/>
    <w:semiHidden/>
    <w:unhideWhenUsed/>
    <w:rsid w:val="00E117FD"/>
    <w:rPr>
      <w:sz w:val="16"/>
      <w:szCs w:val="16"/>
    </w:rPr>
  </w:style>
  <w:style w:type="paragraph" w:styleId="Textodecomentrio">
    <w:name w:val="annotation text"/>
    <w:basedOn w:val="Normal"/>
    <w:link w:val="TextodecomentrioChar"/>
    <w:uiPriority w:val="99"/>
    <w:unhideWhenUsed/>
    <w:rsid w:val="00E117FD"/>
    <w:rPr>
      <w:sz w:val="20"/>
      <w:szCs w:val="20"/>
    </w:rPr>
  </w:style>
  <w:style w:type="character" w:customStyle="1" w:styleId="TextodecomentrioChar">
    <w:name w:val="Texto de comentário Char"/>
    <w:basedOn w:val="Fontepargpadro"/>
    <w:link w:val="Textodecomentrio"/>
    <w:uiPriority w:val="99"/>
    <w:rsid w:val="00E117FD"/>
    <w:rPr>
      <w:sz w:val="20"/>
      <w:szCs w:val="20"/>
    </w:rPr>
  </w:style>
  <w:style w:type="paragraph" w:styleId="Assuntodocomentrio">
    <w:name w:val="annotation subject"/>
    <w:basedOn w:val="Textodecomentrio"/>
    <w:next w:val="Textodecomentrio"/>
    <w:link w:val="AssuntodocomentrioChar"/>
    <w:uiPriority w:val="99"/>
    <w:semiHidden/>
    <w:unhideWhenUsed/>
    <w:rsid w:val="00E117FD"/>
    <w:rPr>
      <w:b/>
      <w:bCs/>
    </w:rPr>
  </w:style>
  <w:style w:type="character" w:customStyle="1" w:styleId="AssuntodocomentrioChar">
    <w:name w:val="Assunto do comentário Char"/>
    <w:basedOn w:val="TextodecomentrioChar"/>
    <w:link w:val="Assuntodocomentrio"/>
    <w:uiPriority w:val="99"/>
    <w:semiHidden/>
    <w:rsid w:val="00E117FD"/>
    <w:rPr>
      <w:b/>
      <w:bCs/>
      <w:sz w:val="20"/>
      <w:szCs w:val="20"/>
    </w:rPr>
  </w:style>
  <w:style w:type="character" w:styleId="Forte">
    <w:name w:val="Strong"/>
    <w:basedOn w:val="Fontepargpadro"/>
    <w:uiPriority w:val="22"/>
    <w:qFormat/>
    <w:rsid w:val="007E74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783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p3jNgr0rvuu+Z/Q82kkovYP+g==">CgMxLjA4AHIhMTZNMmp0T0ZRTXNMQ2o3dHEtZEZRbjNqQUllNGRKTm9x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1862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Eduardo Dos santos lima</cp:lastModifiedBy>
  <cp:revision>2</cp:revision>
  <dcterms:created xsi:type="dcterms:W3CDTF">2026-04-14T22:30:00Z</dcterms:created>
  <dcterms:modified xsi:type="dcterms:W3CDTF">2026-04-14T22:30:00Z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y fmtid="{D5CDD505-2E9C-101B-9397-08002B2CF9AE}" pid="3" name="LE1">
    <vt:filetime>2026-04-14T21:28:56Z</vt:filetime>
  </property>
</Properties>
</file>