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DA1" w:rsidRDefault="00F16DA1">
      <w:pPr>
        <w:rPr>
          <w:rFonts w:ascii="Arial" w:eastAsia="Arial" w:hAnsi="Arial" w:cs="Arial"/>
          <w:b/>
        </w:rPr>
      </w:pPr>
    </w:p>
    <w:p w:rsidR="00F16DA1" w:rsidRDefault="00735A9B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 PRÁTICA COMO COMPONENTE CURRICULAR NOS CURSOS DE LICENCIATURA: UMA LEITURA DA AUSÊNCIA NA RESOLUÇÃO 04/2024</w:t>
      </w:r>
    </w:p>
    <w:p w:rsidR="00F16DA1" w:rsidRDefault="00F16DA1">
      <w:pPr>
        <w:spacing w:after="0" w:line="240" w:lineRule="auto"/>
        <w:jc w:val="right"/>
        <w:rPr>
          <w:rFonts w:ascii="Arial" w:eastAsia="Arial" w:hAnsi="Arial" w:cs="Arial"/>
        </w:rPr>
      </w:pPr>
    </w:p>
    <w:p w:rsidR="00F16DA1" w:rsidRDefault="00F16DA1">
      <w:pPr>
        <w:spacing w:after="0" w:line="240" w:lineRule="auto"/>
        <w:rPr>
          <w:rFonts w:ascii="Arial" w:eastAsia="Arial" w:hAnsi="Arial" w:cs="Arial"/>
        </w:rPr>
      </w:pPr>
    </w:p>
    <w:p w:rsidR="00F16DA1" w:rsidRDefault="00735A9B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Introdução</w:t>
      </w:r>
    </w:p>
    <w:p w:rsidR="00F16DA1" w:rsidRDefault="00F16DA1">
      <w:pPr>
        <w:spacing w:after="0" w:line="240" w:lineRule="auto"/>
        <w:rPr>
          <w:rFonts w:ascii="Arial" w:eastAsia="Arial" w:hAnsi="Arial" w:cs="Arial"/>
        </w:rPr>
      </w:pPr>
    </w:p>
    <w:p w:rsidR="00F16DA1" w:rsidRDefault="00F16DA1">
      <w:pPr>
        <w:spacing w:after="0" w:line="240" w:lineRule="auto"/>
        <w:rPr>
          <w:rFonts w:ascii="Arial" w:eastAsia="Arial" w:hAnsi="Arial" w:cs="Arial"/>
        </w:rPr>
      </w:pPr>
    </w:p>
    <w:p w:rsidR="00F16DA1" w:rsidRPr="00DA78C6" w:rsidRDefault="00735A9B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DA78C6">
        <w:rPr>
          <w:rFonts w:ascii="Arial" w:eastAsia="Arial" w:hAnsi="Arial" w:cs="Arial"/>
        </w:rPr>
        <w:t>O presente texto propõe (</w:t>
      </w:r>
      <w:proofErr w:type="spellStart"/>
      <w:r w:rsidRPr="00DA78C6">
        <w:rPr>
          <w:rFonts w:ascii="Arial" w:eastAsia="Arial" w:hAnsi="Arial" w:cs="Arial"/>
        </w:rPr>
        <w:t>re</w:t>
      </w:r>
      <w:proofErr w:type="spellEnd"/>
      <w:r w:rsidRPr="00DA78C6">
        <w:rPr>
          <w:rFonts w:ascii="Arial" w:eastAsia="Arial" w:hAnsi="Arial" w:cs="Arial"/>
        </w:rPr>
        <w:t>)pensar o impacto da supressão da Prática como Componente Curricular (PCC) nos cursos de Licenciatura no Brasil, mediante a promulgação da Resolução CNE/CP nº 4/2024. As discussões se alocam, em particular, na análise documental das Diretrizes Curriculares Nacionais (DCN) para a formação de professores, na defesa da construção de uma política para os cursos de licenciatura assentada na ideia de práxis, que articule formação inicial e continuada, espaços formadores e trabalho docente com vistas à formação humana, crítica, emancipatória e ética.</w:t>
      </w:r>
    </w:p>
    <w:p w:rsidR="00F16DA1" w:rsidRPr="00DA78C6" w:rsidRDefault="00735A9B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DA78C6">
        <w:rPr>
          <w:rFonts w:ascii="Arial" w:eastAsia="Arial" w:hAnsi="Arial" w:cs="Arial"/>
        </w:rPr>
        <w:t xml:space="preserve">Na história da formação de professores no país se faz presente diferentes concepções e discussões da relação teoria-prática, as quais ora valorizam uma racionalidade técnica, prática ou </w:t>
      </w:r>
      <w:proofErr w:type="spellStart"/>
      <w:r w:rsidRPr="00DA78C6">
        <w:rPr>
          <w:rFonts w:ascii="Arial" w:eastAsia="Arial" w:hAnsi="Arial" w:cs="Arial"/>
        </w:rPr>
        <w:t>conteudista</w:t>
      </w:r>
      <w:proofErr w:type="spellEnd"/>
      <w:r w:rsidRPr="00DA78C6">
        <w:rPr>
          <w:rFonts w:ascii="Arial" w:eastAsia="Arial" w:hAnsi="Arial" w:cs="Arial"/>
        </w:rPr>
        <w:t>, e, na maioria das vezes, em detrimento de uma epistemologia da práxis. Nesses meandros, desde 1995, o componente “prática” tem ampliado seu espaço na matriz curricular das Licenciaturas (Real, 2012).</w:t>
      </w:r>
    </w:p>
    <w:p w:rsidR="00F16DA1" w:rsidRPr="00DA78C6" w:rsidRDefault="00735A9B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DA78C6">
        <w:rPr>
          <w:rFonts w:ascii="Arial" w:eastAsia="Arial" w:hAnsi="Arial" w:cs="Arial"/>
        </w:rPr>
        <w:t xml:space="preserve">O Parecer CNE/CES nº 744/1997 trata de orientações para o cumprimento do artigo 65 da LDB, acerca da prática de ensino como o espaço por excelência da vinculação entre formação teórica e início da vivência profissional, supervisionada pela instituição formadora. Nesse sentido, </w:t>
      </w:r>
      <w:r w:rsidR="00B313B7" w:rsidRPr="00DA78C6">
        <w:rPr>
          <w:rFonts w:ascii="Arial" w:eastAsia="Arial" w:hAnsi="Arial" w:cs="Arial"/>
        </w:rPr>
        <w:t>a prática</w:t>
      </w:r>
      <w:r w:rsidRPr="00DA78C6">
        <w:rPr>
          <w:rFonts w:ascii="Arial" w:eastAsia="Arial" w:hAnsi="Arial" w:cs="Arial"/>
        </w:rPr>
        <w:t xml:space="preserve"> de ensino é definida como elemento articulador entre a teoria e prática, sendo atribuído uma carga horária de, no mínimo, 300h, para a realização de atividades desenvolvidas na escola ou outros ambientes educativos, sob acompanhamento da instituição formadora, que posteriormente se materializa no estágio curricular obrigatório (ECO). </w:t>
      </w:r>
    </w:p>
    <w:p w:rsidR="00F16DA1" w:rsidRPr="00DA78C6" w:rsidRDefault="00735A9B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DA78C6">
        <w:rPr>
          <w:rFonts w:ascii="Arial" w:eastAsia="Arial" w:hAnsi="Arial" w:cs="Arial"/>
        </w:rPr>
        <w:lastRenderedPageBreak/>
        <w:t>A Resolução CNE/CP nº 1/2002, que instituiu as DCN para a formação de professores da Educação Básica, em nível superior, em curso de licenciatura, de graduação plena; após a LDB, estabeleceu que o conhecimento prático deveria estar presente desde o início do curso, permeando a formação e não restrita ao ECO. Assim, introduziu a PCC, e definiu 400h para cada componente.</w:t>
      </w:r>
    </w:p>
    <w:p w:rsidR="00F16DA1" w:rsidRPr="00DA78C6" w:rsidRDefault="00735A9B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DA78C6">
        <w:rPr>
          <w:rFonts w:ascii="Arial" w:eastAsia="Arial" w:hAnsi="Arial" w:cs="Arial"/>
        </w:rPr>
        <w:t>O Parecer CNE/CES nº 15/2005, define que as atividades de PCC podem ser desenvolvidas como núcleo, parte de disciplinas ou de outras atividades formativas, distinguindo-a do ECO.</w:t>
      </w:r>
      <w:r w:rsidRPr="00DA78C6">
        <w:rPr>
          <w:rFonts w:ascii="Arial" w:eastAsia="Arial" w:hAnsi="Arial" w:cs="Arial"/>
        </w:rPr>
        <w:tab/>
        <w:t xml:space="preserve">Cabe destacar que a compreensão da relação teoria-prática, nesse ordenamento legal, põe ênfase na dimensão da prática nas licenciaturas, compreendendo o professor como aplicador dos conhecimentos teóricos adquiridos na formação. Entendimento que revela uma concepção de formação instrumental e </w:t>
      </w:r>
      <w:proofErr w:type="spellStart"/>
      <w:r w:rsidRPr="00DA78C6">
        <w:rPr>
          <w:rFonts w:ascii="Arial" w:eastAsia="Arial" w:hAnsi="Arial" w:cs="Arial"/>
        </w:rPr>
        <w:t>praticista</w:t>
      </w:r>
      <w:proofErr w:type="spellEnd"/>
      <w:r w:rsidRPr="00DA78C6">
        <w:rPr>
          <w:rFonts w:ascii="Arial" w:eastAsia="Arial" w:hAnsi="Arial" w:cs="Arial"/>
        </w:rPr>
        <w:t>.</w:t>
      </w:r>
    </w:p>
    <w:p w:rsidR="00F16DA1" w:rsidRPr="00DA78C6" w:rsidRDefault="00735A9B">
      <w:pPr>
        <w:spacing w:after="0" w:line="360" w:lineRule="auto"/>
        <w:jc w:val="both"/>
        <w:rPr>
          <w:rFonts w:ascii="Arial" w:eastAsia="Arial" w:hAnsi="Arial" w:cs="Arial"/>
        </w:rPr>
      </w:pPr>
      <w:r w:rsidRPr="00DA78C6">
        <w:rPr>
          <w:rFonts w:ascii="Arial" w:eastAsia="Arial" w:hAnsi="Arial" w:cs="Arial"/>
        </w:rPr>
        <w:t xml:space="preserve"> </w:t>
      </w:r>
      <w:r w:rsidRPr="00DA78C6">
        <w:rPr>
          <w:rFonts w:ascii="Arial" w:eastAsia="Arial" w:hAnsi="Arial" w:cs="Arial"/>
        </w:rPr>
        <w:tab/>
      </w:r>
      <w:r w:rsidR="00DA78C6" w:rsidRPr="00DA78C6">
        <w:rPr>
          <w:rFonts w:ascii="Arial" w:eastAsia="Arial" w:hAnsi="Arial" w:cs="Arial"/>
        </w:rPr>
        <w:t xml:space="preserve">Diferentemente, a Resolução CNE/CP nº 2/2015, apresenta uma concepção de formação que se assenta em princípios históricos deste campo, como, por exemplo, a concepção ampliada de docência como ação educativa que contempla o ensino e as demais funções; sólida formação teórica; sólido domínio dos conteúdos e das metodologias, articulação entre formação inicial e continuada, teoria-prática, instituição formadora e redes de ensino;  o fortalecimento do debate entre formação, valorização, </w:t>
      </w:r>
      <w:r w:rsidR="00DA78C6" w:rsidRPr="00DA78C6">
        <w:rPr>
          <w:rFonts w:ascii="Arial" w:hAnsi="Arial" w:cs="Arial"/>
        </w:rPr>
        <w:t xml:space="preserve">condições de trabalho, de carreira e de remuneração, </w:t>
      </w:r>
      <w:r w:rsidR="00DA78C6" w:rsidRPr="00DA78C6">
        <w:rPr>
          <w:rFonts w:ascii="Arial" w:eastAsia="Arial" w:hAnsi="Arial" w:cs="Arial"/>
        </w:rPr>
        <w:t>etc.  Com base nesse entendimento, visa uma formação sólida, ampla e emancipatória, considerando a unidade teoria-prática, bem como a formação e valorização profissional docente. Nessa perspectiva, mantém a PCC, mas imprimindo uma compreensão de instância formativa, contrária, ao caráter instrumental, de mero momento de aplicação de conhecimentos, como posto na Resolução anterior.</w:t>
      </w:r>
    </w:p>
    <w:p w:rsidR="00F16DA1" w:rsidRPr="00DA78C6" w:rsidRDefault="00735A9B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DA78C6">
        <w:rPr>
          <w:rFonts w:ascii="Arial" w:eastAsia="Arial" w:hAnsi="Arial" w:cs="Arial"/>
        </w:rPr>
        <w:t xml:space="preserve">A Resolução CNE/CP nº 2/2019, documento controverso, no qual a PCC também se mantém, porém com a configuração da Resolução CNE/CP nº 1/2002, ou seja, retoma o caráter instrumental, </w:t>
      </w:r>
      <w:proofErr w:type="spellStart"/>
      <w:r w:rsidRPr="00DA78C6">
        <w:rPr>
          <w:rFonts w:ascii="Arial" w:eastAsia="Arial" w:hAnsi="Arial" w:cs="Arial"/>
        </w:rPr>
        <w:t>praticista</w:t>
      </w:r>
      <w:proofErr w:type="spellEnd"/>
      <w:r w:rsidRPr="00DA78C6">
        <w:rPr>
          <w:rFonts w:ascii="Arial" w:eastAsia="Arial" w:hAnsi="Arial" w:cs="Arial"/>
        </w:rPr>
        <w:t xml:space="preserve"> da formação, e, ao atrelar o processo formativo ao desenvolvimento de habilidades e competências da BNCC (2017) torna a docência uma atividade prática e meramente técnica, descolada da dimensão política, social e ética.</w:t>
      </w:r>
    </w:p>
    <w:p w:rsidR="00F16DA1" w:rsidRPr="00DA78C6" w:rsidRDefault="00735A9B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DA78C6">
        <w:rPr>
          <w:rFonts w:ascii="Arial" w:eastAsia="Arial" w:hAnsi="Arial" w:cs="Arial"/>
        </w:rPr>
        <w:lastRenderedPageBreak/>
        <w:t xml:space="preserve">A </w:t>
      </w:r>
      <w:hyperlink r:id="rId7">
        <w:r w:rsidRPr="00DA78C6">
          <w:rPr>
            <w:rFonts w:ascii="Arial" w:eastAsia="Arial" w:hAnsi="Arial" w:cs="Arial"/>
          </w:rPr>
          <w:t>Resolução CNE/CP nº 04/ 2024</w:t>
        </w:r>
      </w:hyperlink>
      <w:r w:rsidRPr="00DA78C6">
        <w:rPr>
          <w:rFonts w:ascii="Arial" w:eastAsia="Arial" w:hAnsi="Arial" w:cs="Arial"/>
        </w:rPr>
        <w:t xml:space="preserve">, dá continuidade a essa concepção de formação instrumental, </w:t>
      </w:r>
      <w:proofErr w:type="spellStart"/>
      <w:r w:rsidRPr="00DA78C6">
        <w:rPr>
          <w:rFonts w:ascii="Arial" w:eastAsia="Arial" w:hAnsi="Arial" w:cs="Arial"/>
        </w:rPr>
        <w:t>praticista</w:t>
      </w:r>
      <w:proofErr w:type="spellEnd"/>
      <w:r w:rsidRPr="00DA78C6">
        <w:rPr>
          <w:rFonts w:ascii="Arial" w:eastAsia="Arial" w:hAnsi="Arial" w:cs="Arial"/>
        </w:rPr>
        <w:t xml:space="preserve"> e reducionista, posta da Resolução CNE/CP nº 1/2002, embora tenha suprimido o componente de PCC. No entanto, incorpora a</w:t>
      </w:r>
      <w:r w:rsidRPr="00DA78C6">
        <w:rPr>
          <w:rFonts w:ascii="Arial" w:eastAsia="Arial" w:hAnsi="Arial" w:cs="Arial"/>
          <w:color w:val="FF0000"/>
        </w:rPr>
        <w:t xml:space="preserve"> </w:t>
      </w:r>
      <w:r w:rsidRPr="00DA78C6">
        <w:rPr>
          <w:rFonts w:ascii="Arial" w:eastAsia="Arial" w:hAnsi="Arial" w:cs="Arial"/>
        </w:rPr>
        <w:t xml:space="preserve">Resolução CNE/CES nº 7/2018, que estabelece que 10% da carga horária dos cursos devem ser destinados à </w:t>
      </w:r>
      <w:proofErr w:type="spellStart"/>
      <w:r w:rsidRPr="00DA78C6">
        <w:rPr>
          <w:rFonts w:ascii="Arial" w:eastAsia="Arial" w:hAnsi="Arial" w:cs="Arial"/>
        </w:rPr>
        <w:t>curricularização</w:t>
      </w:r>
      <w:proofErr w:type="spellEnd"/>
      <w:r w:rsidRPr="00DA78C6">
        <w:rPr>
          <w:rFonts w:ascii="Arial" w:eastAsia="Arial" w:hAnsi="Arial" w:cs="Arial"/>
        </w:rPr>
        <w:t xml:space="preserve"> da extensão. Nas licenciaturas, esse total é de 320 horas.</w:t>
      </w:r>
    </w:p>
    <w:p w:rsidR="00F16DA1" w:rsidRPr="00DA78C6" w:rsidRDefault="00735A9B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DA78C6">
        <w:rPr>
          <w:rFonts w:ascii="Arial" w:eastAsia="Arial" w:hAnsi="Arial" w:cs="Arial"/>
        </w:rPr>
        <w:t xml:space="preserve">Supõe-se que apesar de tecer elogios à PCC, a supressão ocorra em razão de substituir a PCC pelas Atividades Acadêmicas de Extensão (AAE), uma vez que estabelece que devem ser desenvolvidas na </w:t>
      </w:r>
      <w:r w:rsidR="00B313B7" w:rsidRPr="00DA78C6">
        <w:rPr>
          <w:rFonts w:ascii="Arial" w:eastAsia="Arial" w:hAnsi="Arial" w:cs="Arial"/>
        </w:rPr>
        <w:t>educação básica</w:t>
      </w:r>
      <w:r w:rsidRPr="00DA78C6">
        <w:rPr>
          <w:rFonts w:ascii="Arial" w:eastAsia="Arial" w:hAnsi="Arial" w:cs="Arial"/>
        </w:rPr>
        <w:t xml:space="preserve">. Ou ainda, pelo ECO, visto que há uma orientação de que esse se inicie desde o primeiro semestre do curso, como a PCC.   </w:t>
      </w:r>
    </w:p>
    <w:p w:rsidR="00F16DA1" w:rsidRDefault="00F16DA1">
      <w:pPr>
        <w:spacing w:after="0" w:line="240" w:lineRule="auto"/>
        <w:rPr>
          <w:rFonts w:ascii="Arial" w:eastAsia="Arial" w:hAnsi="Arial" w:cs="Arial"/>
        </w:rPr>
      </w:pPr>
    </w:p>
    <w:p w:rsidR="00F16DA1" w:rsidRDefault="00735A9B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Ausência da PCC na Resolução CNE/CP nº 4/2024: retrocesso na formação de professores? </w:t>
      </w:r>
    </w:p>
    <w:p w:rsidR="00F16DA1" w:rsidRDefault="00F16DA1">
      <w:pPr>
        <w:spacing w:after="0" w:line="240" w:lineRule="auto"/>
        <w:jc w:val="both"/>
        <w:rPr>
          <w:rFonts w:ascii="Arial" w:eastAsia="Arial" w:hAnsi="Arial" w:cs="Arial"/>
        </w:rPr>
      </w:pPr>
    </w:p>
    <w:p w:rsidR="00F16DA1" w:rsidRDefault="00F16DA1">
      <w:pPr>
        <w:spacing w:after="0" w:line="240" w:lineRule="auto"/>
        <w:rPr>
          <w:rFonts w:ascii="Arial" w:eastAsia="Arial" w:hAnsi="Arial" w:cs="Arial"/>
        </w:rPr>
      </w:pPr>
    </w:p>
    <w:p w:rsidR="00F16DA1" w:rsidRPr="00DA78C6" w:rsidRDefault="00735A9B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DA78C6">
        <w:rPr>
          <w:rFonts w:ascii="Arial" w:eastAsia="Arial" w:hAnsi="Arial" w:cs="Arial"/>
        </w:rPr>
        <w:t xml:space="preserve">Em maio de 2024, o Ministério da Educação (MEC) homologou a Resolução CNE/CP nº 4/2024. O documento sedimentou-se no Parecer CNE/CP nº 4/2024, construído sem audiências públicas para a escuta e debate com a sociedade civil. A aprovação do parecer se deu através de uma “Consulta pública” a partir de um Edital de Chamamento, por meio eletrônico, de 06 de dezembro de 2023 até 30 de janeiro de 2024, com prorrogação até 01 de março de 2024, com o segundo Edital de Chamamento de adiamento- prorrogação de prazo. </w:t>
      </w:r>
    </w:p>
    <w:p w:rsidR="00F16DA1" w:rsidRPr="00DA78C6" w:rsidRDefault="00735A9B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DA78C6">
        <w:rPr>
          <w:rFonts w:ascii="Arial" w:eastAsia="Arial" w:hAnsi="Arial" w:cs="Arial"/>
        </w:rPr>
        <w:t xml:space="preserve">Além da celeridade e falta de clareza sobre como os dados e análises construídos ao longo da consulta </w:t>
      </w:r>
      <w:r w:rsidR="00B313B7" w:rsidRPr="00DA78C6">
        <w:rPr>
          <w:rFonts w:ascii="Arial" w:eastAsia="Arial" w:hAnsi="Arial" w:cs="Arial"/>
        </w:rPr>
        <w:t>pública</w:t>
      </w:r>
      <w:r w:rsidRPr="00DA78C6">
        <w:rPr>
          <w:rFonts w:ascii="Arial" w:eastAsia="Arial" w:hAnsi="Arial" w:cs="Arial"/>
        </w:rPr>
        <w:t xml:space="preserve"> interferiram no documento final, merece atenção a diferença do “Texto de referência” que participou da “Consulta pública”, para o texto apresentado no Parecer CNE/CP 4/2024 e, por conseguinte, na </w:t>
      </w:r>
      <w:hyperlink r:id="rId8">
        <w:r w:rsidRPr="00DA78C6">
          <w:rPr>
            <w:rFonts w:ascii="Arial" w:eastAsia="Arial" w:hAnsi="Arial" w:cs="Arial"/>
          </w:rPr>
          <w:t>Resolução CNE/CP nº 4/2024</w:t>
        </w:r>
      </w:hyperlink>
      <w:r w:rsidRPr="00DA78C6">
        <w:rPr>
          <w:rFonts w:ascii="Arial" w:eastAsia="Arial" w:hAnsi="Arial" w:cs="Arial"/>
        </w:rPr>
        <w:t xml:space="preserve">. Em linhas gerais, o Parecer 4/2024 não traduz a concepção de formação, princípios, fundamentos, orientações, diretrizes e estrutura curricular e pedagógica historicamente construída no seio do movimento de luta dos profissionais da educação, desde os idos de 1970. </w:t>
      </w:r>
    </w:p>
    <w:p w:rsidR="00F16DA1" w:rsidRPr="00DA78C6" w:rsidRDefault="00735A9B">
      <w:pPr>
        <w:widowControl w:val="0"/>
        <w:spacing w:after="0" w:line="360" w:lineRule="auto"/>
        <w:ind w:firstLine="708"/>
        <w:jc w:val="both"/>
        <w:rPr>
          <w:rFonts w:ascii="Arial" w:eastAsia="Arial" w:hAnsi="Arial" w:cs="Arial"/>
        </w:rPr>
      </w:pPr>
      <w:r w:rsidRPr="00DA78C6">
        <w:rPr>
          <w:rFonts w:ascii="Arial" w:eastAsia="Arial" w:hAnsi="Arial" w:cs="Arial"/>
        </w:rPr>
        <w:lastRenderedPageBreak/>
        <w:t xml:space="preserve">Dentre outras contradições e desmontes às conquistas históricas da área, destacamos o fato de que no referido parecer: dissocia-se formação inicial da formação continuada, rompe-se com a ideia de articulação orgânica fundamental entre essas instâncias; separa-se a formação da discussão de valorização, plano de carreira, remuneração e das condições dignas de trabalho e salário, que envolve o pagamento do piso salarial; retoma a ideia de formação de professores apenas como uma atividade profissional, retirando o caráter político e ético . </w:t>
      </w:r>
    </w:p>
    <w:p w:rsidR="00F16DA1" w:rsidRPr="00DA78C6" w:rsidRDefault="00735A9B">
      <w:pPr>
        <w:widowControl w:val="0"/>
        <w:tabs>
          <w:tab w:val="left" w:pos="709"/>
          <w:tab w:val="left" w:pos="851"/>
        </w:tabs>
        <w:spacing w:after="0" w:line="360" w:lineRule="auto"/>
        <w:ind w:firstLine="851"/>
        <w:jc w:val="both"/>
        <w:rPr>
          <w:rFonts w:ascii="Arial" w:eastAsia="Arial" w:hAnsi="Arial" w:cs="Arial"/>
        </w:rPr>
      </w:pPr>
      <w:r w:rsidRPr="00DA78C6">
        <w:rPr>
          <w:rFonts w:ascii="Arial" w:eastAsia="Arial" w:hAnsi="Arial" w:cs="Arial"/>
        </w:rPr>
        <w:t>No que tange à PCC, concordamos com a nota emitida pela ANFOPE (2024) sobre os riscos da extinção do componente. No Parecer, emitido em 2024, a sua conceituação e relevância na formação docente aparecem de forma generalista, salientando as fronteiras existentes entre a mesma e o ECO e nos modelos curriculares mais adequados para o trabalho concreto com essa. O Parecer coloca ainda em questionamento vantagens e desvantagens de trabalhar práticas pedagógicas como parte do currículo sem planejá-las e avaliá-las a partir de um consenso, forjado a partir de um compromisso ético e político mais amplo.</w:t>
      </w:r>
    </w:p>
    <w:p w:rsidR="00F16DA1" w:rsidRPr="00DA78C6" w:rsidRDefault="00735A9B">
      <w:pPr>
        <w:widowControl w:val="0"/>
        <w:tabs>
          <w:tab w:val="left" w:pos="709"/>
          <w:tab w:val="left" w:pos="851"/>
        </w:tabs>
        <w:spacing w:after="0" w:line="360" w:lineRule="auto"/>
        <w:ind w:firstLine="851"/>
        <w:jc w:val="both"/>
        <w:rPr>
          <w:rFonts w:ascii="Arial" w:eastAsia="Arial" w:hAnsi="Arial" w:cs="Arial"/>
        </w:rPr>
      </w:pPr>
      <w:r w:rsidRPr="00DA78C6">
        <w:rPr>
          <w:rFonts w:ascii="Arial" w:eastAsia="Arial" w:hAnsi="Arial" w:cs="Arial"/>
        </w:rPr>
        <w:t>Contudo, consideramos que a substituição da PCC pelas AAE ou até pelo ECO, seja de forma integrada ou sobreposta, constitui-se um retrocesso nas conquistas históricas quanto à unidade entre o binômio teoria-prática nas licenciaturas. Entendimento que ainda se contrapõe a Resolução CNE/CP nº 2/2015 que reafirma a defesa na formação docente pautada por uma relação intrínseca entre a educação escolar e a formação da concepção de mundo dos indivíduos, em que a práxis pedagógica é a base da formação, na busca de processos formativos que priorizem a unidade teoria-prática e tomem a pesquisa pedagógica como eixo da formação para a autonomia docente, em uma perspectiva dialógica e emancipadora.</w:t>
      </w:r>
    </w:p>
    <w:p w:rsidR="00F16DA1" w:rsidRPr="00DA78C6" w:rsidRDefault="00F16DA1">
      <w:pPr>
        <w:widowControl w:val="0"/>
        <w:tabs>
          <w:tab w:val="left" w:pos="709"/>
          <w:tab w:val="left" w:pos="851"/>
        </w:tabs>
        <w:spacing w:after="0" w:line="360" w:lineRule="auto"/>
        <w:ind w:firstLine="851"/>
        <w:jc w:val="both"/>
        <w:rPr>
          <w:rFonts w:ascii="Arial" w:eastAsia="Arial" w:hAnsi="Arial" w:cs="Arial"/>
        </w:rPr>
      </w:pPr>
    </w:p>
    <w:p w:rsidR="00F16DA1" w:rsidRPr="00DA78C6" w:rsidRDefault="00735A9B">
      <w:pPr>
        <w:spacing w:after="0" w:line="240" w:lineRule="auto"/>
        <w:rPr>
          <w:rFonts w:ascii="Arial" w:eastAsia="Arial" w:hAnsi="Arial" w:cs="Arial"/>
          <w:b/>
        </w:rPr>
      </w:pPr>
      <w:r w:rsidRPr="00DA78C6">
        <w:rPr>
          <w:rFonts w:ascii="Arial" w:eastAsia="Arial" w:hAnsi="Arial" w:cs="Arial"/>
          <w:b/>
        </w:rPr>
        <w:t>Considerações Finais</w:t>
      </w:r>
    </w:p>
    <w:p w:rsidR="00F16DA1" w:rsidRPr="00DA78C6" w:rsidRDefault="00F16DA1">
      <w:pPr>
        <w:spacing w:after="0" w:line="240" w:lineRule="auto"/>
        <w:rPr>
          <w:rFonts w:ascii="Arial" w:eastAsia="Arial" w:hAnsi="Arial" w:cs="Arial"/>
          <w:b/>
        </w:rPr>
      </w:pPr>
    </w:p>
    <w:p w:rsidR="00F16DA1" w:rsidRDefault="00735A9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DA78C6">
        <w:rPr>
          <w:rFonts w:ascii="Arial" w:eastAsia="Arial" w:hAnsi="Arial" w:cs="Arial"/>
        </w:rPr>
        <w:t xml:space="preserve">A retirada das 400 horas de PCC na formação de professores, proposto pela DCN 4/2024, induzindo a substituição ou a sobreposição seja pelas AAE ou pelo ECO traz prejuízos à formação, na medida em que põe acento na dimensão </w:t>
      </w:r>
      <w:r w:rsidRPr="00DA78C6">
        <w:rPr>
          <w:rFonts w:ascii="Arial" w:eastAsia="Arial" w:hAnsi="Arial" w:cs="Arial"/>
        </w:rPr>
        <w:lastRenderedPageBreak/>
        <w:t xml:space="preserve">da prática, contudo em uma perspectiva instrumental e pragmática, que pela sua natureza se contrapõe a dimensão teórica, se distanciando da compreensão de práxis em que teoria-prática compõe uma unidade dialética, voltadas para a formação humana, crítica, emancipatória e ética. </w:t>
      </w:r>
    </w:p>
    <w:p w:rsidR="00DA78C6" w:rsidRDefault="007D24F7" w:rsidP="007D24F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7D24F7">
        <w:rPr>
          <w:rFonts w:ascii="Arial" w:eastAsia="Arial" w:hAnsi="Arial" w:cs="Arial"/>
        </w:rPr>
        <w:t xml:space="preserve">Apesar das mudanças e equívocos históricos sobre os objetivos </w:t>
      </w:r>
      <w:proofErr w:type="gramStart"/>
      <w:r w:rsidRPr="007D24F7">
        <w:rPr>
          <w:rFonts w:ascii="Arial" w:eastAsia="Arial" w:hAnsi="Arial" w:cs="Arial"/>
        </w:rPr>
        <w:t>da  PCC</w:t>
      </w:r>
      <w:proofErr w:type="gramEnd"/>
      <w:r w:rsidRPr="007D24F7">
        <w:rPr>
          <w:rFonts w:ascii="Arial" w:eastAsia="Arial" w:hAnsi="Arial" w:cs="Arial"/>
        </w:rPr>
        <w:t>,  as  possibilidades para  sua  configuração  e  seu  desenvolvimento  nos  cursos  de  licenciatura, ressalta-se que a descaracterização sofrida desde a BNC-formação altera a sua natureza e compromete suas dimensões formativas.</w:t>
      </w:r>
      <w:r>
        <w:rPr>
          <w:rFonts w:ascii="Arial" w:eastAsia="Arial" w:hAnsi="Arial" w:cs="Arial"/>
        </w:rPr>
        <w:t xml:space="preserve"> </w:t>
      </w:r>
    </w:p>
    <w:p w:rsidR="007D24F7" w:rsidRPr="00DA78C6" w:rsidRDefault="007D24F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F16DA1" w:rsidRPr="00DA78C6" w:rsidRDefault="00735A9B" w:rsidP="00B313B7">
      <w:pPr>
        <w:spacing w:after="0" w:line="360" w:lineRule="auto"/>
        <w:jc w:val="both"/>
        <w:rPr>
          <w:rFonts w:ascii="Arial" w:eastAsia="Arial" w:hAnsi="Arial" w:cs="Arial"/>
        </w:rPr>
      </w:pPr>
      <w:r w:rsidRPr="00DA78C6">
        <w:rPr>
          <w:rFonts w:ascii="Arial" w:eastAsia="Arial" w:hAnsi="Arial" w:cs="Arial"/>
          <w:b/>
        </w:rPr>
        <w:t>Palavras-chave:</w:t>
      </w:r>
      <w:r w:rsidRPr="00DA78C6">
        <w:rPr>
          <w:rFonts w:ascii="Arial" w:eastAsia="Arial" w:hAnsi="Arial" w:cs="Arial"/>
        </w:rPr>
        <w:t xml:space="preserve"> </w:t>
      </w:r>
      <w:bookmarkStart w:id="0" w:name="_GoBack"/>
      <w:r w:rsidRPr="00DA78C6">
        <w:rPr>
          <w:rFonts w:ascii="Arial" w:eastAsia="Arial" w:hAnsi="Arial" w:cs="Arial"/>
        </w:rPr>
        <w:t>Prá</w:t>
      </w:r>
      <w:r w:rsidR="00B14799">
        <w:rPr>
          <w:rFonts w:ascii="Arial" w:eastAsia="Arial" w:hAnsi="Arial" w:cs="Arial"/>
        </w:rPr>
        <w:t>tica como componente curricular, Formação docente,</w:t>
      </w:r>
      <w:r w:rsidRPr="00DA78C6">
        <w:rPr>
          <w:rFonts w:ascii="Arial" w:eastAsia="Arial" w:hAnsi="Arial" w:cs="Arial"/>
        </w:rPr>
        <w:t xml:space="preserve"> Cursos de licenciatura.</w:t>
      </w:r>
      <w:bookmarkEnd w:id="0"/>
    </w:p>
    <w:p w:rsidR="00F16DA1" w:rsidRPr="00DA78C6" w:rsidRDefault="00F16DA1">
      <w:pPr>
        <w:spacing w:after="0" w:line="240" w:lineRule="auto"/>
        <w:rPr>
          <w:rFonts w:ascii="Arial" w:eastAsia="Arial" w:hAnsi="Arial" w:cs="Arial"/>
          <w:b/>
        </w:rPr>
      </w:pPr>
    </w:p>
    <w:p w:rsidR="00F16DA1" w:rsidRPr="00DA78C6" w:rsidRDefault="00735A9B">
      <w:pPr>
        <w:spacing w:after="0" w:line="240" w:lineRule="auto"/>
        <w:rPr>
          <w:rFonts w:ascii="Arial" w:eastAsia="Arial" w:hAnsi="Arial" w:cs="Arial"/>
          <w:b/>
        </w:rPr>
      </w:pPr>
      <w:r w:rsidRPr="00DA78C6">
        <w:rPr>
          <w:rFonts w:ascii="Arial" w:eastAsia="Arial" w:hAnsi="Arial" w:cs="Arial"/>
          <w:b/>
        </w:rPr>
        <w:t>Referências</w:t>
      </w:r>
    </w:p>
    <w:p w:rsidR="00F16DA1" w:rsidRPr="00DA78C6" w:rsidRDefault="00F16DA1">
      <w:pPr>
        <w:spacing w:after="0" w:line="240" w:lineRule="auto"/>
        <w:rPr>
          <w:rFonts w:ascii="Arial" w:eastAsia="Arial" w:hAnsi="Arial" w:cs="Arial"/>
          <w:b/>
        </w:rPr>
      </w:pPr>
    </w:p>
    <w:p w:rsidR="00F16DA1" w:rsidRPr="00DA78C6" w:rsidRDefault="00735A9B">
      <w:pPr>
        <w:spacing w:after="0" w:line="240" w:lineRule="auto"/>
        <w:rPr>
          <w:rFonts w:ascii="Arial" w:eastAsia="Arial" w:hAnsi="Arial" w:cs="Arial"/>
        </w:rPr>
      </w:pPr>
      <w:r w:rsidRPr="00DA78C6">
        <w:rPr>
          <w:rFonts w:ascii="Arial" w:eastAsia="Arial" w:hAnsi="Arial" w:cs="Arial"/>
        </w:rPr>
        <w:t xml:space="preserve">ANFOPE. </w:t>
      </w:r>
      <w:r w:rsidRPr="00DA78C6">
        <w:rPr>
          <w:rFonts w:ascii="Arial" w:eastAsia="Arial" w:hAnsi="Arial" w:cs="Arial"/>
          <w:b/>
        </w:rPr>
        <w:t>NOTA DA ANFOPE SOBRE O PARECER CNE/CP Nº 4/</w:t>
      </w:r>
      <w:r w:rsidR="00B313B7" w:rsidRPr="00DA78C6">
        <w:rPr>
          <w:rFonts w:ascii="Arial" w:eastAsia="Arial" w:hAnsi="Arial" w:cs="Arial"/>
          <w:b/>
        </w:rPr>
        <w:t>2024</w:t>
      </w:r>
      <w:r w:rsidR="00B313B7" w:rsidRPr="00DA78C6">
        <w:rPr>
          <w:rFonts w:ascii="Arial" w:eastAsia="Arial" w:hAnsi="Arial" w:cs="Arial"/>
        </w:rPr>
        <w:t>.</w:t>
      </w:r>
      <w:r w:rsidRPr="00DA78C6">
        <w:rPr>
          <w:rFonts w:ascii="Arial" w:eastAsia="Arial" w:hAnsi="Arial" w:cs="Arial"/>
        </w:rPr>
        <w:t xml:space="preserve"> Rio de Janeiro, 2024. </w:t>
      </w:r>
    </w:p>
    <w:p w:rsidR="00F16DA1" w:rsidRPr="00DA78C6" w:rsidRDefault="00F16DA1">
      <w:pPr>
        <w:spacing w:after="0" w:line="240" w:lineRule="auto"/>
        <w:rPr>
          <w:rFonts w:ascii="Arial" w:eastAsia="Arial" w:hAnsi="Arial" w:cs="Arial"/>
        </w:rPr>
      </w:pPr>
    </w:p>
    <w:p w:rsidR="00F16DA1" w:rsidRPr="00DA78C6" w:rsidRDefault="00735A9B">
      <w:pPr>
        <w:spacing w:after="0" w:line="240" w:lineRule="auto"/>
        <w:rPr>
          <w:rFonts w:ascii="Arial" w:eastAsia="Arial" w:hAnsi="Arial" w:cs="Arial"/>
        </w:rPr>
      </w:pPr>
      <w:r w:rsidRPr="00DA78C6">
        <w:rPr>
          <w:rFonts w:ascii="Arial" w:eastAsia="Arial" w:hAnsi="Arial" w:cs="Arial"/>
        </w:rPr>
        <w:t xml:space="preserve">BRASIL. Conselho Nacional de Educação. Câmara de Educação Superior. </w:t>
      </w:r>
      <w:r w:rsidRPr="00DA78C6">
        <w:rPr>
          <w:rFonts w:ascii="Arial" w:eastAsia="Arial" w:hAnsi="Arial" w:cs="Arial"/>
          <w:b/>
        </w:rPr>
        <w:t>Parecer CNE/CES 744/97</w:t>
      </w:r>
      <w:r w:rsidRPr="00DA78C6">
        <w:rPr>
          <w:rFonts w:ascii="Arial" w:eastAsia="Arial" w:hAnsi="Arial" w:cs="Arial"/>
        </w:rPr>
        <w:t xml:space="preserve">. Orienta sobre o cumprimento do Artigo 65 da Lei n. 9.394/96. </w:t>
      </w:r>
    </w:p>
    <w:p w:rsidR="00F16DA1" w:rsidRPr="00DA78C6" w:rsidRDefault="00F16DA1">
      <w:pPr>
        <w:spacing w:after="0" w:line="240" w:lineRule="auto"/>
        <w:rPr>
          <w:rFonts w:ascii="Arial" w:eastAsia="Arial" w:hAnsi="Arial" w:cs="Arial"/>
        </w:rPr>
      </w:pPr>
    </w:p>
    <w:p w:rsidR="00F16DA1" w:rsidRPr="00DA78C6" w:rsidRDefault="00735A9B">
      <w:pPr>
        <w:spacing w:after="0" w:line="240" w:lineRule="auto"/>
        <w:rPr>
          <w:rFonts w:ascii="Arial" w:eastAsia="Arial" w:hAnsi="Arial" w:cs="Arial"/>
        </w:rPr>
      </w:pPr>
      <w:r w:rsidRPr="00DA78C6">
        <w:rPr>
          <w:rFonts w:ascii="Arial" w:eastAsia="Arial" w:hAnsi="Arial" w:cs="Arial"/>
        </w:rPr>
        <w:t xml:space="preserve">BRASIL. </w:t>
      </w:r>
      <w:r w:rsidRPr="00DA78C6">
        <w:rPr>
          <w:rFonts w:ascii="Arial" w:eastAsia="Arial" w:hAnsi="Arial" w:cs="Arial"/>
          <w:b/>
        </w:rPr>
        <w:t>Resolução CNE/CP 2, de 19 de fevereiro de 2002</w:t>
      </w:r>
      <w:r w:rsidRPr="00DA78C6">
        <w:rPr>
          <w:rFonts w:ascii="Arial" w:eastAsia="Arial" w:hAnsi="Arial" w:cs="Arial"/>
        </w:rPr>
        <w:t xml:space="preserve">. Institui a duração e a carga horária dos cursos de Licenciatura, de graduação plena, de formação de professores da Educação Básica em nível superior. Diário Oficial da União, Brasília, 4 mar. 2002d. Seção 1, p. 9. </w:t>
      </w:r>
    </w:p>
    <w:p w:rsidR="00F16DA1" w:rsidRPr="00DA78C6" w:rsidRDefault="00F16DA1">
      <w:pPr>
        <w:spacing w:after="0" w:line="240" w:lineRule="auto"/>
        <w:rPr>
          <w:rFonts w:ascii="Arial" w:eastAsia="Arial" w:hAnsi="Arial" w:cs="Arial"/>
        </w:rPr>
      </w:pPr>
    </w:p>
    <w:p w:rsidR="00F16DA1" w:rsidRPr="00DA78C6" w:rsidRDefault="00735A9B">
      <w:pPr>
        <w:spacing w:after="0" w:line="240" w:lineRule="auto"/>
        <w:rPr>
          <w:rFonts w:ascii="Arial" w:eastAsia="Arial" w:hAnsi="Arial" w:cs="Arial"/>
        </w:rPr>
      </w:pPr>
      <w:r w:rsidRPr="00DA78C6">
        <w:rPr>
          <w:rFonts w:ascii="Arial" w:eastAsia="Arial" w:hAnsi="Arial" w:cs="Arial"/>
        </w:rPr>
        <w:t xml:space="preserve">BRASIL. Conselho Nacional de Educação/Conselho de Ensino Superior. </w:t>
      </w:r>
      <w:r w:rsidRPr="00DA78C6">
        <w:rPr>
          <w:rFonts w:ascii="Arial" w:eastAsia="Arial" w:hAnsi="Arial" w:cs="Arial"/>
          <w:b/>
        </w:rPr>
        <w:t>Parecer CNE/CES 15/2005.</w:t>
      </w:r>
      <w:r w:rsidRPr="00DA78C6">
        <w:rPr>
          <w:rFonts w:ascii="Arial" w:eastAsia="Arial" w:hAnsi="Arial" w:cs="Arial"/>
        </w:rPr>
        <w:t xml:space="preserve"> Esclarece as resoluções CNE/CP 01/2002 e CNE/CP 02/2002. </w:t>
      </w:r>
    </w:p>
    <w:p w:rsidR="00F16DA1" w:rsidRPr="00DA78C6" w:rsidRDefault="00F16DA1">
      <w:pPr>
        <w:spacing w:after="0" w:line="240" w:lineRule="auto"/>
        <w:rPr>
          <w:rFonts w:ascii="Arial" w:eastAsia="Arial" w:hAnsi="Arial" w:cs="Arial"/>
          <w:b/>
        </w:rPr>
      </w:pPr>
    </w:p>
    <w:p w:rsidR="00F16DA1" w:rsidRPr="00DA78C6" w:rsidRDefault="00735A9B">
      <w:pPr>
        <w:spacing w:after="0" w:line="240" w:lineRule="auto"/>
        <w:rPr>
          <w:rFonts w:ascii="Arial" w:eastAsia="Arial" w:hAnsi="Arial" w:cs="Arial"/>
        </w:rPr>
      </w:pPr>
      <w:r w:rsidRPr="00DA78C6">
        <w:rPr>
          <w:rFonts w:ascii="Arial" w:eastAsia="Arial" w:hAnsi="Arial" w:cs="Arial"/>
        </w:rPr>
        <w:t xml:space="preserve">BRASIL. </w:t>
      </w:r>
      <w:r w:rsidRPr="00DA78C6">
        <w:rPr>
          <w:rFonts w:ascii="Arial" w:eastAsia="Arial" w:hAnsi="Arial" w:cs="Arial"/>
          <w:b/>
        </w:rPr>
        <w:t>Resolução CNE/CES n. 7, de 18 de dezembro de 2018</w:t>
      </w:r>
      <w:r w:rsidRPr="00DA78C6">
        <w:rPr>
          <w:rFonts w:ascii="Arial" w:eastAsia="Arial" w:hAnsi="Arial" w:cs="Arial"/>
        </w:rPr>
        <w:t xml:space="preserve">. Estabelece as Diretrizes para </w:t>
      </w:r>
      <w:r w:rsidR="00B313B7" w:rsidRPr="00DA78C6">
        <w:rPr>
          <w:rFonts w:ascii="Arial" w:eastAsia="Arial" w:hAnsi="Arial" w:cs="Arial"/>
        </w:rPr>
        <w:t>a Extensão na Educação Superior Brasileira e regulamenta o disposto na Meta 12.7 da Lei nº</w:t>
      </w:r>
      <w:r w:rsidRPr="00DA78C6">
        <w:rPr>
          <w:rFonts w:ascii="Arial" w:eastAsia="Arial" w:hAnsi="Arial" w:cs="Arial"/>
        </w:rPr>
        <w:t xml:space="preserve"> 13.005/2014 - 2024 e dá outras providências. Brasília: MEC, 2018.</w:t>
      </w:r>
    </w:p>
    <w:p w:rsidR="00F16DA1" w:rsidRPr="00DA78C6" w:rsidRDefault="00F16DA1">
      <w:pPr>
        <w:spacing w:after="0" w:line="240" w:lineRule="auto"/>
        <w:rPr>
          <w:rFonts w:ascii="Arial" w:eastAsia="Arial" w:hAnsi="Arial" w:cs="Arial"/>
        </w:rPr>
      </w:pPr>
    </w:p>
    <w:p w:rsidR="00F16DA1" w:rsidRPr="00DA78C6" w:rsidRDefault="00735A9B">
      <w:pPr>
        <w:spacing w:after="0" w:line="240" w:lineRule="auto"/>
        <w:rPr>
          <w:rFonts w:ascii="Arial" w:eastAsia="Arial" w:hAnsi="Arial" w:cs="Arial"/>
        </w:rPr>
      </w:pPr>
      <w:r w:rsidRPr="00DA78C6">
        <w:rPr>
          <w:rFonts w:ascii="Arial" w:eastAsia="Arial" w:hAnsi="Arial" w:cs="Arial"/>
        </w:rPr>
        <w:t>BRASIL. Conselho Nacional de Educação/Ministério de Educação.</w:t>
      </w:r>
      <w:r w:rsidRPr="00DA78C6">
        <w:rPr>
          <w:rFonts w:ascii="Arial" w:eastAsia="Arial" w:hAnsi="Arial" w:cs="Arial"/>
          <w:b/>
        </w:rPr>
        <w:t xml:space="preserve"> Resolução nº 2, de 1º de julho de 2015</w:t>
      </w:r>
      <w:r w:rsidRPr="00DA78C6">
        <w:rPr>
          <w:rFonts w:ascii="Arial" w:eastAsia="Arial" w:hAnsi="Arial" w:cs="Arial"/>
        </w:rPr>
        <w:t xml:space="preserve">. Define as Diretrizes Curriculares Nacionais para a formação inicial em nível superior e para a formação continuada. </w:t>
      </w:r>
    </w:p>
    <w:p w:rsidR="00F16DA1" w:rsidRPr="00DA78C6" w:rsidRDefault="00F16DA1">
      <w:pPr>
        <w:spacing w:after="0" w:line="240" w:lineRule="auto"/>
        <w:rPr>
          <w:rFonts w:ascii="Arial" w:eastAsia="Arial" w:hAnsi="Arial" w:cs="Arial"/>
        </w:rPr>
      </w:pPr>
    </w:p>
    <w:p w:rsidR="00F16DA1" w:rsidRPr="00DA78C6" w:rsidRDefault="00735A9B">
      <w:pPr>
        <w:spacing w:after="0" w:line="240" w:lineRule="auto"/>
        <w:rPr>
          <w:rFonts w:ascii="Arial" w:eastAsia="Arial" w:hAnsi="Arial" w:cs="Arial"/>
        </w:rPr>
      </w:pPr>
      <w:r w:rsidRPr="00DA78C6">
        <w:rPr>
          <w:rFonts w:ascii="Arial" w:eastAsia="Arial" w:hAnsi="Arial" w:cs="Arial"/>
        </w:rPr>
        <w:t xml:space="preserve">REAL, G. C. M. A prática como componente curricular: o que isso significa na prática? </w:t>
      </w:r>
      <w:r w:rsidRPr="00DA78C6">
        <w:rPr>
          <w:rFonts w:ascii="Arial" w:eastAsia="Arial" w:hAnsi="Arial" w:cs="Arial"/>
          <w:b/>
        </w:rPr>
        <w:t>Educação e Fronteiras On-line</w:t>
      </w:r>
      <w:r w:rsidRPr="00DA78C6">
        <w:rPr>
          <w:rFonts w:ascii="Arial" w:eastAsia="Arial" w:hAnsi="Arial" w:cs="Arial"/>
        </w:rPr>
        <w:t>, v. 2, n. 5, p. 48-62, 2012.</w:t>
      </w:r>
    </w:p>
    <w:sectPr w:rsidR="00F16DA1" w:rsidRPr="00DA78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421" w:rsidRDefault="00000421">
      <w:pPr>
        <w:spacing w:after="0" w:line="240" w:lineRule="auto"/>
      </w:pPr>
      <w:r>
        <w:separator/>
      </w:r>
    </w:p>
  </w:endnote>
  <w:endnote w:type="continuationSeparator" w:id="0">
    <w:p w:rsidR="00000421" w:rsidRDefault="0000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DA1" w:rsidRDefault="00F16D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DA1" w:rsidRDefault="00735A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56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7736637" cy="382179"/>
          <wp:effectExtent l="0" t="0" r="0" b="0"/>
          <wp:docPr id="1793165262" name="image2.jp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exto&#10;&#10;O conteúdo gerado por IA pode estar incorreto."/>
                  <pic:cNvPicPr preferRelativeResize="0"/>
                </pic:nvPicPr>
                <pic:blipFill>
                  <a:blip r:embed="rId1"/>
                  <a:srcRect t="56468" r="-1" b="34637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DA1" w:rsidRDefault="00F16D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421" w:rsidRDefault="00000421">
      <w:pPr>
        <w:spacing w:after="0" w:line="240" w:lineRule="auto"/>
      </w:pPr>
      <w:r>
        <w:separator/>
      </w:r>
    </w:p>
  </w:footnote>
  <w:footnote w:type="continuationSeparator" w:id="0">
    <w:p w:rsidR="00000421" w:rsidRDefault="0000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DA1" w:rsidRDefault="00F16D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DA1" w:rsidRDefault="00735A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b/>
        <w:color w:val="0A3041"/>
      </w:rPr>
    </w:pPr>
    <w:r>
      <w:rPr>
        <w:rFonts w:ascii="Arial" w:eastAsia="Arial" w:hAnsi="Arial" w:cs="Arial"/>
        <w:b/>
        <w:color w:val="0A3041"/>
        <w:sz w:val="28"/>
        <w:szCs w:val="28"/>
      </w:rPr>
      <w:t>XXII ENCONTRO NACIONAL DA ANFOPE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3809917</wp:posOffset>
          </wp:positionH>
          <wp:positionV relativeFrom="paragraph">
            <wp:posOffset>-322993</wp:posOffset>
          </wp:positionV>
          <wp:extent cx="2571357" cy="1219343"/>
          <wp:effectExtent l="0" t="0" r="0" b="0"/>
          <wp:wrapNone/>
          <wp:docPr id="179316526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2272" t="16783" r="8357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16DA1" w:rsidRDefault="00735A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 xml:space="preserve">39 anos da carta de Goiânia: momento de celebrar conquistas e enfrentando os desafios </w:t>
    </w:r>
  </w:p>
  <w:p w:rsidR="00F16DA1" w:rsidRDefault="00735A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>Reunião da Associação Nacional pela Formação dos Profissionais da Educação - ANFOPE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DA1" w:rsidRDefault="00F16D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A1"/>
    <w:rsid w:val="00000421"/>
    <w:rsid w:val="00112025"/>
    <w:rsid w:val="00735A9B"/>
    <w:rsid w:val="007D24F7"/>
    <w:rsid w:val="00B14799"/>
    <w:rsid w:val="00B313B7"/>
    <w:rsid w:val="00C20657"/>
    <w:rsid w:val="00D4300E"/>
    <w:rsid w:val="00DA78C6"/>
    <w:rsid w:val="00F1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4DF5B-9B2D-450D-8BD0-D0D775E9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.br/web/dou/-/resolucao-cne/cp-n-4-de-29-de-maio-de-2024-56308455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in.gov.br/web/dou/-/resolucao-cne/cp-n-4-de-29-de-maio-de-2024-56308455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yw3azZ17CMwNxHAMcB/baI3Tdw==">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1580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 identificacao</dc:creator>
  <cp:lastModifiedBy>Conta da Microsoft</cp:lastModifiedBy>
  <cp:revision>3</cp:revision>
  <dcterms:created xsi:type="dcterms:W3CDTF">2025-04-08T22:56:00Z</dcterms:created>
  <dcterms:modified xsi:type="dcterms:W3CDTF">2025-04-08T22:57:00Z</dcterms:modified>
</cp:coreProperties>
</file>