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4BE" w14:textId="1D5C64AE" w:rsidR="002F4395" w:rsidRPr="00E33F95" w:rsidRDefault="00E53DAC" w:rsidP="002F4395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lang w:val="en-US"/>
        </w:rPr>
        <w:t>THE MACROEVOLUTIONARY ORIGINS AND CONSEQUENCES OF ECOLOGICAL DIVERSIFICATION IN LICHENS</w:t>
      </w:r>
    </w:p>
    <w:p w14:paraId="4B3CCE48" w14:textId="307FFB85" w:rsidR="002F4395" w:rsidRPr="00E33F95" w:rsidRDefault="00F016AD" w:rsidP="002F4395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Matthew P. Nelsen</w:t>
      </w:r>
      <w:r w:rsidR="002F4395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C. Kevin Boyce</w:t>
      </w:r>
      <w:r w:rsidR="002F4395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Robert L</w:t>
      </w:r>
      <w:r w:rsidRPr="00F016AD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cking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Richard H. Ree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2F4395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H. Thorsten Lumbsch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76C27127" w14:textId="0D409AB1" w:rsidR="002F4395" w:rsidRPr="00E33F95" w:rsidRDefault="002F4395" w:rsidP="00F016AD">
      <w:pPr>
        <w:contextualSpacing/>
        <w:outlineLvl w:val="0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The Field Museum of Natural History</w:t>
      </w:r>
      <w:r w:rsidR="00BD2764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USA</w:t>
      </w:r>
      <w:r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Stanford University</w:t>
      </w:r>
      <w:r w:rsidR="00E74D8F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USA</w:t>
      </w:r>
      <w:r w:rsidRPr="00E33F9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; </w:t>
      </w:r>
      <w:r w:rsidRPr="00E33F9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vertAlign w:val="superscript"/>
          <w:lang w:val="en-US"/>
        </w:rPr>
        <w:t>3</w:t>
      </w:r>
      <w:r w:rsidR="00F016AD" w:rsidRPr="00F016AD">
        <w:rPr>
          <w:rFonts w:ascii="Times New Roman" w:hAnsi="Times New Roman" w:cs="Times New Roman"/>
          <w:sz w:val="24"/>
          <w:szCs w:val="24"/>
          <w:lang w:val="de-DE"/>
        </w:rPr>
        <w:t>Botanischer Garten und Botanisches Museum</w:t>
      </w:r>
      <w:r w:rsidR="00E74D8F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016A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Germany</w:t>
      </w:r>
      <w:r w:rsidR="0041562C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="0041562C" w:rsidRPr="00E33F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F016AD">
        <w:rPr>
          <w:rFonts w:ascii="Times New Roman" w:hAnsi="Times New Roman"/>
          <w:color w:val="000000" w:themeColor="text1"/>
          <w:sz w:val="24"/>
          <w:szCs w:val="24"/>
          <w:lang w:val="en-US"/>
        </w:rPr>
        <w:t>mpnelsen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>@</w:t>
      </w:r>
      <w:r w:rsidR="00F016AD">
        <w:rPr>
          <w:rFonts w:ascii="Times New Roman" w:hAnsi="Times New Roman"/>
          <w:color w:val="000000" w:themeColor="text1"/>
          <w:sz w:val="24"/>
          <w:szCs w:val="24"/>
          <w:lang w:val="en-US"/>
        </w:rPr>
        <w:t>gmail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>.com</w:t>
      </w:r>
    </w:p>
    <w:p w14:paraId="0D1E7E9D" w14:textId="77777777" w:rsidR="00F016AD" w:rsidRDefault="00F016AD" w:rsidP="00F016AD">
      <w:pPr>
        <w:spacing w:line="276" w:lineRule="auto"/>
        <w:contextualSpacing/>
        <w:rPr>
          <w:rFonts w:ascii="Times New Roman" w:hAnsi="Times New Roman" w:cs="Times New Roman"/>
        </w:rPr>
      </w:pPr>
    </w:p>
    <w:p w14:paraId="78AB5AA9" w14:textId="39CF930B" w:rsidR="00F016AD" w:rsidRPr="00F016AD" w:rsidRDefault="00F016AD" w:rsidP="00F016A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016AD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traced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pathways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symbiotic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phenotypic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diversification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iconic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symbioses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lichens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macroevolutionary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inferring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a time-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scaled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phylogeny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over 3300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lichen-forming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(LFF),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occasional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instances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symbiotic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magnitude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lichen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processes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Mesozoic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Cenozoic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Symbiont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switches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broadly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coincided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shifting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convergent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phylogenetically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functionally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similar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6AD">
        <w:rPr>
          <w:rFonts w:ascii="Times New Roman" w:hAnsi="Times New Roman" w:cs="Times New Roman"/>
          <w:sz w:val="24"/>
          <w:szCs w:val="24"/>
        </w:rPr>
        <w:t>lineages</w:t>
      </w:r>
      <w:proofErr w:type="spellEnd"/>
      <w:r w:rsidRPr="00F01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We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then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inferred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when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LFF</w:t>
      </w:r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invade</w:t>
      </w:r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d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arboreal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habitats,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and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plac</w:t>
      </w:r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e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them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in a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broader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and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more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comparative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framework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by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highlighting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their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paleoecological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implications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and</w:t>
      </w:r>
      <w:proofErr w:type="spellEnd"/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discussing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them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in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the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context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of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climate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vegetation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and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the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evolution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of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other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epiphytic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or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arboreal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lineages</w:t>
      </w:r>
      <w:proofErr w:type="spellEnd"/>
      <w:r w:rsidRPr="002B0D85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>.</w:t>
      </w:r>
      <w:r w:rsidRPr="00F016AD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</w:p>
    <w:p w14:paraId="1348DDA8" w14:textId="4A068F11" w:rsidR="00260A60" w:rsidRPr="00F016AD" w:rsidRDefault="00260A60" w:rsidP="00F016A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F016AD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41562C"/>
    <w:rsid w:val="0062477E"/>
    <w:rsid w:val="006C6BAE"/>
    <w:rsid w:val="00894CF2"/>
    <w:rsid w:val="00B63FA9"/>
    <w:rsid w:val="00BD2764"/>
    <w:rsid w:val="00D22A2A"/>
    <w:rsid w:val="00D33B09"/>
    <w:rsid w:val="00E33F95"/>
    <w:rsid w:val="00E53DAC"/>
    <w:rsid w:val="00E74D8F"/>
    <w:rsid w:val="00E7764D"/>
    <w:rsid w:val="00F016AD"/>
    <w:rsid w:val="00F44110"/>
    <w:rsid w:val="00FB4266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69E52BFF-3A56-4577-BD90-DD4D0FB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1116</Characters>
  <Application>Microsoft Office Word</Application>
  <DocSecurity>0</DocSecurity>
  <Lines>16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Matthew Nelsen</cp:lastModifiedBy>
  <cp:revision>2</cp:revision>
  <dcterms:created xsi:type="dcterms:W3CDTF">2020-01-31T18:02:00Z</dcterms:created>
  <dcterms:modified xsi:type="dcterms:W3CDTF">2020-01-31T18:02:00Z</dcterms:modified>
</cp:coreProperties>
</file>