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9C011" w14:textId="77777777" w:rsidR="00BB779F" w:rsidRDefault="00911EDD">
      <w:pPr>
        <w:spacing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ARÉA TEMÁTICA: Ecologia (Vertebrados)</w:t>
      </w:r>
    </w:p>
    <w:p w14:paraId="54923E2F" w14:textId="22D1EDC3" w:rsidR="00BB779F" w:rsidRDefault="00911EDD">
      <w:pPr>
        <w:spacing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SUBÁREA TEMÁTICA: Ictiologia</w:t>
      </w:r>
    </w:p>
    <w:p w14:paraId="5AB7289C" w14:textId="77777777" w:rsidR="00397F0F" w:rsidRDefault="00397F0F">
      <w:pPr>
        <w:spacing w:line="240" w:lineRule="auto"/>
        <w:jc w:val="both"/>
        <w:rPr>
          <w:b/>
          <w:sz w:val="20"/>
          <w:szCs w:val="20"/>
        </w:rPr>
      </w:pPr>
    </w:p>
    <w:p w14:paraId="09687867" w14:textId="77777777" w:rsidR="00BB779F" w:rsidRDefault="00911EDD">
      <w:pPr>
        <w:spacing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Variação espaço-temporal do ictioplâncton na foz do rio São Francisco</w:t>
      </w:r>
    </w:p>
    <w:p w14:paraId="07DFCD68" w14:textId="77777777" w:rsidR="00BB779F" w:rsidRDefault="00BB779F">
      <w:pPr>
        <w:spacing w:line="240" w:lineRule="auto"/>
        <w:jc w:val="center"/>
        <w:rPr>
          <w:b/>
          <w:sz w:val="20"/>
          <w:szCs w:val="20"/>
        </w:rPr>
      </w:pPr>
    </w:p>
    <w:p w14:paraId="2FD7B4EC" w14:textId="77777777" w:rsidR="00BB779F" w:rsidRDefault="00911EDD">
      <w:pPr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Jackeline Oliveira da Silva¹, Ana Karla A. Montenegro² &amp; Marcelo Fulgêncio Guedes Brito³ </w:t>
      </w:r>
    </w:p>
    <w:p w14:paraId="014486AC" w14:textId="77777777" w:rsidR="00BB779F" w:rsidRDefault="00911EDD">
      <w:pPr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¹ Universidade Federal de Sergipe (UFS), Campus São Cristóvão, Sergipe. E-mail (JOS): jackelineosilva.1@gmail.com</w:t>
      </w:r>
    </w:p>
    <w:p w14:paraId="3CEF2C28" w14:textId="77777777" w:rsidR="00BB779F" w:rsidRDefault="00911EDD">
      <w:pPr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² Secretaria de Estado da Educação e da Ciência e Tecnologia. João Pessoa, Paraíba. E-mail (AKAM): biokarla_21@hotmail.com </w:t>
      </w:r>
    </w:p>
    <w:p w14:paraId="103C8AFA" w14:textId="38D1EF9B" w:rsidR="00BB779F" w:rsidRDefault="00911EDD" w:rsidP="00397F0F">
      <w:pPr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³ Universidade Federal de Sergipe (UFS), Campus São Cristóvão, Sergipe. E-mail (MFGB): marcelictio@gmail.com</w:t>
      </w:r>
    </w:p>
    <w:p w14:paraId="7DAC4E8A" w14:textId="77777777" w:rsidR="00BB779F" w:rsidRDefault="00911EDD">
      <w:pPr>
        <w:spacing w:line="240" w:lineRule="auto"/>
        <w:rPr>
          <w:b/>
          <w:sz w:val="20"/>
          <w:szCs w:val="20"/>
          <w:lang w:eastAsia="zh-CN"/>
        </w:rPr>
      </w:pPr>
      <w:r>
        <w:rPr>
          <w:b/>
          <w:sz w:val="20"/>
          <w:szCs w:val="20"/>
        </w:rPr>
        <w:t>INTRODUÇÃO</w:t>
      </w:r>
    </w:p>
    <w:p w14:paraId="0B64F945" w14:textId="7FE188F9" w:rsidR="00BB779F" w:rsidRDefault="00911EDD" w:rsidP="00397F0F">
      <w:pPr>
        <w:spacing w:line="240" w:lineRule="auto"/>
        <w:ind w:firstLine="709"/>
        <w:jc w:val="both"/>
        <w:rPr>
          <w:sz w:val="20"/>
          <w:szCs w:val="20"/>
          <w:lang w:eastAsia="zh-CN"/>
        </w:rPr>
      </w:pPr>
      <w:r>
        <w:rPr>
          <w:sz w:val="20"/>
          <w:szCs w:val="20"/>
        </w:rPr>
        <w:t>Os estuários são regiões de alta produtividade biológica e assim, costumam ser densamente habitados por peixes, que utilizam estes ambientes como sítios de alimentação, crescimento e recrutamento (Munsch et al.</w:t>
      </w:r>
      <w:r w:rsidR="00F92858">
        <w:rPr>
          <w:sz w:val="20"/>
          <w:szCs w:val="20"/>
          <w:lang w:val="pt-BR"/>
        </w:rPr>
        <w:t>,</w:t>
      </w:r>
      <w:r>
        <w:rPr>
          <w:sz w:val="20"/>
          <w:szCs w:val="20"/>
        </w:rPr>
        <w:t xml:space="preserve"> 2017). Os estágios iniciais de vida de peixes encontram nos estuários ótimas condições para o seu desenvolvimento, fazendo destes ambientes elementos</w:t>
      </w:r>
      <w:r w:rsidR="00DF583B">
        <w:rPr>
          <w:sz w:val="20"/>
          <w:szCs w:val="20"/>
          <w:lang w:val="pt-BR"/>
        </w:rPr>
        <w:t xml:space="preserve"> </w:t>
      </w:r>
      <w:r>
        <w:rPr>
          <w:sz w:val="20"/>
          <w:szCs w:val="20"/>
        </w:rPr>
        <w:t>chave no processo de recrutamento para muitas espécies que permeiam o ambiente marinho e estuarino  (Mahardja et al.</w:t>
      </w:r>
      <w:r w:rsidR="00F92858">
        <w:rPr>
          <w:sz w:val="20"/>
          <w:szCs w:val="20"/>
          <w:lang w:val="pt-BR"/>
        </w:rPr>
        <w:t>,</w:t>
      </w:r>
      <w:r>
        <w:rPr>
          <w:sz w:val="20"/>
          <w:szCs w:val="20"/>
        </w:rPr>
        <w:t xml:space="preserve"> 2022). Conhecer a identidade das larvas de peixes e a sua dinâmica são fundamentais para o entendimento do funcionamento dos estuários, visto a influência deste componente na dinâmica, conservação e manutenção de recursos pesqueiros. Essa importância se dá não apenas por estabelecer uma base para a compreensão dos recursos pesqueiros, mas também por determinar os locais de desova, rotas de deriva e ciclos de desova, além de esclarecer questões a respeito do manejo da pesca (Montenegro et al., 202</w:t>
      </w:r>
      <w:r w:rsidR="0050557A">
        <w:rPr>
          <w:sz w:val="20"/>
          <w:szCs w:val="20"/>
          <w:lang w:val="pt-BR"/>
        </w:rPr>
        <w:t>0</w:t>
      </w:r>
      <w:r>
        <w:rPr>
          <w:sz w:val="20"/>
          <w:szCs w:val="20"/>
        </w:rPr>
        <w:t>).</w:t>
      </w:r>
      <w:r w:rsidR="003137F0">
        <w:rPr>
          <w:sz w:val="20"/>
          <w:szCs w:val="20"/>
          <w:lang w:val="pt-BR"/>
        </w:rPr>
        <w:t xml:space="preserve"> O</w:t>
      </w:r>
      <w:r>
        <w:rPr>
          <w:sz w:val="20"/>
          <w:szCs w:val="20"/>
        </w:rPr>
        <w:t xml:space="preserve"> presente trabalho tem como objetivo descrever a variação espaço-temporal do ictioplâncton da foz do rio São Francisco no nordeste brasileiro, a fim de contribuir com o conhecimento acerca das espécies do ictioplâncton da região.</w:t>
      </w:r>
    </w:p>
    <w:p w14:paraId="59E70CF5" w14:textId="77777777" w:rsidR="00397F0F" w:rsidRPr="00397F0F" w:rsidRDefault="00397F0F" w:rsidP="003137F0">
      <w:pPr>
        <w:spacing w:line="240" w:lineRule="auto"/>
        <w:jc w:val="both"/>
        <w:rPr>
          <w:sz w:val="20"/>
          <w:szCs w:val="20"/>
        </w:rPr>
      </w:pPr>
    </w:p>
    <w:p w14:paraId="3BBB7F2B" w14:textId="77777777" w:rsidR="00BB779F" w:rsidRDefault="00911EDD">
      <w:pPr>
        <w:spacing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MATERIAL E MÉTODOS</w:t>
      </w:r>
    </w:p>
    <w:p w14:paraId="311204FD" w14:textId="1B49201F" w:rsidR="003137F0" w:rsidRDefault="003137F0" w:rsidP="00D90AC5">
      <w:pPr>
        <w:spacing w:line="240" w:lineRule="auto"/>
        <w:ind w:firstLine="720"/>
        <w:jc w:val="both"/>
        <w:rPr>
          <w:sz w:val="20"/>
          <w:szCs w:val="20"/>
        </w:rPr>
      </w:pPr>
      <w:r w:rsidRPr="00D90AC5">
        <w:rPr>
          <w:sz w:val="20"/>
          <w:szCs w:val="20"/>
        </w:rPr>
        <w:t xml:space="preserve">A bacia do rio São Francisco, abrange 8% do Brasil, tem área de drenagem de 639.219 km². É </w:t>
      </w:r>
      <w:r w:rsidR="00D90AC5" w:rsidRPr="00D90AC5">
        <w:rPr>
          <w:sz w:val="20"/>
          <w:szCs w:val="20"/>
        </w:rPr>
        <w:t xml:space="preserve">de grande </w:t>
      </w:r>
      <w:r w:rsidRPr="00D90AC5">
        <w:rPr>
          <w:sz w:val="20"/>
          <w:szCs w:val="20"/>
        </w:rPr>
        <w:t>import</w:t>
      </w:r>
      <w:r w:rsidR="00D90AC5" w:rsidRPr="00D90AC5">
        <w:rPr>
          <w:sz w:val="20"/>
          <w:szCs w:val="20"/>
        </w:rPr>
        <w:t xml:space="preserve">ância </w:t>
      </w:r>
      <w:r w:rsidRPr="00D90AC5">
        <w:rPr>
          <w:sz w:val="20"/>
          <w:szCs w:val="20"/>
        </w:rPr>
        <w:t xml:space="preserve">devido ao seu volume de água e ao potencial energético e hídrico </w:t>
      </w:r>
      <w:r w:rsidR="00D90AC5" w:rsidRPr="00D90AC5">
        <w:rPr>
          <w:sz w:val="20"/>
          <w:szCs w:val="20"/>
          <w:lang w:val="pt-BR"/>
        </w:rPr>
        <w:t xml:space="preserve">para região </w:t>
      </w:r>
      <w:r w:rsidRPr="00D90AC5">
        <w:rPr>
          <w:sz w:val="20"/>
          <w:szCs w:val="20"/>
        </w:rPr>
        <w:t>Nordeste.</w:t>
      </w:r>
      <w:r w:rsidR="00D90AC5" w:rsidRPr="00D90AC5">
        <w:rPr>
          <w:sz w:val="20"/>
          <w:szCs w:val="20"/>
        </w:rPr>
        <w:t xml:space="preserve"> A área amostrada localiza-se no trecho do Baixo São Francisco, próximo à confluência com o oceano Atlântico, entre os estados de Alagoas e Sergipe. As coletas foram realizadas mensalmente entre fevereiro/2014 e janeiro/2015, em três pontos (Foz. SF 01, 02 e 03) (Fig. 1), na superfície e fundo em ciclo nictemeral com intervalos de 4 horas. Para as amostragens utilizamos uma rede de plâncton do tipo cônico-cilíndrica, com malha 500 µm e fluxômetro acoplado à boca. As densidades das amostras foram padronizadas para um volume de 10m³ de água filtrada, e o ictioplâncton foi classificado de acordo com os estágios de desenvolvimento ontogenético e identificado em menor nível taxonômico possível. </w:t>
      </w:r>
    </w:p>
    <w:tbl>
      <w:tblPr>
        <w:tblStyle w:val="a"/>
        <w:tblW w:w="862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625"/>
      </w:tblGrid>
      <w:tr w:rsidR="0050557A" w14:paraId="4233A630" w14:textId="77777777" w:rsidTr="00D90AC5">
        <w:trPr>
          <w:trHeight w:val="2802"/>
          <w:jc w:val="center"/>
        </w:trPr>
        <w:tc>
          <w:tcPr>
            <w:tcW w:w="8625" w:type="dxa"/>
          </w:tcPr>
          <w:p w14:paraId="7CAADED6" w14:textId="77777777" w:rsidR="0050557A" w:rsidRDefault="0050557A" w:rsidP="00FA458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C41770D" wp14:editId="5DF121B6">
                  <wp:extent cx="3840480" cy="2103120"/>
                  <wp:effectExtent l="0" t="0" r="7620" b="0"/>
                  <wp:docPr id="184968823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l="666" t="2320" r="2662" b="5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0" cy="2103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57A" w14:paraId="5FA15B89" w14:textId="77777777" w:rsidTr="00D90AC5">
        <w:trPr>
          <w:trHeight w:val="186"/>
          <w:jc w:val="center"/>
        </w:trPr>
        <w:tc>
          <w:tcPr>
            <w:tcW w:w="8625" w:type="dxa"/>
          </w:tcPr>
          <w:p w14:paraId="527B4F63" w14:textId="77777777" w:rsidR="0050557A" w:rsidRDefault="0050557A" w:rsidP="00FA458F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Figura 1. Localização da bacia do rio São Francisco (destacada em cinza), com indicação do Baixo São Francisco (em azul) e dos pontos de amostragem de ictioplâncton.</w:t>
            </w:r>
          </w:p>
        </w:tc>
      </w:tr>
    </w:tbl>
    <w:p w14:paraId="618A3E8E" w14:textId="77777777" w:rsidR="00BB779F" w:rsidRDefault="00BB779F" w:rsidP="001D1E5D">
      <w:pPr>
        <w:spacing w:line="240" w:lineRule="auto"/>
        <w:jc w:val="both"/>
        <w:rPr>
          <w:sz w:val="20"/>
          <w:szCs w:val="20"/>
        </w:rPr>
      </w:pPr>
    </w:p>
    <w:p w14:paraId="425BD35F" w14:textId="77777777" w:rsidR="00D90AC5" w:rsidRDefault="00911EDD" w:rsidP="00D90AC5">
      <w:pPr>
        <w:spacing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RESULTADOS E DISCUSSÃO</w:t>
      </w:r>
      <w:r w:rsidR="00D90AC5">
        <w:rPr>
          <w:b/>
          <w:sz w:val="20"/>
          <w:szCs w:val="20"/>
        </w:rPr>
        <w:tab/>
      </w:r>
    </w:p>
    <w:p w14:paraId="4CDA4FA1" w14:textId="0CE7313A" w:rsidR="00F878E9" w:rsidRPr="00F92858" w:rsidRDefault="00911EDD" w:rsidP="00F878E9">
      <w:pPr>
        <w:jc w:val="both"/>
        <w:rPr>
          <w:sz w:val="20"/>
          <w:szCs w:val="20"/>
        </w:rPr>
      </w:pPr>
      <w:r w:rsidRPr="00F92858">
        <w:rPr>
          <w:sz w:val="20"/>
          <w:szCs w:val="20"/>
        </w:rPr>
        <w:t>Foi capturado um total de 994 larvas, representadas por 7 ordens, 15 famílias, 12  gêneros e 11 espécies. Entre as ordens, predominaram os Clupeiformes (54,77%), Gobiiformes (26,57%) e Perciformes (12,68%). As demais ordens Atheriniformes, Beloniformes, Carangiformes, Tetraodontiformes e Syngnathiformes, somaram 5,98%. Encontramos maior destaque para as famílias Gobiidae, Sciaenidae e Engraulidae, exibindo as maiores densidades médias (0,20 ind./10m³, 0,19 ind./10m³ e 0,16 ind./10m³, respectivamente). Esta grande diversidade observada em Gobiidae pode ser creditada à sua grande riqueza de espécies e à sua ampla abrangência geográfica, tanto em regiões tropicais, quanto subtropicais. Já a família Sciaenidae é conhecida por sua grande capacidade de adaptação a diferentes ambientes (marinhos, costeiros e de águas rasas da plataforma continental) e condições de água (salobras e marinhas), o que confere ampla distribuição geográfica. Além disso, representam um importante recurso pesqueiro, por incluir várias espécies de interesse comercial (Santana et al.</w:t>
      </w:r>
      <w:r w:rsidR="00F92858" w:rsidRPr="00F92858">
        <w:rPr>
          <w:sz w:val="20"/>
          <w:szCs w:val="20"/>
          <w:lang w:val="pt-BR"/>
        </w:rPr>
        <w:t xml:space="preserve">, </w:t>
      </w:r>
      <w:r w:rsidRPr="00F92858">
        <w:rPr>
          <w:sz w:val="20"/>
          <w:szCs w:val="20"/>
        </w:rPr>
        <w:t>2016). Este resultado pode indicar que está ocorrendo recrutamento deste importante grupo na área de estudo.</w:t>
      </w:r>
      <w:r w:rsidR="0050557A" w:rsidRPr="00F92858">
        <w:rPr>
          <w:sz w:val="20"/>
          <w:szCs w:val="20"/>
          <w:lang w:val="pt-BR"/>
        </w:rPr>
        <w:t xml:space="preserve"> </w:t>
      </w:r>
      <w:r w:rsidRPr="00F92858">
        <w:rPr>
          <w:sz w:val="20"/>
          <w:szCs w:val="20"/>
        </w:rPr>
        <w:t>A família Engraulidae ocupou a terceira posição em representatividade. Os membros deste grupo desempenham um papel crucial na teia alimentar e têm presença significativa na pesca local, desempenhando um papel fundamental como fonte de renda e subsistência para as comunidades costeiras (Camargo et al.</w:t>
      </w:r>
      <w:r w:rsidR="00CC7F3F" w:rsidRPr="00F92858">
        <w:rPr>
          <w:sz w:val="20"/>
          <w:szCs w:val="20"/>
          <w:lang w:val="pt-BR"/>
        </w:rPr>
        <w:t>,</w:t>
      </w:r>
      <w:r w:rsidRPr="00F92858">
        <w:rPr>
          <w:sz w:val="20"/>
          <w:szCs w:val="20"/>
        </w:rPr>
        <w:t xml:space="preserve"> 200</w:t>
      </w:r>
      <w:r w:rsidR="0050557A" w:rsidRPr="00F92858">
        <w:rPr>
          <w:sz w:val="20"/>
          <w:szCs w:val="20"/>
          <w:lang w:val="pt-BR"/>
        </w:rPr>
        <w:t>3</w:t>
      </w:r>
      <w:r w:rsidRPr="00F92858">
        <w:rPr>
          <w:sz w:val="20"/>
          <w:szCs w:val="20"/>
        </w:rPr>
        <w:t>).</w:t>
      </w:r>
      <w:r w:rsidR="00DF583B" w:rsidRPr="00F92858">
        <w:rPr>
          <w:sz w:val="20"/>
          <w:szCs w:val="20"/>
          <w:lang w:val="pt-BR"/>
        </w:rPr>
        <w:t xml:space="preserve"> </w:t>
      </w:r>
      <w:r w:rsidRPr="00F92858">
        <w:rPr>
          <w:sz w:val="20"/>
          <w:szCs w:val="20"/>
        </w:rPr>
        <w:t>Em termos de sazonalidade, destaca-se que as maiores densidades médias de larvas foram observadas no mês de novembro de 2014, atingindo um valor de 4,98 ind./10m³. Este resultado provavelmente está relacionado com o pico de atividade reprodutiva de diversas espécies, que coincide com o período de maior volume hídrico na região. Isso, por sua vez, contribui para a criação de habitats propícios, caracterizados pela combinação de abrigo e disponibilidade de alimentos, essenciais para as fases iniciais de desenvolvimento (Vazzoler, 1996). Esse padrão sazonal pode estar ligado ao aumento da oferta de recursos durante essa época do ano, o que beneficia o sucesso reprodutivo e a sobrevivência das larvas. A disponibilidade de habitat favorável, aliada ao aumento da disponibilidade de alimento, pode ter impulsionado a concentração das larvas no ambiente estudado durante o mês de novembro/2014, conforme observado nas densidades médias registradas.</w:t>
      </w:r>
      <w:r w:rsidR="00DA0A82" w:rsidRPr="00F92858">
        <w:rPr>
          <w:sz w:val="20"/>
          <w:szCs w:val="20"/>
          <w:lang w:val="pt-BR"/>
        </w:rPr>
        <w:t xml:space="preserve"> </w:t>
      </w:r>
      <w:r w:rsidRPr="00F92858">
        <w:rPr>
          <w:sz w:val="20"/>
          <w:szCs w:val="20"/>
        </w:rPr>
        <w:t xml:space="preserve">Em todos os estágios larvais, foram observadas capturas, </w:t>
      </w:r>
      <w:bookmarkStart w:id="0" w:name="_Hlk145495168"/>
      <w:r w:rsidRPr="00F92858">
        <w:rPr>
          <w:sz w:val="20"/>
          <w:szCs w:val="20"/>
        </w:rPr>
        <w:t xml:space="preserve">com as maiores densidades ocorrendo nos estágios </w:t>
      </w:r>
      <w:bookmarkEnd w:id="0"/>
      <w:r w:rsidR="00436DB1" w:rsidRPr="00F92858">
        <w:rPr>
          <w:sz w:val="20"/>
          <w:szCs w:val="20"/>
          <w:lang w:val="pt-BR"/>
        </w:rPr>
        <w:t xml:space="preserve">Pós-F (1,03 </w:t>
      </w:r>
      <w:r w:rsidR="00436DB1" w:rsidRPr="00F92858">
        <w:rPr>
          <w:sz w:val="20"/>
          <w:szCs w:val="20"/>
        </w:rPr>
        <w:t>ind./10m³), Flexão (</w:t>
      </w:r>
      <w:r w:rsidR="00436DB1" w:rsidRPr="00F92858">
        <w:rPr>
          <w:sz w:val="20"/>
          <w:szCs w:val="20"/>
          <w:lang w:val="pt-BR"/>
        </w:rPr>
        <w:t>1,44</w:t>
      </w:r>
      <w:r w:rsidR="00436DB1" w:rsidRPr="00F92858">
        <w:rPr>
          <w:sz w:val="20"/>
          <w:szCs w:val="20"/>
        </w:rPr>
        <w:t xml:space="preserve"> ind./10m³)</w:t>
      </w:r>
      <w:r w:rsidR="00F878E9" w:rsidRPr="00F92858">
        <w:rPr>
          <w:sz w:val="20"/>
          <w:szCs w:val="20"/>
          <w:lang w:val="pt-BR"/>
        </w:rPr>
        <w:t>,</w:t>
      </w:r>
      <w:r w:rsidR="00436DB1" w:rsidRPr="00F92858">
        <w:rPr>
          <w:sz w:val="20"/>
          <w:szCs w:val="20"/>
        </w:rPr>
        <w:t xml:space="preserve"> </w:t>
      </w:r>
      <w:r w:rsidRPr="00F92858">
        <w:rPr>
          <w:sz w:val="20"/>
          <w:szCs w:val="20"/>
        </w:rPr>
        <w:t>Pré-Flexão (0,</w:t>
      </w:r>
      <w:r w:rsidR="00436DB1" w:rsidRPr="00F92858">
        <w:rPr>
          <w:sz w:val="20"/>
          <w:szCs w:val="20"/>
          <w:lang w:val="pt-BR"/>
        </w:rPr>
        <w:t>5</w:t>
      </w:r>
      <w:r w:rsidRPr="00F92858">
        <w:rPr>
          <w:sz w:val="20"/>
          <w:szCs w:val="20"/>
        </w:rPr>
        <w:t>9 ind./10m³)</w:t>
      </w:r>
      <w:r w:rsidR="00436DB1" w:rsidRPr="00F92858">
        <w:rPr>
          <w:sz w:val="20"/>
          <w:szCs w:val="20"/>
          <w:lang w:val="pt-BR"/>
        </w:rPr>
        <w:t xml:space="preserve">  e LV </w:t>
      </w:r>
      <w:r w:rsidR="00436DB1" w:rsidRPr="00F92858">
        <w:rPr>
          <w:sz w:val="20"/>
          <w:szCs w:val="20"/>
        </w:rPr>
        <w:t>(0,</w:t>
      </w:r>
      <w:r w:rsidR="00436DB1" w:rsidRPr="00F92858">
        <w:rPr>
          <w:sz w:val="20"/>
          <w:szCs w:val="20"/>
          <w:lang w:val="pt-BR"/>
        </w:rPr>
        <w:t>30</w:t>
      </w:r>
      <w:r w:rsidR="00436DB1" w:rsidRPr="00F92858">
        <w:rPr>
          <w:sz w:val="20"/>
          <w:szCs w:val="20"/>
        </w:rPr>
        <w:t xml:space="preserve"> ind./10m³), </w:t>
      </w:r>
      <w:r w:rsidRPr="00F92858">
        <w:rPr>
          <w:sz w:val="20"/>
          <w:szCs w:val="20"/>
        </w:rPr>
        <w:t xml:space="preserve"> </w:t>
      </w:r>
      <w:r w:rsidR="00436DB1" w:rsidRPr="00F92858">
        <w:rPr>
          <w:sz w:val="20"/>
          <w:szCs w:val="20"/>
          <w:lang w:val="pt-BR"/>
        </w:rPr>
        <w:t>respectivamente</w:t>
      </w:r>
      <w:r w:rsidR="00F878E9" w:rsidRPr="00F92858">
        <w:rPr>
          <w:sz w:val="20"/>
          <w:szCs w:val="20"/>
          <w:lang w:val="pt-BR"/>
        </w:rPr>
        <w:t>.</w:t>
      </w:r>
      <w:r w:rsidR="00F878E9" w:rsidRPr="00F92858">
        <w:rPr>
          <w:sz w:val="20"/>
          <w:szCs w:val="20"/>
        </w:rPr>
        <w:t xml:space="preserve"> Quanto à variação nictemeral (dia e noite) e dos estratos de coleta (superfície e fundo), foi evidenciada a utilização de estratégias de migração vertical, com larvas mais desenvolvidas migrando para regiões mais profundas durante a noite. Em resumo, este estudo contribui para o entendimento da diversidade e da dinâmica do ictioplâncton na foz do rio São Francisco. Em relação a sazonalidade e as estratégias de migração vertical os resultados revelaram adaptação das espécies aos ciclos naturais, o que é importante para a gestão dos recursos pesqueiros e a conservação dos ecossistemas estuarinos.</w:t>
      </w:r>
    </w:p>
    <w:p w14:paraId="66B87755" w14:textId="0FAD89FB" w:rsidR="00BB779F" w:rsidRDefault="00911EDD" w:rsidP="00D90AC5">
      <w:pPr>
        <w:spacing w:line="240" w:lineRule="auto"/>
        <w:ind w:firstLine="720"/>
        <w:jc w:val="both"/>
        <w:rPr>
          <w:sz w:val="20"/>
          <w:szCs w:val="20"/>
        </w:rPr>
      </w:pPr>
      <w:r w:rsidRPr="00F92858">
        <w:rPr>
          <w:sz w:val="20"/>
          <w:szCs w:val="20"/>
        </w:rPr>
        <w:t xml:space="preserve"> Com uma média de profundidade de 1,90 metros, essa região se destaca pela íntima conexão com o ecossistema de manguezal, criando um corredor entre o mar e o mangue. Esse intercâmbio confere uma oferta contínua de recursos, além de prover abrigo e refúgio essenciais. No que tange à variação nictemeral e dos estratos de coleta (superfície e fundo), foram capturados indivíduos em todos estágios de desenvolvimento, com destaque para as larvas em fase de larval vitelino (0,83ind./10m³), no estrato superfície – no período diurno, às 14h00. É importante mencionar que os estágios iniciais do desenvolvimento podem restringir a dispersão ativa devido à falta de estruturas que auxiliam na mobilidade, como células sensoriais e estruturação dos músculos (Blaxter, 1986). Já a presença de estágios mais desenvolvidos, como as fases Pré-Flexão e Pós-Flexão (1,15 ind./10m³ e 2,01 ind./10m³, respectivamente), apresentaram elevadas densidades no estrato fundo e no período noturno (02h00). Esta clara diferença observada na distribuição vertical, especialmente no fundo pode ter relação com estrutura das assembleia das larvas capturadas de espécimes de hábitos bentônicos, [Gobiidae (0,20 ind./10m³); </w:t>
      </w:r>
      <w:r w:rsidRPr="00F92858">
        <w:rPr>
          <w:i/>
          <w:sz w:val="20"/>
          <w:szCs w:val="20"/>
        </w:rPr>
        <w:t>Gobionellus oceanicus</w:t>
      </w:r>
      <w:r w:rsidRPr="00F92858">
        <w:rPr>
          <w:sz w:val="20"/>
          <w:szCs w:val="20"/>
        </w:rPr>
        <w:t xml:space="preserve"> (0,19 ind./10m³) e </w:t>
      </w:r>
      <w:r w:rsidRPr="00F92858">
        <w:rPr>
          <w:i/>
          <w:sz w:val="20"/>
          <w:szCs w:val="20"/>
        </w:rPr>
        <w:t>Ctenogobius saepepallens</w:t>
      </w:r>
      <w:r w:rsidRPr="00F92858">
        <w:rPr>
          <w:sz w:val="20"/>
          <w:szCs w:val="20"/>
        </w:rPr>
        <w:t xml:space="preserve"> (0,02 ind./10m³)]. Isto pode estar associado à preferência por hábitos bentônicos como as classes etárias mais desenvolvidas, em vez de nadar livremente na coluna de água. No que diz respeito ao ciclo circadiano,</w:t>
      </w:r>
      <w:r w:rsidRPr="00F878E9">
        <w:rPr>
          <w:sz w:val="20"/>
          <w:szCs w:val="20"/>
        </w:rPr>
        <w:t xml:space="preserve"> </w:t>
      </w:r>
      <w:r w:rsidRPr="00F878E9">
        <w:rPr>
          <w:sz w:val="20"/>
          <w:szCs w:val="20"/>
        </w:rPr>
        <w:lastRenderedPageBreak/>
        <w:t xml:space="preserve">organismos ontogeneticamente mais desenvolvidos revelam um maior senso de orientação ao se deslocar na coluna d'água, movendo-se de forma independente na busca por fontes de alimento e na </w:t>
      </w:r>
      <w:r w:rsidRPr="00F92858">
        <w:rPr>
          <w:sz w:val="20"/>
          <w:szCs w:val="20"/>
        </w:rPr>
        <w:t>evasão de predadores visuais (Blaxter, 1986), migrando para regiões mais profundas.</w:t>
      </w:r>
      <w:r w:rsidR="0050557A" w:rsidRPr="00F92858">
        <w:rPr>
          <w:sz w:val="20"/>
          <w:szCs w:val="20"/>
          <w:lang w:val="pt-BR"/>
        </w:rPr>
        <w:t xml:space="preserve"> </w:t>
      </w:r>
      <w:r w:rsidRPr="00F92858">
        <w:rPr>
          <w:sz w:val="20"/>
          <w:szCs w:val="20"/>
        </w:rPr>
        <w:t>De maneira geral, os táxons capturados correspondem à composição da ictiofauna das águas estuarinas do nordeste brasileiro (Oliveira, 1972), caracterizada por espécies de ampla distribuição geográfica (Bezerra J</w:t>
      </w:r>
      <w:proofErr w:type="spellStart"/>
      <w:r w:rsidR="00E132A1" w:rsidRPr="00F92858">
        <w:rPr>
          <w:sz w:val="20"/>
          <w:szCs w:val="20"/>
          <w:lang w:val="pt-BR"/>
        </w:rPr>
        <w:t>unior</w:t>
      </w:r>
      <w:proofErr w:type="spellEnd"/>
      <w:r w:rsidRPr="00F92858">
        <w:rPr>
          <w:sz w:val="20"/>
          <w:szCs w:val="20"/>
        </w:rPr>
        <w:t xml:space="preserve"> et al., 2011). A princípio, não foram observadas espécies não-nativas marinhas, mas a presença de espécies exóticas não pode ser descartada, visto que próximo à região amostrada existem portos que são vetores de invasão biológica.</w:t>
      </w:r>
    </w:p>
    <w:p w14:paraId="48B672A8" w14:textId="77777777" w:rsidR="00D90AC5" w:rsidRDefault="00D90AC5" w:rsidP="00D90AC5">
      <w:pPr>
        <w:spacing w:line="240" w:lineRule="auto"/>
        <w:ind w:firstLine="720"/>
        <w:jc w:val="both"/>
        <w:rPr>
          <w:sz w:val="20"/>
          <w:szCs w:val="20"/>
        </w:rPr>
      </w:pPr>
    </w:p>
    <w:p w14:paraId="724F2392" w14:textId="77777777" w:rsidR="00D90AC5" w:rsidRPr="00D90AC5" w:rsidRDefault="00D90AC5" w:rsidP="00D90AC5">
      <w:pPr>
        <w:spacing w:line="240" w:lineRule="auto"/>
        <w:ind w:firstLine="720"/>
        <w:jc w:val="both"/>
        <w:rPr>
          <w:b/>
          <w:sz w:val="20"/>
          <w:szCs w:val="20"/>
        </w:rPr>
      </w:pPr>
    </w:p>
    <w:p w14:paraId="34CF95B5" w14:textId="75935F75" w:rsidR="003137F0" w:rsidRDefault="00911EDD" w:rsidP="003137F0">
      <w:pPr>
        <w:spacing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CONCLUSÕES</w:t>
      </w:r>
    </w:p>
    <w:p w14:paraId="73D9C8FC" w14:textId="0F31B6DB" w:rsidR="003137F0" w:rsidRDefault="0078035B" w:rsidP="003137F0">
      <w:pPr>
        <w:spacing w:line="240" w:lineRule="auto"/>
        <w:ind w:firstLine="567"/>
        <w:jc w:val="both"/>
        <w:rPr>
          <w:sz w:val="20"/>
          <w:szCs w:val="20"/>
          <w:lang w:eastAsia="zh-CN"/>
        </w:rPr>
      </w:pPr>
      <w:r>
        <w:rPr>
          <w:sz w:val="20"/>
          <w:szCs w:val="20"/>
        </w:rPr>
        <w:t>O reconhecimento da identidade taxonômica e a distribuição espacial das larvas podem fornecer informações importantes sobre o comportamento e ecologia desses organismos, além de contribuir para a compreensão dos processos de recrutamento e colonização de populações marinhas. Essas informações são relevantes não apenas para a pesca e gerenciamento dos recursos pesqueiros, mas também para a conservação dos ecossistemas estuarinos e a preservação das populações de peixes. Além disso, o conhecimento acerca das espécies presentes na região da foz do rio São Francisco permite identificar potenciais impactos humanos sobre a comunidade íctica. Adicionalmente, conhecer as espécies de interesse comercial permite a implementação de políticas de manejo adequadas e a adoção de medidas de conservação específicas para essas espécies</w:t>
      </w:r>
    </w:p>
    <w:p w14:paraId="796DE387" w14:textId="77777777" w:rsidR="0078035B" w:rsidRPr="003137F0" w:rsidRDefault="0078035B" w:rsidP="003137F0">
      <w:pPr>
        <w:spacing w:line="240" w:lineRule="auto"/>
        <w:ind w:firstLine="567"/>
        <w:jc w:val="both"/>
        <w:rPr>
          <w:sz w:val="20"/>
          <w:szCs w:val="20"/>
          <w:lang w:eastAsia="zh-CN"/>
        </w:rPr>
      </w:pPr>
    </w:p>
    <w:p w14:paraId="5D048C22" w14:textId="77777777" w:rsidR="00BB779F" w:rsidRDefault="00911EDD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Apoio: </w:t>
      </w:r>
      <w:r>
        <w:rPr>
          <w:color w:val="000000"/>
          <w:sz w:val="20"/>
          <w:szCs w:val="20"/>
        </w:rPr>
        <w:t>Companhia Hidroelétrica do São Francisco, Laboratório Água e Terra</w:t>
      </w:r>
      <w:r>
        <w:rPr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Coordenação de Aperfeiçoamento de Pessoal de Nível Superior, Conselho Nacional de Desenvolvimento Científico e Tecnológico.</w:t>
      </w:r>
    </w:p>
    <w:p w14:paraId="1280CBDF" w14:textId="77777777" w:rsidR="00BB779F" w:rsidRDefault="00BB779F">
      <w:pPr>
        <w:spacing w:line="240" w:lineRule="auto"/>
        <w:jc w:val="both"/>
        <w:rPr>
          <w:sz w:val="20"/>
          <w:szCs w:val="20"/>
        </w:rPr>
      </w:pPr>
    </w:p>
    <w:p w14:paraId="74F5DAE7" w14:textId="12C09E94" w:rsidR="00E132A1" w:rsidRDefault="00911EDD" w:rsidP="00F92858">
      <w:pPr>
        <w:spacing w:line="240" w:lineRule="auto"/>
        <w:jc w:val="both"/>
        <w:rPr>
          <w:rFonts w:hint="eastAsia"/>
          <w:b/>
          <w:sz w:val="20"/>
          <w:szCs w:val="20"/>
          <w:lang w:eastAsia="zh-CN"/>
        </w:rPr>
      </w:pPr>
      <w:r>
        <w:rPr>
          <w:b/>
          <w:sz w:val="20"/>
          <w:szCs w:val="20"/>
        </w:rPr>
        <w:t xml:space="preserve">REFERÊNCIAS </w:t>
      </w:r>
    </w:p>
    <w:p w14:paraId="10B9F08A" w14:textId="77777777" w:rsidR="00F92858" w:rsidRPr="001D1E5D" w:rsidRDefault="00F92858" w:rsidP="001D1E5D">
      <w:pPr>
        <w:spacing w:line="240" w:lineRule="auto"/>
        <w:jc w:val="both"/>
        <w:rPr>
          <w:color w:val="000000"/>
          <w:sz w:val="20"/>
          <w:szCs w:val="20"/>
          <w:lang w:eastAsia="zh-CN"/>
        </w:rPr>
      </w:pPr>
    </w:p>
    <w:p w14:paraId="484DAA2F" w14:textId="77777777" w:rsidR="00F92858" w:rsidRPr="00F92858" w:rsidRDefault="00F92858" w:rsidP="001D1E5D">
      <w:pPr>
        <w:spacing w:line="240" w:lineRule="auto"/>
        <w:jc w:val="both"/>
        <w:rPr>
          <w:color w:val="000000"/>
          <w:sz w:val="20"/>
          <w:szCs w:val="20"/>
          <w:lang w:val="pt-BR" w:eastAsia="zh-CN"/>
        </w:rPr>
      </w:pPr>
      <w:r w:rsidRPr="00F92858">
        <w:rPr>
          <w:color w:val="000000"/>
          <w:sz w:val="20"/>
          <w:szCs w:val="20"/>
        </w:rPr>
        <w:t>Bezerra Junior, J. L.; Diaz, X. G.; &amp; Neumann-Leitão, S. 2011. Diversidade de larvas de peixes das áreas internas e externas do porto de SUAPE (Pernambuco, Brasil). Tropical Oceanography</w:t>
      </w:r>
      <w:r w:rsidRPr="00F92858">
        <w:rPr>
          <w:color w:val="FF0000"/>
          <w:sz w:val="20"/>
          <w:szCs w:val="20"/>
          <w:lang w:val="pt-BR"/>
        </w:rPr>
        <w:t xml:space="preserve"> </w:t>
      </w:r>
      <w:r w:rsidRPr="00F92858">
        <w:rPr>
          <w:color w:val="000000"/>
          <w:sz w:val="20"/>
          <w:szCs w:val="20"/>
        </w:rPr>
        <w:t>39</w:t>
      </w:r>
      <w:r w:rsidRPr="00F92858">
        <w:rPr>
          <w:color w:val="000000"/>
          <w:sz w:val="20"/>
          <w:szCs w:val="20"/>
          <w:lang w:val="pt-BR"/>
        </w:rPr>
        <w:t xml:space="preserve"> </w:t>
      </w:r>
      <w:r w:rsidRPr="00F92858">
        <w:rPr>
          <w:color w:val="000000"/>
          <w:sz w:val="20"/>
          <w:szCs w:val="20"/>
        </w:rPr>
        <w:t>(1)</w:t>
      </w:r>
      <w:r w:rsidRPr="00F92858">
        <w:rPr>
          <w:color w:val="000000"/>
          <w:sz w:val="20"/>
          <w:szCs w:val="20"/>
          <w:lang w:val="pt-BR"/>
        </w:rPr>
        <w:t>: 1- 13.</w:t>
      </w:r>
    </w:p>
    <w:p w14:paraId="6686B4EC" w14:textId="77777777" w:rsidR="00F92858" w:rsidRPr="00F92858" w:rsidRDefault="00F92858" w:rsidP="001D1E5D">
      <w:pPr>
        <w:spacing w:line="240" w:lineRule="auto"/>
        <w:jc w:val="both"/>
        <w:rPr>
          <w:rFonts w:hint="eastAsia"/>
          <w:color w:val="000000"/>
          <w:sz w:val="20"/>
          <w:szCs w:val="20"/>
          <w:lang w:eastAsia="zh-CN"/>
        </w:rPr>
      </w:pPr>
      <w:r w:rsidRPr="00F92858">
        <w:rPr>
          <w:color w:val="000000"/>
          <w:sz w:val="20"/>
          <w:szCs w:val="20"/>
        </w:rPr>
        <w:t>Blaxter, J.H.S. 1986. Development of sense organs and behaviour of teleost larvae with special reference to feeding and predator avoidance Transsactions of the</w:t>
      </w:r>
      <w:r w:rsidRPr="00F92858">
        <w:rPr>
          <w:color w:val="000000"/>
          <w:sz w:val="20"/>
          <w:szCs w:val="20"/>
          <w:lang w:val="pt-BR"/>
        </w:rPr>
        <w:t xml:space="preserve"> </w:t>
      </w:r>
      <w:r w:rsidRPr="00F92858">
        <w:rPr>
          <w:color w:val="000000"/>
          <w:sz w:val="20"/>
          <w:szCs w:val="20"/>
        </w:rPr>
        <w:t xml:space="preserve"> American. Fisher</w:t>
      </w:r>
      <w:proofErr w:type="spellStart"/>
      <w:r w:rsidRPr="00F92858">
        <w:rPr>
          <w:color w:val="000000"/>
          <w:sz w:val="20"/>
          <w:szCs w:val="20"/>
        </w:rPr>
        <w:t>ies</w:t>
      </w:r>
      <w:proofErr w:type="spellEnd"/>
      <w:r w:rsidRPr="00F92858">
        <w:rPr>
          <w:color w:val="000000"/>
          <w:sz w:val="20"/>
          <w:szCs w:val="20"/>
        </w:rPr>
        <w:t xml:space="preserve"> Soc</w:t>
      </w:r>
      <w:proofErr w:type="spellStart"/>
      <w:r w:rsidRPr="00F92858">
        <w:rPr>
          <w:color w:val="000000"/>
          <w:sz w:val="20"/>
          <w:szCs w:val="20"/>
          <w:lang w:val="pt-BR"/>
        </w:rPr>
        <w:t>iety</w:t>
      </w:r>
      <w:proofErr w:type="spellEnd"/>
      <w:r w:rsidRPr="00F92858">
        <w:rPr>
          <w:color w:val="000000"/>
          <w:sz w:val="20"/>
          <w:szCs w:val="20"/>
        </w:rPr>
        <w:t>, 115:  98 -114</w:t>
      </w:r>
      <w:r w:rsidRPr="00F92858">
        <w:rPr>
          <w:color w:val="000000"/>
          <w:sz w:val="20"/>
          <w:szCs w:val="20"/>
          <w:lang w:val="pt-BR"/>
        </w:rPr>
        <w:t>.</w:t>
      </w:r>
      <w:r w:rsidRPr="00F92858">
        <w:rPr>
          <w:color w:val="000000"/>
          <w:sz w:val="20"/>
          <w:szCs w:val="20"/>
        </w:rPr>
        <w:t xml:space="preserve"> </w:t>
      </w:r>
    </w:p>
    <w:p w14:paraId="58D7B87F" w14:textId="77777777" w:rsidR="00F92858" w:rsidRPr="00F92858" w:rsidRDefault="00F92858" w:rsidP="001D1E5D">
      <w:pPr>
        <w:spacing w:line="240" w:lineRule="auto"/>
        <w:jc w:val="both"/>
        <w:rPr>
          <w:color w:val="000000"/>
          <w:sz w:val="20"/>
          <w:szCs w:val="20"/>
          <w:lang w:val="pt-BR"/>
        </w:rPr>
      </w:pPr>
      <w:r w:rsidRPr="00F92858">
        <w:rPr>
          <w:color w:val="000000"/>
          <w:sz w:val="20"/>
          <w:szCs w:val="20"/>
        </w:rPr>
        <w:t>Camargo, M</w:t>
      </w:r>
      <w:r w:rsidRPr="00F92858">
        <w:rPr>
          <w:color w:val="000000"/>
          <w:sz w:val="20"/>
          <w:szCs w:val="20"/>
          <w:lang w:val="pt-BR"/>
        </w:rPr>
        <w:t>.</w:t>
      </w:r>
      <w:r w:rsidRPr="00F92858">
        <w:rPr>
          <w:color w:val="000000"/>
          <w:sz w:val="20"/>
          <w:szCs w:val="20"/>
        </w:rPr>
        <w:t xml:space="preserve"> &amp; Isaac, V.J. 2003. Ictiofauna Estuarina,</w:t>
      </w:r>
      <w:r w:rsidRPr="00F92858">
        <w:rPr>
          <w:color w:val="000000"/>
          <w:sz w:val="20"/>
          <w:szCs w:val="20"/>
          <w:lang w:val="pt-BR"/>
        </w:rPr>
        <w:t xml:space="preserve"> p. </w:t>
      </w:r>
      <w:r w:rsidRPr="00F92858">
        <w:rPr>
          <w:color w:val="000000"/>
          <w:sz w:val="20"/>
          <w:szCs w:val="20"/>
        </w:rPr>
        <w:t>105-142</w:t>
      </w:r>
      <w:r w:rsidRPr="00F92858">
        <w:rPr>
          <w:color w:val="000000"/>
          <w:sz w:val="20"/>
          <w:szCs w:val="20"/>
          <w:lang w:val="pt-BR"/>
        </w:rPr>
        <w:t>.</w:t>
      </w:r>
      <w:r w:rsidRPr="00F92858">
        <w:rPr>
          <w:color w:val="000000"/>
          <w:sz w:val="20"/>
          <w:szCs w:val="20"/>
        </w:rPr>
        <w:t xml:space="preserve"> In: </w:t>
      </w:r>
      <w:r w:rsidRPr="00F92858">
        <w:rPr>
          <w:color w:val="000000"/>
          <w:sz w:val="20"/>
          <w:szCs w:val="20"/>
          <w:lang w:val="pt-BR"/>
        </w:rPr>
        <w:t>M.E.</w:t>
      </w:r>
      <w:r w:rsidRPr="00F92858">
        <w:rPr>
          <w:sz w:val="20"/>
          <w:szCs w:val="20"/>
          <w:lang w:val="pt-BR"/>
        </w:rPr>
        <w:t xml:space="preserve">B. Fernandes </w:t>
      </w:r>
      <w:r w:rsidRPr="00F92858">
        <w:rPr>
          <w:sz w:val="20"/>
          <w:szCs w:val="20"/>
          <w:lang w:val="pt-BR"/>
        </w:rPr>
        <w:t xml:space="preserve">(Org). </w:t>
      </w:r>
      <w:r w:rsidRPr="00F92858">
        <w:rPr>
          <w:sz w:val="20"/>
          <w:szCs w:val="20"/>
          <w:lang w:val="pt-BR"/>
        </w:rPr>
        <w:t xml:space="preserve"> </w:t>
      </w:r>
      <w:r w:rsidRPr="00F92858">
        <w:rPr>
          <w:sz w:val="20"/>
          <w:szCs w:val="20"/>
        </w:rPr>
        <w:t xml:space="preserve">Os </w:t>
      </w:r>
      <w:r w:rsidRPr="00F92858">
        <w:rPr>
          <w:color w:val="000000"/>
          <w:sz w:val="20"/>
          <w:szCs w:val="20"/>
        </w:rPr>
        <w:t xml:space="preserve">manguezais da costa norte brasileira, Maranhão: </w:t>
      </w:r>
      <w:r w:rsidRPr="00F92858">
        <w:rPr>
          <w:color w:val="000000"/>
          <w:sz w:val="20"/>
          <w:szCs w:val="20"/>
          <w:lang w:val="pt-BR"/>
        </w:rPr>
        <w:t>F</w:t>
      </w:r>
      <w:r w:rsidRPr="00F92858">
        <w:rPr>
          <w:color w:val="000000"/>
          <w:sz w:val="20"/>
          <w:szCs w:val="20"/>
        </w:rPr>
        <w:t>undação Rio Bacanga</w:t>
      </w:r>
      <w:r w:rsidRPr="00F92858">
        <w:rPr>
          <w:color w:val="000000"/>
          <w:sz w:val="20"/>
          <w:szCs w:val="20"/>
          <w:lang w:val="pt-BR"/>
        </w:rPr>
        <w:t>, 133p.</w:t>
      </w:r>
      <w:r w:rsidRPr="00F92858">
        <w:rPr>
          <w:color w:val="000000"/>
          <w:sz w:val="20"/>
          <w:szCs w:val="20"/>
        </w:rPr>
        <w:t xml:space="preserve"> </w:t>
      </w:r>
    </w:p>
    <w:p w14:paraId="66CDB627" w14:textId="77777777" w:rsidR="00F92858" w:rsidRPr="00F92858" w:rsidRDefault="00F92858" w:rsidP="001D1E5D">
      <w:pPr>
        <w:spacing w:line="240" w:lineRule="auto"/>
        <w:jc w:val="both"/>
        <w:rPr>
          <w:color w:val="000000"/>
          <w:sz w:val="20"/>
          <w:szCs w:val="20"/>
          <w:lang w:val="pt-BR"/>
        </w:rPr>
      </w:pPr>
      <w:r w:rsidRPr="001D1E5D">
        <w:rPr>
          <w:color w:val="000000"/>
          <w:sz w:val="20"/>
          <w:szCs w:val="20"/>
        </w:rPr>
        <w:t>Mahardja, B.</w:t>
      </w:r>
      <w:r>
        <w:rPr>
          <w:color w:val="000000"/>
          <w:sz w:val="20"/>
          <w:szCs w:val="20"/>
          <w:lang w:val="pt-BR"/>
        </w:rPr>
        <w:t>;</w:t>
      </w:r>
      <w:r w:rsidRPr="001D1E5D">
        <w:rPr>
          <w:color w:val="000000"/>
          <w:sz w:val="20"/>
          <w:szCs w:val="20"/>
        </w:rPr>
        <w:t xml:space="preserve"> Bashevkin, S. M.</w:t>
      </w:r>
      <w:r>
        <w:rPr>
          <w:color w:val="000000"/>
          <w:sz w:val="20"/>
          <w:szCs w:val="20"/>
          <w:lang w:val="pt-BR"/>
        </w:rPr>
        <w:t xml:space="preserve">; </w:t>
      </w:r>
      <w:r w:rsidRPr="001D1E5D">
        <w:rPr>
          <w:color w:val="000000"/>
          <w:sz w:val="20"/>
          <w:szCs w:val="20"/>
        </w:rPr>
        <w:t>Pien, C.</w:t>
      </w:r>
      <w:r>
        <w:rPr>
          <w:color w:val="000000"/>
          <w:sz w:val="20"/>
          <w:szCs w:val="20"/>
          <w:lang w:val="pt-BR"/>
        </w:rPr>
        <w:t>;</w:t>
      </w:r>
      <w:r w:rsidRPr="001D1E5D">
        <w:rPr>
          <w:color w:val="000000"/>
          <w:sz w:val="20"/>
          <w:szCs w:val="20"/>
        </w:rPr>
        <w:t xml:space="preserve"> Nelson, M.</w:t>
      </w:r>
      <w:r>
        <w:rPr>
          <w:color w:val="000000"/>
          <w:sz w:val="20"/>
          <w:szCs w:val="20"/>
          <w:lang w:val="pt-BR"/>
        </w:rPr>
        <w:t>;</w:t>
      </w:r>
      <w:r w:rsidRPr="001D1E5D">
        <w:rPr>
          <w:color w:val="000000"/>
          <w:sz w:val="20"/>
          <w:szCs w:val="20"/>
        </w:rPr>
        <w:t xml:space="preserve"> Davis, B. E. &amp; Hartman, R. 2022. Escape from the heat: thermal stratification in a well-mixed estuary and implications for fish species facing a changing climate. Hydrobiologia, 849 (13)</w:t>
      </w:r>
      <w:r>
        <w:rPr>
          <w:color w:val="000000"/>
          <w:sz w:val="20"/>
          <w:szCs w:val="20"/>
          <w:lang w:val="pt-BR"/>
        </w:rPr>
        <w:t>: 2895-2918.</w:t>
      </w:r>
    </w:p>
    <w:p w14:paraId="7CD1E416" w14:textId="77777777" w:rsidR="00F92858" w:rsidRPr="00777809" w:rsidRDefault="00F92858" w:rsidP="001D1E5D">
      <w:pPr>
        <w:spacing w:line="240" w:lineRule="auto"/>
        <w:jc w:val="both"/>
        <w:rPr>
          <w:color w:val="000000"/>
          <w:sz w:val="20"/>
          <w:szCs w:val="20"/>
          <w:lang w:val="pt-BR"/>
        </w:rPr>
      </w:pPr>
      <w:r w:rsidRPr="001D1E5D">
        <w:rPr>
          <w:color w:val="000000"/>
          <w:sz w:val="20"/>
          <w:szCs w:val="20"/>
        </w:rPr>
        <w:t>Montenegro, A. K. A.; Silva, J. O</w:t>
      </w:r>
      <w:r>
        <w:rPr>
          <w:color w:val="000000"/>
          <w:sz w:val="20"/>
          <w:szCs w:val="20"/>
          <w:lang w:val="pt-BR"/>
        </w:rPr>
        <w:t>.</w:t>
      </w:r>
      <w:r w:rsidRPr="001D1E5D">
        <w:rPr>
          <w:color w:val="000000"/>
          <w:sz w:val="20"/>
          <w:szCs w:val="20"/>
        </w:rPr>
        <w:t xml:space="preserve"> &amp; Jesus, F. B. 2020. Importância do médio e submédio São Francisco para a renovação de estoques pesqueiros, semiárido Brasileiro. Brazilian Journal Animal and Environmental Research</w:t>
      </w:r>
      <w:r>
        <w:rPr>
          <w:color w:val="000000"/>
          <w:sz w:val="20"/>
          <w:szCs w:val="20"/>
          <w:lang w:val="pt-BR"/>
        </w:rPr>
        <w:t xml:space="preserve">, </w:t>
      </w:r>
      <w:r w:rsidRPr="001D1E5D">
        <w:rPr>
          <w:color w:val="000000"/>
          <w:sz w:val="20"/>
          <w:szCs w:val="20"/>
        </w:rPr>
        <w:t>3 (4): 3923-3936</w:t>
      </w:r>
      <w:r>
        <w:rPr>
          <w:color w:val="000000"/>
          <w:sz w:val="20"/>
          <w:szCs w:val="20"/>
          <w:lang w:val="pt-BR"/>
        </w:rPr>
        <w:t>.</w:t>
      </w:r>
    </w:p>
    <w:p w14:paraId="1B280BBE" w14:textId="77777777" w:rsidR="00F92858" w:rsidRPr="00AF6B03" w:rsidRDefault="00F92858" w:rsidP="001D1E5D">
      <w:pPr>
        <w:spacing w:line="240" w:lineRule="auto"/>
        <w:jc w:val="both"/>
        <w:rPr>
          <w:color w:val="000000"/>
          <w:sz w:val="20"/>
          <w:szCs w:val="20"/>
          <w:lang w:val="pt-BR"/>
        </w:rPr>
      </w:pPr>
      <w:r w:rsidRPr="001D1E5D">
        <w:rPr>
          <w:color w:val="000000"/>
          <w:sz w:val="20"/>
          <w:szCs w:val="20"/>
        </w:rPr>
        <w:t xml:space="preserve">Munsch, S.H.; Cordell, J.R. &amp; Toft, J.D. 2017. Effects of shoreline armouring and overwater structures on coastal and estuarine fish: opportunities for habitat improvement. </w:t>
      </w:r>
      <w:r w:rsidRPr="00AF6B03">
        <w:rPr>
          <w:color w:val="000000"/>
          <w:sz w:val="20"/>
          <w:szCs w:val="20"/>
        </w:rPr>
        <w:t>Journal of Applied Ecology</w:t>
      </w:r>
      <w:r>
        <w:rPr>
          <w:color w:val="000000"/>
          <w:sz w:val="20"/>
          <w:szCs w:val="20"/>
          <w:lang w:val="pt-BR"/>
        </w:rPr>
        <w:t>,</w:t>
      </w:r>
      <w:r w:rsidRPr="001D1E5D">
        <w:rPr>
          <w:color w:val="000000"/>
          <w:sz w:val="20"/>
          <w:szCs w:val="20"/>
        </w:rPr>
        <w:t xml:space="preserve"> 54,  (5)</w:t>
      </w:r>
      <w:r>
        <w:rPr>
          <w:color w:val="000000"/>
          <w:sz w:val="20"/>
          <w:szCs w:val="20"/>
          <w:lang w:val="pt-BR"/>
        </w:rPr>
        <w:t>: 1373 -1384.</w:t>
      </w:r>
    </w:p>
    <w:p w14:paraId="6A57334A" w14:textId="77777777" w:rsidR="00F92858" w:rsidRPr="00777809" w:rsidRDefault="00F92858" w:rsidP="001D1E5D">
      <w:pPr>
        <w:spacing w:line="240" w:lineRule="auto"/>
        <w:jc w:val="both"/>
        <w:rPr>
          <w:color w:val="000000"/>
          <w:sz w:val="20"/>
          <w:szCs w:val="20"/>
          <w:lang w:val="pt-BR"/>
        </w:rPr>
      </w:pPr>
      <w:r w:rsidRPr="00F92858">
        <w:rPr>
          <w:color w:val="000000"/>
          <w:sz w:val="20"/>
          <w:szCs w:val="20"/>
        </w:rPr>
        <w:t>Oliveira, A.M.E. 1972. Peixes estuarinos do Nordeste oriental brasileiro. Arq</w:t>
      </w:r>
      <w:r w:rsidRPr="00F92858">
        <w:rPr>
          <w:color w:val="000000"/>
          <w:sz w:val="20"/>
          <w:szCs w:val="20"/>
          <w:lang w:val="pt-BR"/>
        </w:rPr>
        <w:t>uivos de</w:t>
      </w:r>
      <w:r w:rsidRPr="00F92858">
        <w:rPr>
          <w:color w:val="000000"/>
          <w:sz w:val="20"/>
          <w:szCs w:val="20"/>
        </w:rPr>
        <w:t xml:space="preserve"> Ciên</w:t>
      </w:r>
      <w:r w:rsidRPr="00F92858">
        <w:rPr>
          <w:color w:val="000000"/>
          <w:sz w:val="20"/>
          <w:szCs w:val="20"/>
          <w:lang w:val="pt-BR"/>
        </w:rPr>
        <w:t>cias do Mar</w:t>
      </w:r>
      <w:r w:rsidRPr="00F92858">
        <w:rPr>
          <w:color w:val="000000"/>
          <w:sz w:val="20"/>
          <w:szCs w:val="20"/>
        </w:rPr>
        <w:t xml:space="preserve">, </w:t>
      </w:r>
      <w:r w:rsidRPr="00F92858">
        <w:rPr>
          <w:color w:val="000000"/>
          <w:sz w:val="20"/>
          <w:szCs w:val="20"/>
          <w:lang w:val="pt-BR"/>
        </w:rPr>
        <w:t>Fortaleza,</w:t>
      </w:r>
      <w:r w:rsidRPr="00F92858">
        <w:rPr>
          <w:color w:val="000000"/>
          <w:sz w:val="20"/>
          <w:szCs w:val="20"/>
        </w:rPr>
        <w:t xml:space="preserve"> 12 (1): 35</w:t>
      </w:r>
      <w:r w:rsidRPr="00F92858">
        <w:rPr>
          <w:color w:val="000000"/>
          <w:sz w:val="20"/>
          <w:szCs w:val="20"/>
          <w:lang w:val="pt-BR"/>
        </w:rPr>
        <w:t xml:space="preserve"> - </w:t>
      </w:r>
      <w:r w:rsidRPr="00F92858">
        <w:rPr>
          <w:color w:val="000000"/>
          <w:sz w:val="20"/>
          <w:szCs w:val="20"/>
        </w:rPr>
        <w:t>41</w:t>
      </w:r>
      <w:r w:rsidRPr="00F92858">
        <w:rPr>
          <w:color w:val="000000"/>
          <w:sz w:val="20"/>
          <w:szCs w:val="20"/>
          <w:lang w:val="pt-BR"/>
        </w:rPr>
        <w:t>.</w:t>
      </w:r>
    </w:p>
    <w:p w14:paraId="2E5791B9" w14:textId="77777777" w:rsidR="00F92858" w:rsidRPr="00AF6B03" w:rsidRDefault="00F92858" w:rsidP="001D1E5D">
      <w:pPr>
        <w:spacing w:line="240" w:lineRule="auto"/>
        <w:jc w:val="both"/>
        <w:rPr>
          <w:color w:val="000000"/>
          <w:sz w:val="20"/>
          <w:szCs w:val="20"/>
          <w:lang w:val="pt-BR"/>
        </w:rPr>
      </w:pPr>
      <w:bookmarkStart w:id="1" w:name="_Hlk145407170"/>
      <w:r w:rsidRPr="001D1E5D">
        <w:rPr>
          <w:color w:val="000000"/>
          <w:sz w:val="20"/>
          <w:szCs w:val="20"/>
        </w:rPr>
        <w:t>Santana, T. C.; Teixeira, E. G.; Castro, J.S.; Fernandes, J. F.F.</w:t>
      </w:r>
      <w:r>
        <w:rPr>
          <w:color w:val="000000"/>
          <w:sz w:val="20"/>
          <w:szCs w:val="20"/>
          <w:lang w:val="pt-BR"/>
        </w:rPr>
        <w:t>;</w:t>
      </w:r>
      <w:r w:rsidRPr="001D1E5D">
        <w:rPr>
          <w:color w:val="000000"/>
          <w:sz w:val="20"/>
          <w:szCs w:val="20"/>
        </w:rPr>
        <w:t xml:space="preserve"> Lobato, R. S</w:t>
      </w:r>
      <w:r>
        <w:rPr>
          <w:color w:val="000000"/>
          <w:sz w:val="20"/>
          <w:szCs w:val="20"/>
          <w:lang w:val="pt-BR"/>
        </w:rPr>
        <w:t xml:space="preserve">. </w:t>
      </w:r>
      <w:r w:rsidRPr="001D1E5D">
        <w:rPr>
          <w:color w:val="000000"/>
          <w:sz w:val="20"/>
          <w:szCs w:val="20"/>
        </w:rPr>
        <w:t>&amp; Carreiro, C.R.P. 2016. Principais espécies de Sciaenidae marinhas e estuarinas comercializadas na Ilha do Maranhão.</w:t>
      </w:r>
      <w:r>
        <w:rPr>
          <w:color w:val="000000"/>
          <w:sz w:val="20"/>
          <w:szCs w:val="20"/>
          <w:lang w:val="pt-BR"/>
        </w:rPr>
        <w:t xml:space="preserve"> Recursos Pesqueiros e Pesca Artesanal no Maranhão: Sumário Executivo, </w:t>
      </w:r>
      <w:r w:rsidRPr="001D1E5D">
        <w:rPr>
          <w:color w:val="000000"/>
          <w:sz w:val="20"/>
          <w:szCs w:val="20"/>
        </w:rPr>
        <w:t xml:space="preserve">12 </w:t>
      </w:r>
      <w:r>
        <w:rPr>
          <w:color w:val="000000"/>
          <w:sz w:val="20"/>
          <w:szCs w:val="20"/>
          <w:lang w:val="pt-BR"/>
        </w:rPr>
        <w:t xml:space="preserve">(1): </w:t>
      </w:r>
      <w:r w:rsidRPr="001D1E5D">
        <w:rPr>
          <w:color w:val="000000"/>
          <w:sz w:val="20"/>
          <w:szCs w:val="20"/>
        </w:rPr>
        <w:t>41-52</w:t>
      </w:r>
      <w:r>
        <w:rPr>
          <w:color w:val="000000"/>
          <w:sz w:val="20"/>
          <w:szCs w:val="20"/>
          <w:lang w:val="pt-BR"/>
        </w:rPr>
        <w:t>.</w:t>
      </w:r>
    </w:p>
    <w:bookmarkEnd w:id="1"/>
    <w:p w14:paraId="707E3900" w14:textId="77777777" w:rsidR="00F92858" w:rsidRDefault="00F92858" w:rsidP="001D1E5D">
      <w:pPr>
        <w:spacing w:line="240" w:lineRule="auto"/>
        <w:jc w:val="both"/>
        <w:rPr>
          <w:color w:val="000000"/>
          <w:sz w:val="20"/>
          <w:szCs w:val="20"/>
          <w:lang w:val="pt-BR"/>
        </w:rPr>
      </w:pPr>
      <w:r w:rsidRPr="001D1E5D">
        <w:rPr>
          <w:color w:val="000000"/>
          <w:sz w:val="20"/>
          <w:szCs w:val="20"/>
        </w:rPr>
        <w:t xml:space="preserve">Vazzoler, A.E.A. 1996. Biologia da reprodução de peixes teleósteos: </w:t>
      </w:r>
      <w:r>
        <w:rPr>
          <w:color w:val="000000"/>
          <w:sz w:val="20"/>
          <w:szCs w:val="20"/>
          <w:lang w:val="pt-BR"/>
        </w:rPr>
        <w:t>T</w:t>
      </w:r>
      <w:r w:rsidRPr="001D1E5D">
        <w:rPr>
          <w:color w:val="000000"/>
          <w:sz w:val="20"/>
          <w:szCs w:val="20"/>
        </w:rPr>
        <w:t xml:space="preserve">eoria e </w:t>
      </w:r>
      <w:r>
        <w:rPr>
          <w:color w:val="000000"/>
          <w:sz w:val="20"/>
          <w:szCs w:val="20"/>
          <w:lang w:val="pt-BR"/>
        </w:rPr>
        <w:t>P</w:t>
      </w:r>
      <w:r w:rsidRPr="001D1E5D">
        <w:rPr>
          <w:color w:val="000000"/>
          <w:sz w:val="20"/>
          <w:szCs w:val="20"/>
        </w:rPr>
        <w:t>rática</w:t>
      </w:r>
      <w:r>
        <w:rPr>
          <w:color w:val="000000"/>
          <w:sz w:val="20"/>
          <w:szCs w:val="20"/>
          <w:lang w:val="pt-BR"/>
        </w:rPr>
        <w:t xml:space="preserve">. Maringá, </w:t>
      </w:r>
      <w:r w:rsidRPr="001D1E5D">
        <w:rPr>
          <w:color w:val="000000"/>
          <w:sz w:val="20"/>
          <w:szCs w:val="20"/>
        </w:rPr>
        <w:t>EDUEM</w:t>
      </w:r>
      <w:r>
        <w:rPr>
          <w:color w:val="000000"/>
          <w:sz w:val="20"/>
          <w:szCs w:val="20"/>
          <w:lang w:val="pt-BR"/>
        </w:rPr>
        <w:t xml:space="preserve">, 169p. </w:t>
      </w:r>
    </w:p>
    <w:p w14:paraId="7477DB0F" w14:textId="77777777" w:rsidR="001D1E5D" w:rsidRPr="009B6EAC" w:rsidRDefault="001D1E5D" w:rsidP="001D1E5D">
      <w:pPr>
        <w:spacing w:line="240" w:lineRule="auto"/>
        <w:jc w:val="both"/>
        <w:rPr>
          <w:sz w:val="20"/>
          <w:szCs w:val="20"/>
          <w:lang w:val="pt-BR" w:eastAsia="zh-CN"/>
        </w:rPr>
      </w:pPr>
    </w:p>
    <w:p w14:paraId="70765CA1" w14:textId="7342599D" w:rsidR="00BB779F" w:rsidRPr="00D935E6" w:rsidRDefault="00BB779F" w:rsidP="001D1E5D">
      <w:pPr>
        <w:spacing w:line="240" w:lineRule="auto"/>
        <w:jc w:val="both"/>
        <w:rPr>
          <w:sz w:val="20"/>
          <w:szCs w:val="20"/>
        </w:rPr>
      </w:pPr>
    </w:p>
    <w:sectPr w:rsidR="00BB779F" w:rsidRPr="00D935E6">
      <w:headerReference w:type="default" r:id="rId8"/>
      <w:pgSz w:w="11909" w:h="16834"/>
      <w:pgMar w:top="25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02705" w14:textId="77777777" w:rsidR="00E160CD" w:rsidRDefault="00E160CD">
      <w:pPr>
        <w:spacing w:line="240" w:lineRule="auto"/>
      </w:pPr>
      <w:r>
        <w:separator/>
      </w:r>
    </w:p>
  </w:endnote>
  <w:endnote w:type="continuationSeparator" w:id="0">
    <w:p w14:paraId="2ECE7525" w14:textId="77777777" w:rsidR="00E160CD" w:rsidRDefault="00E160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-Italic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DA39E" w14:textId="77777777" w:rsidR="00E160CD" w:rsidRDefault="00E160CD">
      <w:pPr>
        <w:spacing w:line="240" w:lineRule="auto"/>
      </w:pPr>
      <w:r>
        <w:separator/>
      </w:r>
    </w:p>
  </w:footnote>
  <w:footnote w:type="continuationSeparator" w:id="0">
    <w:p w14:paraId="5C99A5EC" w14:textId="77777777" w:rsidR="00E160CD" w:rsidRDefault="00E160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4F488" w14:textId="77777777" w:rsidR="00BB779F" w:rsidRDefault="00911EDD">
    <w:pPr>
      <w:tabs>
        <w:tab w:val="center" w:pos="4252"/>
        <w:tab w:val="right" w:pos="8504"/>
      </w:tabs>
      <w:spacing w:before="708" w:line="240" w:lineRule="auto"/>
      <w:jc w:val="both"/>
    </w:pPr>
    <w:r>
      <w:rPr>
        <w:rFonts w:ascii="Calibri" w:eastAsia="Calibri" w:hAnsi="Calibri" w:cs="Calibri"/>
        <w:noProof/>
        <w:color w:val="FFFFFF"/>
      </w:rPr>
      <w:drawing>
        <wp:inline distT="0" distB="0" distL="114300" distR="114300" wp14:anchorId="6DBC2ECF" wp14:editId="675CA1D9">
          <wp:extent cx="1776095" cy="798195"/>
          <wp:effectExtent l="0" t="0" r="0" b="0"/>
          <wp:docPr id="1636931084" name="Imagem 1636931084" descr="Logo_CORR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_CORR 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6095" cy="798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FFFFFF"/>
      </w:rPr>
      <w:t xml:space="preserve">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79F"/>
    <w:rsid w:val="00056617"/>
    <w:rsid w:val="001B4FF4"/>
    <w:rsid w:val="001D1E5D"/>
    <w:rsid w:val="001D5860"/>
    <w:rsid w:val="0021549C"/>
    <w:rsid w:val="00276AC5"/>
    <w:rsid w:val="003137F0"/>
    <w:rsid w:val="00397F0F"/>
    <w:rsid w:val="003A2902"/>
    <w:rsid w:val="004048EE"/>
    <w:rsid w:val="00436DB1"/>
    <w:rsid w:val="00502AC2"/>
    <w:rsid w:val="0050557A"/>
    <w:rsid w:val="00577601"/>
    <w:rsid w:val="006356B9"/>
    <w:rsid w:val="0071344F"/>
    <w:rsid w:val="00713FCE"/>
    <w:rsid w:val="00777809"/>
    <w:rsid w:val="0078035B"/>
    <w:rsid w:val="007B5260"/>
    <w:rsid w:val="007F7DCB"/>
    <w:rsid w:val="00911EDD"/>
    <w:rsid w:val="00A01201"/>
    <w:rsid w:val="00AC5141"/>
    <w:rsid w:val="00AD5A3B"/>
    <w:rsid w:val="00AF6B03"/>
    <w:rsid w:val="00B5051D"/>
    <w:rsid w:val="00BB779F"/>
    <w:rsid w:val="00CC7F3F"/>
    <w:rsid w:val="00CE511B"/>
    <w:rsid w:val="00D03339"/>
    <w:rsid w:val="00D53458"/>
    <w:rsid w:val="00D90AC5"/>
    <w:rsid w:val="00D935E6"/>
    <w:rsid w:val="00DA0A82"/>
    <w:rsid w:val="00DF583B"/>
    <w:rsid w:val="00E132A1"/>
    <w:rsid w:val="00E160CD"/>
    <w:rsid w:val="00F378BA"/>
    <w:rsid w:val="00F878E9"/>
    <w:rsid w:val="00F9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126EC5"/>
  <w15:docId w15:val="{E7791B23-1BE5-4F00-B0D4-0CDB7B97E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SimSun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0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B623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eader6">
    <w:name w:val="sheader6"/>
    <w:basedOn w:val="Fontepargpadro"/>
    <w:rsid w:val="006A32CE"/>
  </w:style>
  <w:style w:type="character" w:styleId="Hyperlink">
    <w:name w:val="Hyperlink"/>
    <w:basedOn w:val="Fontepargpadro"/>
    <w:uiPriority w:val="99"/>
    <w:unhideWhenUsed/>
    <w:rsid w:val="006A32CE"/>
    <w:rPr>
      <w:color w:val="0000FF"/>
      <w:u w:val="single"/>
    </w:rPr>
  </w:style>
  <w:style w:type="character" w:customStyle="1" w:styleId="author">
    <w:name w:val="author"/>
    <w:basedOn w:val="Fontepargpadro"/>
    <w:rsid w:val="00194B72"/>
  </w:style>
  <w:style w:type="character" w:customStyle="1" w:styleId="pubyear">
    <w:name w:val="pubyear"/>
    <w:basedOn w:val="Fontepargpadro"/>
    <w:rsid w:val="00194B72"/>
  </w:style>
  <w:style w:type="character" w:customStyle="1" w:styleId="booktitle">
    <w:name w:val="booktitle"/>
    <w:basedOn w:val="Fontepargpadro"/>
    <w:rsid w:val="00194B72"/>
  </w:style>
  <w:style w:type="character" w:customStyle="1" w:styleId="publisherlocation">
    <w:name w:val="publisherlocation"/>
    <w:basedOn w:val="Fontepargpadro"/>
    <w:rsid w:val="00194B72"/>
  </w:style>
  <w:style w:type="paragraph" w:styleId="Reviso">
    <w:name w:val="Revision"/>
    <w:hidden/>
    <w:uiPriority w:val="99"/>
    <w:unhideWhenUsed/>
    <w:rsid w:val="00DC5DEA"/>
    <w:rPr>
      <w:lang w:val="zh-CN"/>
    </w:rPr>
  </w:style>
  <w:style w:type="character" w:styleId="Refdecomentrio">
    <w:name w:val="annotation reference"/>
    <w:basedOn w:val="Fontepargpadro"/>
    <w:rsid w:val="007E5190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7E519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7E5190"/>
    <w:rPr>
      <w:lang w:val="zh-CN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7E519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7E5190"/>
    <w:rPr>
      <w:b/>
      <w:bCs/>
      <w:lang w:val="zh-CN"/>
    </w:rPr>
  </w:style>
  <w:style w:type="character" w:customStyle="1" w:styleId="fontstyle01">
    <w:name w:val="fontstyle01"/>
    <w:basedOn w:val="Fontepargpadro"/>
    <w:rsid w:val="00EA12B9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983E3B"/>
    <w:rPr>
      <w:color w:val="605E5C"/>
      <w:shd w:val="clear" w:color="auto" w:fill="E1DFDD"/>
    </w:rPr>
  </w:style>
  <w:style w:type="character" w:customStyle="1" w:styleId="fontstyle21">
    <w:name w:val="fontstyle21"/>
    <w:basedOn w:val="Fontepargpadro"/>
    <w:rsid w:val="00054429"/>
    <w:rPr>
      <w:rFonts w:ascii="TimesNewRomanPS-ItalicMT" w:hAnsi="TimesNewRomanPS-ItalicMT" w:hint="default"/>
      <w:b w:val="0"/>
      <w:bCs w:val="0"/>
      <w:i/>
      <w:iCs/>
      <w:color w:val="000000"/>
      <w:sz w:val="16"/>
      <w:szCs w:val="16"/>
    </w:rPr>
  </w:style>
  <w:style w:type="paragraph" w:styleId="NormalWeb">
    <w:name w:val="Normal (Web)"/>
    <w:basedOn w:val="Normal"/>
    <w:uiPriority w:val="99"/>
    <w:unhideWhenUsed/>
    <w:rsid w:val="00EA5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E51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511B"/>
    <w:rPr>
      <w:rFonts w:ascii="Segoe UI" w:hAnsi="Segoe UI" w:cs="Segoe UI"/>
      <w:sz w:val="18"/>
      <w:szCs w:val="18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wMfkeo7oOkIaU37JpwIEqMPFzg==">CgMxLjA4AGonChRzdWdnZXN0Ljg4bWJuYjhxa3V3aBIPamFja2VsaW5lIFNpbHZhaicKFHN1Z2dlc3QubHljM2JyeGhkNGNyEg9qYWNrZWxpbmUgU2lsdmFqJwoUc3VnZ2VzdC45ZjY3ejlkN3h4NHcSD2phY2tlbGluZSBTaWx2YWonChRzdWdnZXN0LjhzY28zc3Nzc2RjdhIPamFja2VsaW5lIFNpbHZhciExNG83STdNV2lXOGE2eGVzN21fTFJNcEk2NTZuakxyNHo=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1759</Words>
  <Characters>9499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jesse</dc:creator>
  <cp:lastModifiedBy>Jackeline Oliveira da Silva</cp:lastModifiedBy>
  <cp:revision>10</cp:revision>
  <dcterms:created xsi:type="dcterms:W3CDTF">2023-09-13T12:43:00Z</dcterms:created>
  <dcterms:modified xsi:type="dcterms:W3CDTF">2023-09-21T13:36:00Z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1046-11.2.0.11388</vt:lpwstr>
  </property>
  <property fmtid="{D5CDD505-2E9C-101B-9397-08002B2CF9AE}" pid="3" name="ICV">
    <vt:lpwstr>72DE21DEC1A84E559D7BB609DCEDA745</vt:lpwstr>
  </property>
  <property fmtid="{D5CDD505-2E9C-101B-9397-08002B2CF9AE}" pid="4" name="GrammarlyDocumentId">
    <vt:lpwstr>effd6cd44c9ef69f915020a947ce0ec4f367a8d184ba27a4b078de75c837e13a</vt:lpwstr>
  </property>
</Properties>
</file>