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5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Ovários Policísticos e Suas Manifestações Clínicas </w:t>
        <w:br/>
        <w:br/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  <w:t xml:space="preserve">Thiago Ruam Nascimento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Enfermagem - Uninassau/Recife</w:t>
        <w:br/>
        <w:t xml:space="preserve">thiago.ruan19@gmail.com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Roberta Leandrini Rossato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de Mogi das Cruzes</w:t>
        <w:br/>
        <w:t xml:space="preserve">roberta.rossato@hotmail.com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Victor Hugo Júlio da Rosa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USCS - Universidade de São Caetano do Sul, Campus Itapetininga</w:t>
        <w:br/>
        <w:t xml:space="preserve">vjuliorosa04@gmail.com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Ana Lígia Rodrigues Paulista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Famp- FACULDADE MORGANA POTRICH</w:t>
        <w:br/>
        <w:t xml:space="preserve">analigiarodriguespaulista@gmail.com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Iana Araújo Torres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universitário Inta- UNINTA</w:t>
        <w:br/>
        <w:t xml:space="preserve">iana331@hotmail.com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Amanda Nunes de Cerqueira Souza Neta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de Universitários de Excelência Feira de Santana- BA</w:t>
        <w:br/>
        <w:t xml:space="preserve">amandacneta@gmail.com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Mayana de Mello Bastos Campos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UNEX- FEIRA DE SANTANA BAHIA</w:t>
        <w:br/>
        <w:t xml:space="preserve">mayanacamposunex@gmail.com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Stefani Lorraine Borges de Macedo Caneppele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FAMP</w:t>
        <w:br/>
        <w:t xml:space="preserve">slb_macedo@hotmail.com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Victoria Carolina Rebordões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Nove de Julho Bauru</w:t>
        <w:br/>
        <w:t xml:space="preserve">vic.rebordoes@gmail.com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Kamily de Oliveira Alves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UniRedentor/ afya </w:t>
        <w:br/>
        <w:t xml:space="preserve">oliveirakamily2019@gmail.com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Naiara Ruback Miranda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UniRedentor - Itaperuna</w:t>
        <w:br/>
        <w:t xml:space="preserve">Naiaramirandar@gmail.com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  <w:br/>
        <w:br/>
        <w:br/>
        <w:br/>
        <w:br/>
        <w:br/>
      </w:r>
    </w:p>
    <w:p>
      <w:pPr>
        <w:spacing w:before="0" w:after="0" w:line="240"/>
        <w:ind w:right="0" w:left="832" w:firstLine="0"/>
        <w:jc w:val="left"/>
        <w:rPr>
          <w:rFonts w:ascii="Calibri Light" w:hAnsi="Calibri Light" w:cs="Calibri Light" w:eastAsia="Calibri Ligh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883" w:left="832" w:firstLine="0"/>
        <w:jc w:val="both"/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Introdução: </w:t>
      </w:r>
      <w:r>
        <w:rPr>
          <w:rFonts w:ascii="Calibri" w:hAnsi="Calibri" w:cs="Calibri" w:eastAsia="Calibri"/>
          <w:color w:val="0E0E0E"/>
          <w:spacing w:val="0"/>
          <w:position w:val="0"/>
          <w:sz w:val="24"/>
          <w:shd w:fill="auto" w:val="clear"/>
        </w:rPr>
        <w:t xml:space="preserve">A síndrome dos ovários policísticos (SOP) e a síndrome metabólica (SM) estão interligadas por várias vias físicas, e sua coexistência pode ter implicações significativas, especialmente durante a gravidez e no processo de parto. Durante a gravidez, as mulheres SOP e SM podem enfrentar um risco aumentado de complicações obstétricas. Quanto ao impacto no parto, a SOP e a SM podem influenciar a escolha do tipo de parto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202429"/>
          <w:spacing w:val="0"/>
          <w:position w:val="0"/>
          <w:sz w:val="24"/>
          <w:shd w:fill="auto" w:val="clear"/>
        </w:rPr>
        <w:t xml:space="preserve">Metodologia: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Este trabalho trata-se de uma revisão de literatura, de acordo com a sistematização</w:t>
      </w:r>
      <w:r>
        <w:rPr>
          <w:rFonts w:ascii="Calibri" w:hAnsi="Calibri" w:cs="Calibri" w:eastAsia="Calibri"/>
          <w:color w:val="202429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403C39"/>
          <w:spacing w:val="0"/>
          <w:position w:val="0"/>
          <w:sz w:val="24"/>
          <w:shd w:fill="auto" w:val="clear"/>
        </w:rPr>
        <w:t xml:space="preserve">com os 5 pilares descritos a seguir. 1)</w:t>
      </w:r>
      <w:r>
        <w:rPr>
          <w:rFonts w:ascii="Calibri" w:hAnsi="Calibri" w:cs="Calibri" w:eastAsia="Calibri"/>
          <w:color w:val="403C39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403C39"/>
          <w:spacing w:val="0"/>
          <w:position w:val="0"/>
          <w:sz w:val="24"/>
          <w:shd w:fill="auto" w:val="clear"/>
        </w:rPr>
        <w:t xml:space="preserve">Questão problema: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“Qual a influência da SOP e SM na escolha do tipo de parto?”. 2) Estudos relevantes foram identificados utilizando na plataforma PUBMED os descritores “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Metabolic Syndrome, Polycystic Ovary Syndrome,</w:t>
      </w:r>
      <w:r>
        <w:rPr>
          <w:rFonts w:ascii="Calibri" w:hAnsi="Calibri" w:cs="Calibri" w:eastAsia="Calibri"/>
          <w:color w:val="202429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Parturition,</w:t>
      </w:r>
      <w:r>
        <w:rPr>
          <w:rFonts w:ascii="Calibri" w:hAnsi="Calibri" w:cs="Calibri" w:eastAsia="Calibri"/>
          <w:color w:val="202429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Pregnancy”,</w:t>
      </w:r>
      <w:r>
        <w:rPr>
          <w:rFonts w:ascii="Calibri" w:hAnsi="Calibri" w:cs="Calibri" w:eastAsia="Calibri"/>
          <w:color w:val="202429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202429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PUBMED,</w:t>
      </w:r>
      <w:r>
        <w:rPr>
          <w:rFonts w:ascii="Calibri" w:hAnsi="Calibri" w:cs="Calibri" w:eastAsia="Calibri"/>
          <w:color w:val="202429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Calibri" w:hAnsi="Calibri" w:cs="Calibri" w:eastAsia="Calibri"/>
          <w:color w:val="202429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de acordo</w:t>
      </w:r>
      <w:r>
        <w:rPr>
          <w:rFonts w:ascii="Calibri" w:hAnsi="Calibri" w:cs="Calibri" w:eastAsia="Calibri"/>
          <w:color w:val="202429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com MESH.</w:t>
      </w:r>
      <w:r>
        <w:rPr>
          <w:rFonts w:ascii="Calibri" w:hAnsi="Calibri" w:cs="Calibri" w:eastAsia="Calibri"/>
          <w:color w:val="202429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3)</w:t>
      </w:r>
      <w:r>
        <w:rPr>
          <w:rFonts w:ascii="Calibri" w:hAnsi="Calibri" w:cs="Calibri" w:eastAsia="Calibri"/>
          <w:color w:val="202429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11</w:t>
      </w:r>
      <w:r>
        <w:rPr>
          <w:rFonts w:ascii="Calibri" w:hAnsi="Calibri" w:cs="Calibri" w:eastAsia="Calibri"/>
          <w:color w:val="202429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429"/>
          <w:spacing w:val="0"/>
          <w:position w:val="0"/>
          <w:sz w:val="24"/>
          <w:shd w:fill="auto" w:val="clear"/>
        </w:rPr>
        <w:t xml:space="preserve">estudos foram selecionados inicialmente, 4 foram descartados mediante leitura completa por não contribuir com a questão problema. 4) A extração de dados foi realizada em um programa de edição de texto. 5) Especialistas foram consultados.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Resultado: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estudos revelaram que a SOP e SM estão associadas a um aumento clinicamente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gravidez,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comparação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grupos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controle.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probabilidade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vezes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desenvolver hipertensão causada pela gravidez e pré-eclâmpsia, um aumento de 3 vezes sem risco de diabetes gestacional e uma probabilidade duas vezes maior de parto prematuro. O risco obstétrico elevado para mulheres com SOP se reflete em uma maior taxa de aborto espontâneo. Diante disso, observou-se que em relação a população em geral, SOP e SM associam-se mais com o parto cesariano.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Conclusão: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parto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cesariano é predominante em pacientes com SOP e SM. Além disso, há maior risco de desenvolver hipertensão causada pela gravidez, pré-eclâmpsia e parto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prematuro.</w:t>
      </w:r>
    </w:p>
    <w:p>
      <w:pPr>
        <w:spacing w:before="0" w:after="0" w:line="240"/>
        <w:ind w:right="883" w:left="83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54" w:after="0" w:line="240"/>
        <w:ind w:right="0" w:left="83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Metabólica,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de ovários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policístico,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parto,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3"/>
          <w:shd w:fill="auto" w:val="clear"/>
        </w:rPr>
        <w:t xml:space="preserve"> Gestação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8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1" w:after="0" w:line="240"/>
        <w:ind w:right="0" w:left="198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Introdução</w:t>
      </w:r>
    </w:p>
    <w:p>
      <w:pPr>
        <w:spacing w:before="243" w:after="0" w:line="360"/>
        <w:ind w:right="882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Síndrome dos Ovários Policísticos é uma condição hormonal complexa que afeta mulheres em idade reprodutiva. Fisiologicamente, a síndrome de ovários policísticos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associado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hormônios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sexuais,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principalmente andrógenos (hormônios masculinos) e estrogênios. Essas alterações resultaram em disfunções nos ovários, levando à formação de cistos, que são pequenos folículos contendo óvulos que não amadureceram especificamente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1,2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51" w:after="0" w:line="360"/>
        <w:ind w:right="881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síndrome dos ovários policísticos e a síndrome metabólica são condições médicas inter-relacionadas que afetam o sistema reprodutivo e o metabolismo, respectivamente. Sua coexistência pode desencadear uma série de implicações, especialmente durante a gravidez e o processo de parto. Várias vias físicas conectam essas duas síndromes, tornando importante compreender a complexidade de sua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interação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  <w:vertAlign w:val="superscript"/>
        </w:rPr>
        <w:t xml:space="preserve">1,3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.</w:t>
      </w:r>
    </w:p>
    <w:p>
      <w:pPr>
        <w:spacing w:before="48" w:after="0" w:line="360"/>
        <w:ind w:right="884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síndrome de ovários policísticos é uma condição endócrina comum entre as mulheres em idade reprodutiva, caracterizada por desequilíbrios hormonais que resultam em ciclos menstruais irregulares, aumento dos níveis de androgênios (hormônios masculinos) e formação de cisto nos ovários. Por outro lado, a síndrome metabólica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metabólica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combinação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 cardiovascular, como obesidade, resistência à insulina, hipertensão arterial e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dislipidemia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  <w:vertAlign w:val="superscript"/>
        </w:rPr>
        <w:t xml:space="preserve">2,4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.</w:t>
      </w:r>
    </w:p>
    <w:p>
      <w:pPr>
        <w:spacing w:before="45" w:after="0" w:line="360"/>
        <w:ind w:right="878" w:left="1259" w:firstLine="720"/>
        <w:jc w:val="both"/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gravidez,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simultânea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síndrome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ovários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policísticos e síndrome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metabólica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aumentar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obstétricas.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síndrome de ovários policísticos têm uma propensão maior a desenvolver diabetes gestacional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resistência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insulina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associada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síndrome.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gestacional, por sua vez, está ligado a complicações como macrossomia fetal (um feto maior que o normal), aumento do risco de cesariana e complicações neonatais. A síndrome metabólica,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sua associação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 obesidade e resistência à insulina,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 contribui para o aumento do risco de diabetes gestacional e outras complicações durante a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gravidez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  <w:vertAlign w:val="superscript"/>
        </w:rPr>
        <w:t xml:space="preserve">1,2,4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.</w:t>
      </w:r>
    </w:p>
    <w:p>
      <w:pPr>
        <w:spacing w:before="45" w:after="0" w:line="360"/>
        <w:ind w:right="878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45" w:after="0" w:line="240"/>
        <w:ind w:right="0" w:left="19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Metodologia </w:t>
      </w:r>
    </w:p>
    <w:p>
      <w:pPr>
        <w:numPr>
          <w:ilvl w:val="0"/>
          <w:numId w:val="15"/>
        </w:numPr>
        <w:tabs>
          <w:tab w:val="left" w:pos="2255" w:leader="none"/>
        </w:tabs>
        <w:spacing w:before="50" w:after="0" w:line="360"/>
        <w:ind w:right="884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Este trabalho consiste em uma revisão de literatura, seguindo uma abordagem sistematizada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baseada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cinco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pilares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essenciais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rigor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metodológico.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Questão problema: A questão problema foi formulada de maneira clara e específica, direcionando o foco da revisão para a influência conjunta do síndrome de ovários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policísticos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metabólica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decisão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formulação fornece um guia claro para a busca e análise de literatura relevante.</w:t>
      </w:r>
    </w:p>
    <w:p>
      <w:pPr>
        <w:numPr>
          <w:ilvl w:val="0"/>
          <w:numId w:val="15"/>
        </w:numPr>
        <w:tabs>
          <w:tab w:val="left" w:pos="2236" w:leader="none"/>
        </w:tabs>
        <w:spacing w:before="48" w:after="0" w:line="362"/>
        <w:ind w:right="889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 de estudos relevantes: A busca por estudos foi conduzida de maneira abrangente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plataforma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PUBMED,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utilizando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específicos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Medical Subject Headings (MESH), incluindo "Metabolic Syndrome", "Polycystic Ovary Syndrome", "Parturition" e "Pregnancy". Essa abordagem garante a inclusão de trabalhos relevantes e a minimização de viagens na seleção de artigos.</w:t>
      </w:r>
    </w:p>
    <w:p>
      <w:pPr>
        <w:numPr>
          <w:ilvl w:val="0"/>
          <w:numId w:val="15"/>
        </w:numPr>
        <w:tabs>
          <w:tab w:val="left" w:pos="2251" w:leader="none"/>
        </w:tabs>
        <w:spacing w:before="45" w:after="0" w:line="360"/>
        <w:ind w:right="883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Seleção e descarte de estudos: Inicialmente, foram identificados 11 (onze) estudos relevantes. Posteriormente, 4 (quatro) desses estudos foram excluídos após uma leitura completa, por não contribuírem de maneira substancial para a questão problema. A exclusão foi baseada em critérios específicos, garantindo a qualidade e relevância dos estudos incluídos.</w:t>
      </w:r>
    </w:p>
    <w:p>
      <w:pPr>
        <w:numPr>
          <w:ilvl w:val="0"/>
          <w:numId w:val="15"/>
        </w:numPr>
        <w:tabs>
          <w:tab w:val="left" w:pos="2222" w:leader="none"/>
        </w:tabs>
        <w:spacing w:before="45" w:after="0" w:line="362"/>
        <w:ind w:right="887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extração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utilizando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edição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texto, fornecendo uma organização sistemática das informações obtidas em estudos selecionados. Essa abordagem facilita a análise e síntese dos resultados, contribuindo para a construção consistente da revisão.</w:t>
      </w:r>
    </w:p>
    <w:p>
      <w:pPr>
        <w:numPr>
          <w:ilvl w:val="0"/>
          <w:numId w:val="15"/>
        </w:numPr>
        <w:tabs>
          <w:tab w:val="left" w:pos="2303" w:leader="none"/>
        </w:tabs>
        <w:spacing w:before="36" w:after="0" w:line="360"/>
        <w:ind w:right="883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Consulta de especialistas: Para garantir uma abordagem abrangente e fundamentada, especialistas da área foram consultados. Essa etapa visa validar a interpretação dos resultados e oferecer insights adicionais que possam enriquecer a compreensão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interação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ovários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policísticos,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metabólica e escolha do tipo de parto.</w:t>
      </w:r>
    </w:p>
    <w:p>
      <w:pPr>
        <w:spacing w:before="51" w:after="0" w:line="240"/>
        <w:ind w:right="0" w:left="19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RESULTADOS</w:t>
      </w:r>
    </w:p>
    <w:p>
      <w:pPr>
        <w:spacing w:before="242" w:after="0" w:line="360"/>
        <w:ind w:right="887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resultados obtidos por meio desta revisão de literatura destacam a interligação significativa entre a Síndrome dos Ovários Policísticos e a Síndrome Metabólica com complicações obstétricas durante a gravidez. Comparadas aos grupos de controle, as mulheres que apresentam essas condições enfrentam um aumento clinicamente relevante no risco de diversas complicações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6,7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5" w:after="0" w:line="360"/>
        <w:ind w:right="880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particular, a síndrome de ovários policísticos e o síndrome metabólica geraram uma associação robusta com hipertensão causada pela gravidez e pré- eclâmpsia, apresentando uma probabilidade três a quatro vezes maior quando comparadas a mulheres sem essas síndromes. Além disso, o risco de diabetes gestacional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aumentou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vezes,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probabilidade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prematuro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duas vezes maior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6,7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52" w:after="0" w:line="362"/>
        <w:ind w:right="881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Observe-se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consideravelmente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nascer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limitado entre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recém-nascidos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mães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ovários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policísticos,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diminuindo possíveis impactos no desenvolvimento fetal. O Índice de Massa Corporal elevou-se emergiu como um preditor robusto de pré-eclâmpsia em pacientes com síndrome de ovários policísticos, refletindo uma característica frequentemente observada no síndrome metabólica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1,2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9" w:after="0" w:line="360"/>
        <w:ind w:right="884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revelou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tendência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direção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prevalência 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cesariano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 que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apresentam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Ovários Policísticos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a Síndrome Metabólica. Esta associação sugere que as complicações obstétricas frequentemente observadas nessas condições podem influenciar a tomada de decisão sobre o tipo de parto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6,7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9" w:after="0" w:line="360"/>
        <w:ind w:right="880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com síndrome de ovários policísticos e síndrome metabólica, conforme indicado pelos resultados desta revisão, enfrentam um risco aumentado de diversas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gravidez,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hipertensão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causada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gravidez, pré-eclâmpsia, diabetes gestacional e parto prematuro. Essas condições, muitas vezes inter-relacionadas, podem exigir intervenções médicas mais intensivas e precisas durante o trabalho de parto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3,5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4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CONSIDERAÇÕES</w:t>
      </w:r>
      <w:r>
        <w:rPr>
          <w:rFonts w:ascii="Calibri" w:hAnsi="Calibri" w:cs="Calibri" w:eastAsia="Calibri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FINAIS</w:t>
      </w:r>
    </w:p>
    <w:p>
      <w:pPr>
        <w:spacing w:before="194" w:after="0" w:line="362"/>
        <w:ind w:right="882" w:left="1259" w:firstLine="113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parto cesariano é predominante em pacientes com síndrome de ovários policísticos e síndrome metabólica. Além disso, há maior risco de desenvolver hipertensão causada pela gravidez, pré-eclâmpsia e parto prematuro.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7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5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1F5F"/>
          <w:spacing w:val="-2"/>
          <w:position w:val="0"/>
          <w:sz w:val="32"/>
          <w:shd w:fill="auto" w:val="clear"/>
        </w:rPr>
        <w:t xml:space="preserve">REFERÊNCIAS</w:t>
      </w:r>
    </w:p>
    <w:p>
      <w:pPr>
        <w:spacing w:before="5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3"/>
        </w:numPr>
        <w:tabs>
          <w:tab w:val="left" w:pos="1980" w:leader="none"/>
        </w:tabs>
        <w:spacing w:before="0" w:after="0" w:line="381"/>
        <w:ind w:right="876" w:left="198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Palomba S, de Wilde MA, Falbo A, Koster MP, La Sala GB, Fauser BC. Pregnancy complications in women with polycystic ovary syndrome. Hum Reprod Update. 2015 Sep-Oct;21(5):575-92. doi: 10.1093/humupd/dmv029. Epub 2015 Jun 27. PMID: 26117684. Disponível: 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https://pubmed.ncbi.nlm.nih.gov/26117684/</w:t>
        </w:r>
        <w:r>
          <w:rPr>
            <w:rFonts w:ascii="Segoe UI" w:hAnsi="Segoe UI" w:cs="Segoe UI" w:eastAsia="Segoe UI"/>
            <w:color w:val="202020"/>
            <w:spacing w:val="0"/>
            <w:position w:val="0"/>
            <w:sz w:val="22"/>
            <w:u w:val="single"/>
            <w:shd w:fill="auto" w:val="clear"/>
          </w:rPr>
          <w:t xml:space="preserve"> HYPERLINK "https://pubmed.ncbi.nlm.nih.gov/26117684/"</w:t>
        </w:r>
        <w:r>
          <w:rPr>
            <w:rFonts w:ascii="Segoe UI" w:hAnsi="Segoe UI" w:cs="Segoe UI" w:eastAsia="Segoe UI"/>
            <w:color w:val="20202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spacing w:before="17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5"/>
        </w:numPr>
        <w:tabs>
          <w:tab w:val="left" w:pos="1980" w:leader="none"/>
        </w:tabs>
        <w:spacing w:before="0" w:after="0" w:line="379"/>
        <w:ind w:right="873" w:left="198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Palomba S, Falbo A, Daolio J, Battaglia FA, La Sala GB. Pregnancy complications in infertile patients with polycystic ovary syndrome: updated evidence. Minerva Ginecol.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2018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Dec;70(6):754-760.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doi: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10.23736/S0026-4784.18.04230-2.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Epub</w:t>
      </w:r>
    </w:p>
    <w:p>
      <w:pPr>
        <w:tabs>
          <w:tab w:val="left" w:pos="3265" w:leader="none"/>
          <w:tab w:val="left" w:pos="4422" w:leader="none"/>
          <w:tab w:val="left" w:pos="5516" w:leader="none"/>
          <w:tab w:val="left" w:pos="6904" w:leader="none"/>
          <w:tab w:val="left" w:pos="8711" w:leader="none"/>
        </w:tabs>
        <w:spacing w:before="5" w:after="0" w:line="381"/>
        <w:ind w:right="879" w:left="198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-4"/>
          <w:position w:val="0"/>
          <w:sz w:val="22"/>
          <w:shd w:fill="auto" w:val="clear"/>
        </w:rPr>
        <w:t xml:space="preserve">2018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4"/>
          <w:position w:val="0"/>
          <w:sz w:val="22"/>
          <w:shd w:fill="auto" w:val="clear"/>
        </w:rPr>
        <w:t xml:space="preserve">Apr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4"/>
          <w:position w:val="0"/>
          <w:sz w:val="22"/>
          <w:shd w:fill="auto" w:val="clear"/>
        </w:rPr>
        <w:t xml:space="preserve">11.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4"/>
          <w:position w:val="0"/>
          <w:sz w:val="22"/>
          <w:shd w:fill="auto" w:val="clear"/>
        </w:rPr>
        <w:t xml:space="preserve">PMID: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29644330.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Disponível: </w:t>
      </w:r>
      <w:hyperlink xmlns:r="http://schemas.openxmlformats.org/officeDocument/2006/relationships" r:id="docRId1">
        <w:r>
          <w:rPr>
            <w:rFonts w:ascii="Segoe UI" w:hAnsi="Segoe UI" w:cs="Segoe UI" w:eastAsia="Segoe UI"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https://pubmed.ncbi.nlm.nih.gov/29644330/</w:t>
        </w:r>
        <w:r>
          <w:rPr>
            <w:rFonts w:ascii="Segoe UI" w:hAnsi="Segoe UI" w:cs="Segoe UI" w:eastAsia="Segoe UI"/>
            <w:color w:val="202020"/>
            <w:spacing w:val="-2"/>
            <w:position w:val="0"/>
            <w:sz w:val="22"/>
            <w:u w:val="single"/>
            <w:shd w:fill="auto" w:val="clear"/>
          </w:rPr>
          <w:t xml:space="preserve"> HYPERLINK "https://pubmed.ncbi.nlm.nih.gov/29644330/"</w:t>
        </w:r>
        <w:r>
          <w:rPr>
            <w:rFonts w:ascii="Segoe UI" w:hAnsi="Segoe UI" w:cs="Segoe UI" w:eastAsia="Segoe UI"/>
            <w:color w:val="202020"/>
            <w:spacing w:val="-2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spacing w:before="17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8"/>
        </w:numPr>
        <w:tabs>
          <w:tab w:val="left" w:pos="1980" w:leader="none"/>
        </w:tabs>
        <w:spacing w:before="0" w:after="0" w:line="381"/>
        <w:ind w:right="876" w:left="1980" w:hanging="36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Mills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G,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Badeghiesh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A,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Suarthana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E,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Baghlaf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H,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Dahan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MH.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Polycystic</w:t>
      </w:r>
      <w:r>
        <w:rPr>
          <w:rFonts w:ascii="Segoe UI" w:hAnsi="Segoe UI" w:cs="Segoe UI" w:eastAsia="Segoe UI"/>
          <w:color w:val="202020"/>
          <w:spacing w:val="4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ovary syndrome</w:t>
      </w:r>
      <w:r>
        <w:rPr>
          <w:rFonts w:ascii="Segoe UI" w:hAnsi="Segoe UI" w:cs="Segoe UI" w:eastAsia="Segoe UI"/>
          <w:color w:val="202020"/>
          <w:spacing w:val="-16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as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an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independent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risk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factor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for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gestational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diabetes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and</w:t>
      </w:r>
      <w:r>
        <w:rPr>
          <w:rFonts w:ascii="Segoe UI" w:hAnsi="Segoe UI" w:cs="Segoe UI" w:eastAsia="Segoe UI"/>
          <w:color w:val="202020"/>
          <w:spacing w:val="-1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hypertensive</w:t>
      </w:r>
    </w:p>
    <w:p>
      <w:pPr>
        <w:spacing w:before="0" w:after="0" w:line="381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81"/>
        <w:ind w:right="872" w:left="198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disorders of pregnancy: a population-based study on 9.1 million pregnancies. Hum Reprod. 2020 Jul 1;35(7):1666-1674. doi: 10.1093/humrep/deaa099. PMID: 32535629. Disponível: 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https://pubmed.ncbi.nlm.nih.gov/32535629/</w:t>
        </w:r>
        <w:r>
          <w:rPr>
            <w:rFonts w:ascii="Segoe UI" w:hAnsi="Segoe UI" w:cs="Segoe UI" w:eastAsia="Segoe UI"/>
            <w:color w:val="202020"/>
            <w:spacing w:val="0"/>
            <w:position w:val="0"/>
            <w:sz w:val="22"/>
            <w:u w:val="single"/>
            <w:shd w:fill="auto" w:val="clear"/>
          </w:rPr>
          <w:t xml:space="preserve"> HYPERLINK "https://pubmed.ncbi.nlm.nih.gov/32535629/"</w:t>
        </w:r>
        <w:r>
          <w:rPr>
            <w:rFonts w:ascii="Segoe UI" w:hAnsi="Segoe UI" w:cs="Segoe UI" w:eastAsia="Segoe UI"/>
            <w:color w:val="20202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spacing w:before="17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"/>
        </w:numPr>
        <w:tabs>
          <w:tab w:val="left" w:pos="1980" w:leader="none"/>
        </w:tabs>
        <w:spacing w:before="0" w:after="0" w:line="381"/>
        <w:ind w:right="869" w:left="198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Foroozanfard F, Asemi Z, Bazarganipour F, Taghavi SA, Allan H, Aramesh S. Comparing pregnancy, childbirth, and neonatal outcomes in women with different phenotypes of polycystic ovary syndrome and healthy women: a prospective cohort study. Gynecol Endocrinol. 2020 Jan;36(1):61-65. doi: 10.1080/09513590.2019.1631278. Epub 2019 Jul 2. PMID: 31264483. Disponível:</w:t>
      </w:r>
    </w:p>
    <w:p>
      <w:pPr>
        <w:spacing w:before="0" w:after="0" w:line="290"/>
        <w:ind w:right="0" w:left="198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Segoe UI" w:hAnsi="Segoe UI" w:cs="Segoe UI" w:eastAsia="Segoe UI"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https://pubmed.ncbi.nlm.nih.gov/31264483/</w:t>
        </w:r>
      </w:hyperlink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54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7"/>
        </w:numPr>
        <w:tabs>
          <w:tab w:val="left" w:pos="1980" w:leader="none"/>
        </w:tabs>
        <w:spacing w:before="0" w:after="0" w:line="381"/>
        <w:ind w:right="873" w:left="198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Tosti G, Barberio A, Tartaglione L, Rizzi A, Di Leo M, Viti L, Sirico A, De Carolis S, Pontecorvi</w:t>
      </w:r>
      <w:r>
        <w:rPr>
          <w:rFonts w:ascii="Segoe UI" w:hAnsi="Segoe UI" w:cs="Segoe UI" w:eastAsia="Segoe UI"/>
          <w:color w:val="202020"/>
          <w:spacing w:val="-6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A,</w:t>
      </w:r>
      <w:r>
        <w:rPr>
          <w:rFonts w:ascii="Segoe UI" w:hAnsi="Segoe UI" w:cs="Segoe UI" w:eastAsia="Segoe UI"/>
          <w:color w:val="202020"/>
          <w:spacing w:val="-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Lanzone</w:t>
      </w:r>
      <w:r>
        <w:rPr>
          <w:rFonts w:ascii="Segoe UI" w:hAnsi="Segoe UI" w:cs="Segoe UI" w:eastAsia="Segoe UI"/>
          <w:color w:val="202020"/>
          <w:spacing w:val="-1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A,</w:t>
      </w:r>
      <w:r>
        <w:rPr>
          <w:rFonts w:ascii="Segoe UI" w:hAnsi="Segoe UI" w:cs="Segoe UI" w:eastAsia="Segoe UI"/>
          <w:color w:val="202020"/>
          <w:spacing w:val="-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Pitocco</w:t>
      </w:r>
      <w:r>
        <w:rPr>
          <w:rFonts w:ascii="Segoe UI" w:hAnsi="Segoe UI" w:cs="Segoe UI" w:eastAsia="Segoe UI"/>
          <w:color w:val="202020"/>
          <w:spacing w:val="-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D.</w:t>
      </w:r>
      <w:r>
        <w:rPr>
          <w:rFonts w:ascii="Segoe UI" w:hAnsi="Segoe UI" w:cs="Segoe UI" w:eastAsia="Segoe UI"/>
          <w:color w:val="202020"/>
          <w:spacing w:val="-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Lights</w:t>
      </w:r>
      <w:r>
        <w:rPr>
          <w:rFonts w:ascii="Segoe UI" w:hAnsi="Segoe UI" w:cs="Segoe UI" w:eastAsia="Segoe UI"/>
          <w:color w:val="202020"/>
          <w:spacing w:val="-3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and</w:t>
      </w:r>
      <w:r>
        <w:rPr>
          <w:rFonts w:ascii="Segoe UI" w:hAnsi="Segoe UI" w:cs="Segoe UI" w:eastAsia="Segoe UI"/>
          <w:color w:val="202020"/>
          <w:spacing w:val="-6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shadows</w:t>
      </w:r>
      <w:r>
        <w:rPr>
          <w:rFonts w:ascii="Segoe UI" w:hAnsi="Segoe UI" w:cs="Segoe UI" w:eastAsia="Segoe UI"/>
          <w:color w:val="202020"/>
          <w:spacing w:val="-3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on</w:t>
      </w:r>
      <w:r>
        <w:rPr>
          <w:rFonts w:ascii="Segoe UI" w:hAnsi="Segoe UI" w:cs="Segoe UI" w:eastAsia="Segoe UI"/>
          <w:color w:val="202020"/>
          <w:spacing w:val="-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the</w:t>
      </w:r>
      <w:r>
        <w:rPr>
          <w:rFonts w:ascii="Segoe UI" w:hAnsi="Segoe UI" w:cs="Segoe UI" w:eastAsia="Segoe UI"/>
          <w:color w:val="202020"/>
          <w:spacing w:val="-6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use</w:t>
      </w:r>
      <w:r>
        <w:rPr>
          <w:rFonts w:ascii="Segoe UI" w:hAnsi="Segoe UI" w:cs="Segoe UI" w:eastAsia="Segoe UI"/>
          <w:color w:val="202020"/>
          <w:spacing w:val="-5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of</w:t>
      </w:r>
      <w:r>
        <w:rPr>
          <w:rFonts w:ascii="Segoe UI" w:hAnsi="Segoe UI" w:cs="Segoe UI" w:eastAsia="Segoe UI"/>
          <w:color w:val="202020"/>
          <w:spacing w:val="-7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metformin in</w:t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pregnancy:</w:t>
      </w:r>
      <w:r>
        <w:rPr>
          <w:rFonts w:ascii="Segoe UI" w:hAnsi="Segoe UI" w:cs="Segoe UI" w:eastAsia="Segoe UI"/>
          <w:color w:val="202020"/>
          <w:spacing w:val="-1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from</w:t>
      </w:r>
      <w:r>
        <w:rPr>
          <w:rFonts w:ascii="Segoe UI" w:hAnsi="Segoe UI" w:cs="Segoe UI" w:eastAsia="Segoe UI"/>
          <w:color w:val="202020"/>
          <w:spacing w:val="-4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the</w:t>
      </w:r>
      <w:r>
        <w:rPr>
          <w:rFonts w:ascii="Segoe UI" w:hAnsi="Segoe UI" w:cs="Segoe UI" w:eastAsia="Segoe UI"/>
          <w:color w:val="202020"/>
          <w:spacing w:val="-7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preconception</w:t>
      </w:r>
      <w:r>
        <w:rPr>
          <w:rFonts w:ascii="Segoe UI" w:hAnsi="Segoe UI" w:cs="Segoe UI" w:eastAsia="Segoe UI"/>
          <w:color w:val="202020"/>
          <w:spacing w:val="-7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phase</w:t>
      </w:r>
      <w:r>
        <w:rPr>
          <w:rFonts w:ascii="Segoe UI" w:hAnsi="Segoe UI" w:cs="Segoe UI" w:eastAsia="Segoe UI"/>
          <w:color w:val="202020"/>
          <w:spacing w:val="-1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to</w:t>
      </w:r>
      <w:r>
        <w:rPr>
          <w:rFonts w:ascii="Segoe UI" w:hAnsi="Segoe UI" w:cs="Segoe UI" w:eastAsia="Segoe UI"/>
          <w:color w:val="202020"/>
          <w:spacing w:val="-6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breastfeeding</w:t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and</w:t>
      </w:r>
      <w:r>
        <w:rPr>
          <w:rFonts w:ascii="Segoe UI" w:hAnsi="Segoe UI" w:cs="Segoe UI" w:eastAsia="Segoe UI"/>
          <w:color w:val="202020"/>
          <w:spacing w:val="-7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beyond.</w:t>
      </w:r>
      <w:r>
        <w:rPr>
          <w:rFonts w:ascii="Segoe UI" w:hAnsi="Segoe UI" w:cs="Segoe UI" w:eastAsia="Segoe UI"/>
          <w:color w:val="202020"/>
          <w:spacing w:val="-7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Front Endocrinol (Lausanne). 2023 Jun 20;14:1176623. doi: 10.3389/fendo.2023.1176623.</w:t>
      </w:r>
      <w:r>
        <w:rPr>
          <w:rFonts w:ascii="Segoe UI" w:hAnsi="Segoe UI" w:cs="Segoe UI" w:eastAsia="Segoe UI"/>
          <w:color w:val="202020"/>
          <w:spacing w:val="80"/>
          <w:position w:val="0"/>
          <w:sz w:val="22"/>
          <w:shd w:fill="auto" w:val="clear"/>
        </w:rPr>
        <w:t xml:space="preserve"> 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PMID:</w:t>
      </w:r>
      <w:r>
        <w:rPr>
          <w:rFonts w:ascii="Segoe UI" w:hAnsi="Segoe UI" w:cs="Segoe UI" w:eastAsia="Segoe UI"/>
          <w:color w:val="202020"/>
          <w:spacing w:val="80"/>
          <w:position w:val="0"/>
          <w:sz w:val="22"/>
          <w:shd w:fill="auto" w:val="clear"/>
        </w:rPr>
        <w:t xml:space="preserve"> 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37409227;</w:t>
      </w:r>
      <w:r>
        <w:rPr>
          <w:rFonts w:ascii="Segoe UI" w:hAnsi="Segoe UI" w:cs="Segoe UI" w:eastAsia="Segoe UI"/>
          <w:color w:val="202020"/>
          <w:spacing w:val="80"/>
          <w:position w:val="0"/>
          <w:sz w:val="22"/>
          <w:shd w:fill="auto" w:val="clear"/>
        </w:rPr>
        <w:t xml:space="preserve"> 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PMCID:</w:t>
      </w:r>
      <w:r>
        <w:rPr>
          <w:rFonts w:ascii="Segoe UI" w:hAnsi="Segoe UI" w:cs="Segoe UI" w:eastAsia="Segoe UI"/>
          <w:color w:val="202020"/>
          <w:spacing w:val="80"/>
          <w:position w:val="0"/>
          <w:sz w:val="22"/>
          <w:shd w:fill="auto" w:val="clear"/>
        </w:rPr>
        <w:t xml:space="preserve"> 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PMC10319127.</w:t>
      </w:r>
    </w:p>
    <w:p>
      <w:pPr>
        <w:spacing w:before="0" w:after="0" w:line="290"/>
        <w:ind w:right="0" w:left="198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Disponível:</w:t>
      </w:r>
      <w:r>
        <w:rPr>
          <w:rFonts w:ascii="Segoe UI" w:hAnsi="Segoe UI" w:cs="Segoe UI" w:eastAsia="Segoe UI"/>
          <w:color w:val="202020"/>
          <w:spacing w:val="-7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Segoe UI" w:hAnsi="Segoe UI" w:cs="Segoe UI" w:eastAsia="Segoe UI"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https://pubmed.ncbi.nlm.nih.gov/37409227/</w:t>
        </w:r>
      </w:hyperlink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49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1"/>
        </w:numPr>
        <w:tabs>
          <w:tab w:val="left" w:pos="1980" w:leader="none"/>
        </w:tabs>
        <w:spacing w:before="0" w:after="0" w:line="381"/>
        <w:ind w:right="880" w:left="1980" w:hanging="36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Hart R. Generational</w:t>
      </w:r>
      <w:r>
        <w:rPr>
          <w:rFonts w:ascii="Segoe UI" w:hAnsi="Segoe UI" w:cs="Segoe UI" w:eastAsia="Segoe UI"/>
          <w:color w:val="202020"/>
          <w:spacing w:val="-1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Health</w:t>
      </w:r>
      <w:r>
        <w:rPr>
          <w:rFonts w:ascii="Segoe UI" w:hAnsi="Segoe UI" w:cs="Segoe UI" w:eastAsia="Segoe UI"/>
          <w:color w:val="202020"/>
          <w:spacing w:val="-1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Impact of PCOS on</w:t>
      </w:r>
      <w:r>
        <w:rPr>
          <w:rFonts w:ascii="Segoe UI" w:hAnsi="Segoe UI" w:cs="Segoe UI" w:eastAsia="Segoe UI"/>
          <w:color w:val="202020"/>
          <w:spacing w:val="-1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Women and</w:t>
      </w:r>
      <w:r>
        <w:rPr>
          <w:rFonts w:ascii="Segoe UI" w:hAnsi="Segoe UI" w:cs="Segoe UI" w:eastAsia="Segoe UI"/>
          <w:color w:val="202020"/>
          <w:spacing w:val="-1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their</w:t>
      </w:r>
      <w:r>
        <w:rPr>
          <w:rFonts w:ascii="Segoe UI" w:hAnsi="Segoe UI" w:cs="Segoe UI" w:eastAsia="Segoe UI"/>
          <w:color w:val="202020"/>
          <w:spacing w:val="-1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Children. Med Sci (Basel). 2019 Mar 18;7(3):49. doi: 10.3390/medsci7030049. PMID: 30889922;</w:t>
      </w:r>
    </w:p>
    <w:p>
      <w:pPr>
        <w:spacing w:before="1" w:after="0" w:line="240"/>
        <w:ind w:right="0" w:left="198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PMCID:</w:t>
      </w:r>
      <w:r>
        <w:rPr>
          <w:rFonts w:ascii="Segoe UI" w:hAnsi="Segoe UI" w:cs="Segoe UI" w:eastAsia="Segoe UI"/>
          <w:color w:val="202020"/>
          <w:spacing w:val="-9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PMC6473601.</w:t>
      </w:r>
      <w:r>
        <w:rPr>
          <w:rFonts w:ascii="Segoe UI" w:hAnsi="Segoe UI" w:cs="Segoe UI" w:eastAsia="Segoe UI"/>
          <w:color w:val="202020"/>
          <w:spacing w:val="-8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Disponível:</w:t>
      </w:r>
      <w:r>
        <w:rPr>
          <w:rFonts w:ascii="Segoe UI" w:hAnsi="Segoe UI" w:cs="Segoe UI" w:eastAsia="Segoe UI"/>
          <w:color w:val="202020"/>
          <w:spacing w:val="-5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Segoe UI" w:hAnsi="Segoe UI" w:cs="Segoe UI" w:eastAsia="Segoe UI"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https://pubmed.ncbi.nlm.nih.gov/30889922/</w:t>
        </w:r>
        <w:r>
          <w:rPr>
            <w:rFonts w:ascii="Segoe UI" w:hAnsi="Segoe UI" w:cs="Segoe UI" w:eastAsia="Segoe UI"/>
            <w:color w:val="202020"/>
            <w:spacing w:val="-2"/>
            <w:position w:val="0"/>
            <w:sz w:val="22"/>
            <w:u w:val="single"/>
            <w:shd w:fill="auto" w:val="clear"/>
          </w:rPr>
          <w:t xml:space="preserve"> HYPERLINK "https://pubmed.ncbi.nlm.nih.gov/30889922/"</w:t>
        </w:r>
        <w:r>
          <w:rPr>
            <w:rFonts w:ascii="Segoe UI" w:hAnsi="Segoe UI" w:cs="Segoe UI" w:eastAsia="Segoe UI"/>
            <w:color w:val="202020"/>
            <w:spacing w:val="-2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49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5"/>
        </w:numPr>
        <w:tabs>
          <w:tab w:val="left" w:pos="1980" w:leader="none"/>
          <w:tab w:val="left" w:pos="3338" w:leader="none"/>
          <w:tab w:val="left" w:pos="5108" w:leader="none"/>
          <w:tab w:val="left" w:pos="6601" w:leader="none"/>
          <w:tab w:val="left" w:pos="8711" w:leader="none"/>
        </w:tabs>
        <w:spacing w:before="0" w:after="0" w:line="381"/>
        <w:ind w:right="873" w:left="198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 xml:space="preserve">Shaaban Z, Tamadon A, Jafarzadeh Shirazi MR, Zamiri MJ, Derakhshanfar A. Maternal aromatase inhibition via letrozole altered RFamide-related peptide-3 and gonadotropin-releasing hormone expression in pubertal female rats. Iran J Basic Med Sci. 2022 Jan;25(1):110-120. doi: 10.22038/IJBMS.2022.60962.13499. </w:t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PMID: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35656443;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PMCID: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PMC9118272.</w:t>
      </w:r>
      <w:r>
        <w:rPr>
          <w:rFonts w:ascii="Segoe UI" w:hAnsi="Segoe UI" w:cs="Segoe UI" w:eastAsia="Segoe UI"/>
          <w:color w:val="202020"/>
          <w:spacing w:val="0"/>
          <w:position w:val="0"/>
          <w:sz w:val="22"/>
          <w:shd w:fill="auto" w:val="clear"/>
        </w:rPr>
        <w:tab/>
      </w:r>
      <w:r>
        <w:rPr>
          <w:rFonts w:ascii="Segoe UI" w:hAnsi="Segoe UI" w:cs="Segoe UI" w:eastAsia="Segoe UI"/>
          <w:color w:val="202020"/>
          <w:spacing w:val="-2"/>
          <w:position w:val="0"/>
          <w:sz w:val="22"/>
          <w:shd w:fill="auto" w:val="clear"/>
        </w:rPr>
        <w:t xml:space="preserve">Disponível:</w:t>
      </w:r>
    </w:p>
    <w:p>
      <w:pPr>
        <w:spacing w:before="0" w:after="0" w:line="290"/>
        <w:ind w:right="0" w:left="198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Segoe UI" w:hAnsi="Segoe UI" w:cs="Segoe UI" w:eastAsia="Segoe UI"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https://pubmed.ncbi.nlm.nih.gov/35656443/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5">
    <w:abstractNumId w:val="42"/>
  </w:num>
  <w:num w:numId="33">
    <w:abstractNumId w:val="36"/>
  </w:num>
  <w:num w:numId="35">
    <w:abstractNumId w:val="30"/>
  </w:num>
  <w:num w:numId="38">
    <w:abstractNumId w:val="24"/>
  </w:num>
  <w:num w:numId="43">
    <w:abstractNumId w:val="18"/>
  </w:num>
  <w:num w:numId="47">
    <w:abstractNumId w:val="12"/>
  </w:num>
  <w:num w:numId="51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ubmed.ncbi.nlm.nih.gov/31264483/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s://pubmed.ncbi.nlm.nih.gov/26117684/%20HYPERLINK%20%22https://pubmed.ncbi.nlm.nih.gov/26117684/%22." Id="docRId0" Type="http://schemas.openxmlformats.org/officeDocument/2006/relationships/hyperlink" /><Relationship TargetMode="External" Target="https://pubmed.ncbi.nlm.nih.gov/32535629/%20HYPERLINK%20%22https://pubmed.ncbi.nlm.nih.gov/32535629/%22." Id="docRId2" Type="http://schemas.openxmlformats.org/officeDocument/2006/relationships/hyperlink" /><Relationship TargetMode="External" Target="https://pubmed.ncbi.nlm.nih.gov/37409227/" Id="docRId4" Type="http://schemas.openxmlformats.org/officeDocument/2006/relationships/hyperlink" /><Relationship TargetMode="External" Target="https://pubmed.ncbi.nlm.nih.gov/35656443/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pubmed.ncbi.nlm.nih.gov/29644330/%20HYPERLINK%20%22https://pubmed.ncbi.nlm.nih.gov/29644330/%22." Id="docRId1" Type="http://schemas.openxmlformats.org/officeDocument/2006/relationships/hyperlink" /><Relationship TargetMode="External" Target="https://pubmed.ncbi.nlm.nih.gov/30889922/%20HYPERLINK%20%22https://pubmed.ncbi.nlm.nih.gov/30889922/%22." Id="docRId5" Type="http://schemas.openxmlformats.org/officeDocument/2006/relationships/hyperlink" /></Relationships>
</file>