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bookmarkStart w:colFirst="0" w:colLast="0" w:name="_heading=h.gjdgxs" w:id="0"/>
      <w:bookmarkEnd w:id="0"/>
      <w:r w:rsidDel="00000000" w:rsidR="00000000" w:rsidRPr="00000000">
        <w:rPr/>
        <w:drawing>
          <wp:inline distB="0" distT="0" distL="0" distR="0">
            <wp:extent cx="7555154" cy="10685691"/>
            <wp:effectExtent b="0" l="0" r="0" t="0"/>
            <wp:docPr descr="C:\Users\Acer\Desktop\EDITORA\evento parceiro publicação dos anais e premiados CIS\MODELO DO RESUMO.png" id="30" name="image7.png"/>
            <a:graphic>
              <a:graphicData uri="http://schemas.openxmlformats.org/drawingml/2006/picture">
                <pic:pic>
                  <pic:nvPicPr>
                    <pic:cNvPr descr="C:\Users\Acer\Desktop\EDITORA\evento parceiro publicação dos anais e premiados CIS\MODELO DO RESUMO.png"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5154" cy="106856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-309562</wp:posOffset>
                </wp:positionH>
                <wp:positionV relativeFrom="paragraph">
                  <wp:posOffset>276225</wp:posOffset>
                </wp:positionV>
                <wp:extent cx="5719763" cy="1495425"/>
                <wp:effectExtent b="0" l="0" r="0" t="0"/>
                <wp:wrapNone/>
                <wp:docPr id="27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959988" y="3108488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c5e0b3"/>
                                <w:sz w:val="40"/>
                                <w:vertAlign w:val="baseline"/>
                              </w:rPr>
                              <w:t xml:space="preserve">Título: 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c5e0b3"/>
                                <w:sz w:val="40"/>
                                <w:vertAlign w:val="baseline"/>
                              </w:rPr>
                              <w:t xml:space="preserve">Covid-19 e os reflexos na farmacorresistência bacteriana: impactos da quimioprofilaxia excessiva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-309562</wp:posOffset>
                </wp:positionH>
                <wp:positionV relativeFrom="paragraph">
                  <wp:posOffset>276225</wp:posOffset>
                </wp:positionV>
                <wp:extent cx="5719763" cy="1495425"/>
                <wp:effectExtent b="0" l="0" r="0" t="0"/>
                <wp:wrapNone/>
                <wp:docPr id="2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9763" cy="1495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1771650</wp:posOffset>
                </wp:positionV>
                <wp:extent cx="5019675" cy="579925"/>
                <wp:effectExtent b="0" l="0" r="0" t="0"/>
                <wp:wrapNone/>
                <wp:docPr id="2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840925" y="3499013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Autores: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Juan Felipe Galvão da Silva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superscript"/>
                              </w:rPr>
                              <w:t xml:space="preserve">1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, Ludmila Raynner Carvalho Alves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superscript"/>
                              </w:rPr>
                              <w:t xml:space="preserve">1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, Marina Isabela de Paula Sousa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superscript"/>
                              </w:rPr>
                              <w:t xml:space="preserve">1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, Mariana Bodini Angeloni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superscript"/>
                              </w:rPr>
                              <w:t xml:space="preserve">2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1771650</wp:posOffset>
                </wp:positionV>
                <wp:extent cx="5019675" cy="579925"/>
                <wp:effectExtent b="0" l="0" r="0" t="0"/>
                <wp:wrapNone/>
                <wp:docPr id="25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19675" cy="579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2590800</wp:posOffset>
                </wp:positionV>
                <wp:extent cx="6696075" cy="7561619"/>
                <wp:effectExtent b="0" l="0" r="0" t="0"/>
                <wp:wrapNone/>
                <wp:docPr id="28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2002725" y="0"/>
                          <a:ext cx="6686550" cy="75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c5e0b3"/>
                                <w:sz w:val="20"/>
                                <w:vertAlign w:val="baseline"/>
                              </w:rPr>
                              <w:t xml:space="preserve">INTRODUÇÃO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c5e0b3"/>
                                <w:sz w:val="20"/>
                                <w:vertAlign w:val="baseline"/>
                              </w:rPr>
                              <w:t xml:space="preserve">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Diante da emergência de saúde da COVID-19 em que 50% dos não sobreviventes tiveram coinfecções, medidas para controlar o quadro infeccioso e evitar infecções secundárias foram adotadas. A antibioticoterapia empírica tornou-se comum, muitas vezes indiscriminada e sem prescrição médica.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c5e0b3"/>
                                <w:sz w:val="20"/>
                                <w:vertAlign w:val="baseline"/>
                              </w:rPr>
                              <w:t xml:space="preserve">OBJETIVO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: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Pretende-se, por meio deste estudo, avaliar os efeitos da pandemia da COVID-19 na farmacorresistência bacteriana, de modo prospectivo, para entender as consequências da antibioticoterapia em um cenário pós-pandêmico.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c5e0b3"/>
                                <w:sz w:val="20"/>
                                <w:vertAlign w:val="baseline"/>
                              </w:rPr>
                              <w:t xml:space="preserve">MÉTODO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: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Este trabalho trata-se de uma revisão sistemática da literatura, de caráter analítico-descritiva, realizada a partir da consulta às bases de dados PubMed, Scielo e Biblioteca Virtual em Saúde, nas quais, com o uso dos descritores em saúde “Bacterial drug resistance” e “Coronavirus infection”, com o operador booleano “AND”, encontraram-se 120 artigos, dos quais 16 foram selecionados. Nesse sentido, os fatores de inclusão foram: período entre 2019 e 2021, delimitação temática conforme o objetivo deste estudo, idioma (inglês ou português). Foram excluídos, contudo, os artigos não publicados e cuja abordagem tangencia o tema central deste trabalho.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c5e0b3"/>
                                <w:sz w:val="20"/>
                                <w:vertAlign w:val="baseline"/>
                              </w:rPr>
                              <w:t xml:space="preserve">RESULTADOS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: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Medidas profiláticas para pacientes com COVID-19 influenciaram a administração empírica demasiada de antibióticos, como fluoroquinolonas, cefalosporinas, carbapenêmicos, azitromicina e vancomicina. Cerca de 72% dos pacientes com COVID-19 receberam antibióticos de amplo espectro em hospitais ou ambulatórios. A antibioticoterapia deveria ser restrita a casos graves e infecções bacterianas secundárias confirmadas. O uso indiscriminado seleciona bactérias resistentes, como Pseudomonas aeruginosa, Enterobacteriaceae carbapenemase positiva e Acinetobacter baumannii. A terapia antimicrobiana empírica deve ser revista após 48-72 horas, pois o uso persistente aumenta a resistência, limitando os potenciais benefícios à saúde e causando aumento na mortalidade quando há infecção por essas bactérias.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c5e0b3"/>
                                <w:sz w:val="20"/>
                                <w:vertAlign w:val="baseline"/>
                              </w:rPr>
                              <w:t xml:space="preserve">CONCLUSÃO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: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O uso desregulado e elevado de antimicrobianos durante a pandemia da COVID-19 contribui para o surgimento de cepas multirresistentes. Assim, a criação de protocolos para reduzir a utilização é importante para amenizar problemas futuros relacionados à eficácia dos antimicrobianos.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Palavras-chave: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1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Farmacorresistência bacteriana. Infecções por coronavírus. Uso Indevido de Medicamentos.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1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  <w:t xml:space="preserve">Filiações: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  <w:t xml:space="preserve">1 Discente, Curso de Medicina da Universidade Federal de Jataí, GO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  <w:t xml:space="preserve">2 Docente, Curso de Medicina da Universidade Federal de Jataí, GO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2590800</wp:posOffset>
                </wp:positionV>
                <wp:extent cx="6696075" cy="7561619"/>
                <wp:effectExtent b="0" l="0" r="0" t="0"/>
                <wp:wrapNone/>
                <wp:docPr id="2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6075" cy="756161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6350000</wp:posOffset>
                </wp:positionH>
                <wp:positionV relativeFrom="paragraph">
                  <wp:posOffset>9829800</wp:posOffset>
                </wp:positionV>
                <wp:extent cx="523875" cy="714375"/>
                <wp:effectExtent b="0" l="0" r="0" t="0"/>
                <wp:wrapNone/>
                <wp:docPr id="26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088825" y="3427575"/>
                          <a:ext cx="514350" cy="704850"/>
                        </a:xfrm>
                        <a:prstGeom prst="rect">
                          <a:avLst/>
                        </a:prstGeom>
                        <a:blipFill rotWithShape="1">
                          <a:blip r:embed="rId11">
                            <a:alphaModFix/>
                          </a:blip>
                          <a:stretch>
                            <a:fillRect b="0" l="0" r="0" t="0"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6350000</wp:posOffset>
                </wp:positionH>
                <wp:positionV relativeFrom="paragraph">
                  <wp:posOffset>9829800</wp:posOffset>
                </wp:positionV>
                <wp:extent cx="523875" cy="714375"/>
                <wp:effectExtent b="0" l="0" r="0" t="0"/>
                <wp:wrapNone/>
                <wp:docPr id="2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75" cy="714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3898900</wp:posOffset>
                </wp:positionH>
                <wp:positionV relativeFrom="paragraph">
                  <wp:posOffset>10312400</wp:posOffset>
                </wp:positionV>
                <wp:extent cx="2705100" cy="266700"/>
                <wp:effectExtent b="0" l="0" r="0" t="0"/>
                <wp:wrapNone/>
                <wp:docPr id="29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3998213" y="3651413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  <w:t xml:space="preserve">Apoio: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u w:val="single"/>
                                <w:vertAlign w:val="baseline"/>
                              </w:rPr>
                              <w:t xml:space="preserve">www.editorapasteur.com.br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  <w:t xml:space="preserve"> - @editorapasteur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3898900</wp:posOffset>
                </wp:positionH>
                <wp:positionV relativeFrom="paragraph">
                  <wp:posOffset>10312400</wp:posOffset>
                </wp:positionV>
                <wp:extent cx="2705100" cy="266700"/>
                <wp:effectExtent b="0" l="0" r="0" t="0"/>
                <wp:wrapNone/>
                <wp:docPr id="29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5100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6838" w:w="11906" w:orient="portrait"/>
      <w:pgMar w:bottom="0" w:top="0" w:left="0" w:right="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uiPriority w:val="99"/>
    <w:unhideWhenUsed w:val="1"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 w:val="1"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 w:val="1"/>
    <w:rsid w:val="000B32CF"/>
    <w:rPr>
      <w:color w:val="0563c1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4.png"/><Relationship Id="rId13" Type="http://schemas.openxmlformats.org/officeDocument/2006/relationships/image" Target="media/image5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7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RtcZR6WW2cp5aYe3WCrRn3YVhZQ==">AMUW2mUTRu0SK8TGqouyHOb8KNjOcje1NsD655NEOvq7ukoQE8Qd/ulN3yGxuoM6FAyoXZlzMaO2yvh1hHjXmt6c1F1ZH6d9S4dz60LJRbpnnD87q69tHPVKHqk5k33KBK2npYZ8zVoe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2021-03-18T18:44:00Z</dcterms:created>
  <dc:creator>Acer</dc:creator>
</cp:coreProperties>
</file>