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7737" w:rsidRDefault="00F1222F" w:rsidP="00CF7737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7737">
        <w:rPr>
          <w:rFonts w:ascii="Times New Roman" w:hAnsi="Times New Roman" w:cs="Times New Roman"/>
          <w:b/>
          <w:bCs/>
          <w:sz w:val="24"/>
          <w:szCs w:val="24"/>
        </w:rPr>
        <w:t>CONSERVAÇÃO DE COMUNIDADES ARBÓREAS NO PARQUE MUNICIPAL ARARA AZUL EM IMPERATRIZ-MA</w:t>
      </w:r>
    </w:p>
    <w:p w:rsidR="00CF7737" w:rsidRDefault="00CF7737" w:rsidP="00CF7737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46821" w:rsidRPr="00CF7737" w:rsidRDefault="00F1222F" w:rsidP="00CF7737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t>CRISTIANO SILVA, Luiz Felipe</w:t>
      </w:r>
      <w:r w:rsidRPr="00CF7737">
        <w:rPr>
          <w:rFonts w:ascii="Times New Roman" w:hAnsi="Times New Roman" w:cs="Times New Roman"/>
          <w:sz w:val="24"/>
          <w:szCs w:val="24"/>
          <w:vertAlign w:val="superscript"/>
        </w:rPr>
        <w:t xml:space="preserve"> 1</w:t>
      </w:r>
      <w:r w:rsidRPr="00CF7737">
        <w:rPr>
          <w:rFonts w:ascii="Times New Roman" w:hAnsi="Times New Roman" w:cs="Times New Roman"/>
          <w:sz w:val="24"/>
          <w:szCs w:val="24"/>
        </w:rPr>
        <w:t xml:space="preserve">; MORAIS BEZERRA, Ana Lídia </w:t>
      </w:r>
      <w:r w:rsidRPr="00CF773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F7737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CF7737">
        <w:rPr>
          <w:rFonts w:ascii="Times New Roman" w:hAnsi="Times New Roman" w:cs="Times New Roman"/>
          <w:sz w:val="24"/>
          <w:szCs w:val="24"/>
        </w:rPr>
        <w:t xml:space="preserve">ESTEVAM LIMA, Samuel </w:t>
      </w:r>
      <w:r w:rsidRPr="00CF773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F7737">
        <w:rPr>
          <w:rFonts w:ascii="Times New Roman" w:hAnsi="Times New Roman" w:cs="Times New Roman"/>
          <w:sz w:val="24"/>
          <w:szCs w:val="24"/>
        </w:rPr>
        <w:t xml:space="preserve">; SENA SANTOS, João Bruno </w:t>
      </w:r>
      <w:r w:rsidRPr="00CF7737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CF7737">
        <w:rPr>
          <w:rFonts w:ascii="Times New Roman" w:hAnsi="Times New Roman" w:cs="Times New Roman"/>
          <w:color w:val="000000"/>
          <w:sz w:val="24"/>
          <w:szCs w:val="24"/>
        </w:rPr>
        <w:t>; RODRIGUES SCHNEIDER, Chaiane</w:t>
      </w:r>
      <w:r w:rsidRPr="00CF7737">
        <w:rPr>
          <w:rFonts w:ascii="Times New Roman" w:hAnsi="Times New Roman" w:cs="Times New Roman"/>
          <w:sz w:val="24"/>
          <w:szCs w:val="24"/>
          <w:vertAlign w:val="superscript"/>
        </w:rPr>
        <w:t xml:space="preserve"> 5</w:t>
      </w:r>
      <w:r w:rsidRPr="00CF7737">
        <w:rPr>
          <w:rFonts w:ascii="Times New Roman" w:hAnsi="Times New Roman" w:cs="Times New Roman"/>
          <w:color w:val="000000"/>
          <w:sz w:val="24"/>
          <w:szCs w:val="24"/>
        </w:rPr>
        <w:t xml:space="preserve">; LIMA, Michael </w:t>
      </w:r>
      <w:r w:rsidRPr="00CF7737">
        <w:rPr>
          <w:rFonts w:ascii="Times New Roman" w:hAnsi="Times New Roman" w:cs="Times New Roman"/>
          <w:sz w:val="24"/>
          <w:szCs w:val="24"/>
        </w:rPr>
        <w:t xml:space="preserve">Douglas Roque </w:t>
      </w:r>
      <w:r w:rsidRPr="00CF7737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CF7737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CF7737">
        <w:rPr>
          <w:rFonts w:ascii="Times New Roman" w:hAnsi="Times New Roman" w:cs="Times New Roman"/>
          <w:color w:val="000000"/>
          <w:sz w:val="24"/>
          <w:szCs w:val="24"/>
          <w:u w:val="single"/>
        </w:rPr>
        <w:t>ANGELO, Dalton Henrique</w:t>
      </w:r>
      <w:r w:rsidRPr="00CF7737">
        <w:rPr>
          <w:rFonts w:ascii="Times New Roman" w:hAnsi="Times New Roman" w:cs="Times New Roman"/>
          <w:sz w:val="24"/>
          <w:szCs w:val="24"/>
          <w:vertAlign w:val="superscript"/>
        </w:rPr>
        <w:t xml:space="preserve"> 7</w:t>
      </w:r>
      <w:r w:rsidRPr="00CF773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D46821" w:rsidRPr="00CF7737" w:rsidRDefault="00D46821" w:rsidP="00CF7737">
      <w:pPr>
        <w:shd w:val="clear" w:color="auto" w:fill="FFFFFF"/>
        <w:tabs>
          <w:tab w:val="left" w:pos="2500"/>
        </w:tabs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46821" w:rsidRPr="00CF7737" w:rsidRDefault="00F1222F" w:rsidP="00CF7737">
      <w:pPr>
        <w:keepLines/>
        <w:shd w:val="clear" w:color="auto" w:fill="FFFFFF"/>
        <w:tabs>
          <w:tab w:val="left" w:pos="250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 w:rsidRPr="00CF7737">
        <w:rPr>
          <w:rFonts w:ascii="Times New Roman" w:hAnsi="Times New Roman" w:cs="Times New Roman"/>
          <w:sz w:val="24"/>
          <w:szCs w:val="24"/>
        </w:rPr>
        <w:t>Graduando em Engenharia Florestal. UEMASUL – Universidade Estadual da Região Tocantina do Maranhão</w:t>
      </w:r>
    </w:p>
    <w:p w:rsidR="00D46821" w:rsidRPr="00CF7737" w:rsidRDefault="00F1222F" w:rsidP="00CF7737">
      <w:pPr>
        <w:keepLines/>
        <w:shd w:val="clear" w:color="auto" w:fill="FFFFFF"/>
        <w:tabs>
          <w:tab w:val="left" w:pos="250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CF7737">
        <w:rPr>
          <w:rFonts w:ascii="Times New Roman" w:hAnsi="Times New Roman" w:cs="Times New Roman"/>
          <w:sz w:val="24"/>
          <w:szCs w:val="24"/>
        </w:rPr>
        <w:t>Graduanda em Engenharia Florestal. UEMASUL – Universidade Estadual da Região Tocantina do Maranhão.</w:t>
      </w:r>
    </w:p>
    <w:p w:rsidR="00D46821" w:rsidRPr="00CF7737" w:rsidRDefault="00F1222F" w:rsidP="00CF7737">
      <w:pPr>
        <w:keepLines/>
        <w:shd w:val="clear" w:color="auto" w:fill="FFFFFF"/>
        <w:tabs>
          <w:tab w:val="left" w:pos="250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CF7737">
        <w:rPr>
          <w:rFonts w:ascii="Times New Roman" w:hAnsi="Times New Roman" w:cs="Times New Roman"/>
          <w:sz w:val="24"/>
          <w:szCs w:val="24"/>
        </w:rPr>
        <w:t>Gradu</w:t>
      </w:r>
      <w:r w:rsidRPr="00CF7737">
        <w:rPr>
          <w:rFonts w:ascii="Times New Roman" w:hAnsi="Times New Roman" w:cs="Times New Roman"/>
          <w:sz w:val="24"/>
          <w:szCs w:val="24"/>
        </w:rPr>
        <w:t>ando em Engenharia Florestal. UEMASUL – Universidade Estadual da Região Tocantina do Maranhão</w:t>
      </w:r>
    </w:p>
    <w:p w:rsidR="00D46821" w:rsidRPr="00CF7737" w:rsidRDefault="00F1222F" w:rsidP="00CF7737">
      <w:pPr>
        <w:keepLines/>
        <w:shd w:val="clear" w:color="auto" w:fill="FFFFFF"/>
        <w:tabs>
          <w:tab w:val="left" w:pos="250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  <w:vertAlign w:val="superscript"/>
        </w:rPr>
        <w:t xml:space="preserve">4 </w:t>
      </w:r>
      <w:r w:rsidRPr="00CF7737">
        <w:rPr>
          <w:rFonts w:ascii="Times New Roman" w:hAnsi="Times New Roman" w:cs="Times New Roman"/>
          <w:sz w:val="24"/>
          <w:szCs w:val="24"/>
        </w:rPr>
        <w:t>Graduando em Engenharia Florestal. UEMASUL – Universidade Estadual da Região Tocantina do Maranhão</w:t>
      </w:r>
    </w:p>
    <w:p w:rsidR="00D46821" w:rsidRPr="00CF7737" w:rsidRDefault="00F1222F" w:rsidP="00CF7737">
      <w:pPr>
        <w:keepLines/>
        <w:shd w:val="clear" w:color="auto" w:fill="FFFFFF"/>
        <w:tabs>
          <w:tab w:val="left" w:pos="250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  <w:vertAlign w:val="superscript"/>
        </w:rPr>
        <w:t xml:space="preserve">5 </w:t>
      </w:r>
      <w:r w:rsidRPr="00CF7737">
        <w:rPr>
          <w:rFonts w:ascii="Times New Roman" w:hAnsi="Times New Roman" w:cs="Times New Roman"/>
          <w:sz w:val="24"/>
          <w:szCs w:val="24"/>
        </w:rPr>
        <w:t>Professora doutora em Engenharia Florestal. UEPA – Universi</w:t>
      </w:r>
      <w:r w:rsidRPr="00CF7737">
        <w:rPr>
          <w:rFonts w:ascii="Times New Roman" w:hAnsi="Times New Roman" w:cs="Times New Roman"/>
          <w:sz w:val="24"/>
          <w:szCs w:val="24"/>
        </w:rPr>
        <w:t xml:space="preserve">dade Estadual do Pará. </w:t>
      </w:r>
    </w:p>
    <w:p w:rsidR="00D46821" w:rsidRPr="00CF7737" w:rsidRDefault="00F1222F" w:rsidP="00CF7737">
      <w:pPr>
        <w:keepLines/>
        <w:shd w:val="clear" w:color="auto" w:fill="FFFFFF"/>
        <w:tabs>
          <w:tab w:val="left" w:pos="250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CF7737">
        <w:rPr>
          <w:rFonts w:ascii="Times New Roman" w:hAnsi="Times New Roman" w:cs="Times New Roman"/>
          <w:sz w:val="24"/>
          <w:szCs w:val="24"/>
        </w:rPr>
        <w:t xml:space="preserve"> Professor doutor em Ciência e Tecnologia da Madeira. UEMASUL -Universidade Estadual da Região Tocantina do Maranhão.</w:t>
      </w:r>
    </w:p>
    <w:p w:rsidR="00D46821" w:rsidRPr="00CF7737" w:rsidRDefault="00F1222F" w:rsidP="00CF7737">
      <w:pPr>
        <w:keepLines/>
        <w:shd w:val="clear" w:color="auto" w:fill="FFFFFF"/>
        <w:tabs>
          <w:tab w:val="left" w:pos="250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  <w:vertAlign w:val="superscript"/>
        </w:rPr>
        <w:t xml:space="preserve">7  </w:t>
      </w:r>
      <w:r w:rsidRPr="00CF7737">
        <w:rPr>
          <w:rFonts w:ascii="Times New Roman" w:hAnsi="Times New Roman" w:cs="Times New Roman"/>
          <w:sz w:val="24"/>
          <w:szCs w:val="24"/>
        </w:rPr>
        <w:t>Professor mestre em Engenharia Florestal. UEMASUL – Universidade Estadual da Regiã</w:t>
      </w:r>
      <w:r w:rsidRPr="00CF7737">
        <w:rPr>
          <w:rFonts w:ascii="Times New Roman" w:hAnsi="Times New Roman" w:cs="Times New Roman"/>
          <w:sz w:val="24"/>
          <w:szCs w:val="24"/>
        </w:rPr>
        <w:t>o Tocantina do Maranhão. dalton.</w:t>
      </w:r>
    </w:p>
    <w:p w:rsidR="00D46821" w:rsidRPr="00CF7737" w:rsidRDefault="00D46821" w:rsidP="00CF7737">
      <w:pPr>
        <w:keepLines/>
        <w:shd w:val="clear" w:color="auto" w:fill="FFFFFF"/>
        <w:tabs>
          <w:tab w:val="left" w:pos="2500"/>
        </w:tabs>
        <w:rPr>
          <w:rFonts w:ascii="Times New Roman" w:hAnsi="Times New Roman" w:cs="Times New Roman"/>
          <w:sz w:val="24"/>
          <w:szCs w:val="24"/>
        </w:rPr>
      </w:pPr>
    </w:p>
    <w:p w:rsidR="00D46821" w:rsidRPr="00CF7737" w:rsidRDefault="00D46821" w:rsidP="00CF7737">
      <w:pPr>
        <w:keepLines/>
        <w:shd w:val="clear" w:color="auto" w:fill="FFFFFF"/>
        <w:tabs>
          <w:tab w:val="left" w:pos="25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46821" w:rsidRPr="00CF7737" w:rsidRDefault="00F1222F" w:rsidP="00CF7737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F7737">
        <w:rPr>
          <w:rFonts w:ascii="Times New Roman" w:hAnsi="Times New Roman" w:cs="Times New Roman"/>
          <w:b/>
          <w:bCs/>
          <w:sz w:val="24"/>
          <w:szCs w:val="24"/>
          <w:u w:val="single"/>
        </w:rPr>
        <w:t>RESUMO</w:t>
      </w:r>
    </w:p>
    <w:p w:rsidR="00D46821" w:rsidRPr="00CF7737" w:rsidRDefault="00F1222F" w:rsidP="00CF773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t>O estudo faz o levantamento de como a biodiversidade é necessária e deve ser integrada a formas de valoração econômica por meio de modelos de reservas. O objetivo foi analisar a literatura sobre modelos de preservação e conservação, como Reservas Extrativi</w:t>
      </w:r>
      <w:r w:rsidRPr="00CF7737">
        <w:rPr>
          <w:rFonts w:ascii="Times New Roman" w:hAnsi="Times New Roman" w:cs="Times New Roman"/>
          <w:sz w:val="24"/>
          <w:szCs w:val="24"/>
        </w:rPr>
        <w:t xml:space="preserve">stas (RESEX) e Reservas Biológicas (REBIO), e sua necessidade na conservação de comunidades vegetais e refúgio genético. A metodologia utilizada foi uma Revisão Sistemática da Literatura através do Google Acadêmico e SciELO, focando em publicações de 2015 </w:t>
      </w:r>
      <w:r w:rsidRPr="00CF7737">
        <w:rPr>
          <w:rFonts w:ascii="Times New Roman" w:hAnsi="Times New Roman" w:cs="Times New Roman"/>
          <w:sz w:val="24"/>
          <w:szCs w:val="24"/>
        </w:rPr>
        <w:t xml:space="preserve">a 2025 na Área de Ciências Agrárias I, sendo selecionados 23 artigos. O achado da espécie criticamente ameaçada </w:t>
      </w:r>
      <w:r w:rsidRPr="00CF7737">
        <w:rPr>
          <w:rFonts w:ascii="Times New Roman" w:hAnsi="Times New Roman" w:cs="Times New Roman"/>
          <w:i/>
          <w:iCs/>
          <w:sz w:val="24"/>
          <w:szCs w:val="24"/>
        </w:rPr>
        <w:t>Erythroxylum ayrtonianum</w:t>
      </w:r>
      <w:r w:rsidRPr="00CF7737">
        <w:rPr>
          <w:rFonts w:ascii="Times New Roman" w:hAnsi="Times New Roman" w:cs="Times New Roman"/>
          <w:sz w:val="24"/>
          <w:szCs w:val="24"/>
        </w:rPr>
        <w:t xml:space="preserve"> e </w:t>
      </w:r>
      <w:r w:rsidRPr="00CF7737">
        <w:rPr>
          <w:rFonts w:ascii="Times New Roman" w:hAnsi="Times New Roman" w:cs="Times New Roman"/>
          <w:i/>
          <w:iCs/>
          <w:sz w:val="24"/>
          <w:szCs w:val="24"/>
        </w:rPr>
        <w:t>Paubrasilia echinata</w:t>
      </w:r>
      <w:r w:rsidRPr="00CF7737">
        <w:rPr>
          <w:rFonts w:ascii="Times New Roman" w:hAnsi="Times New Roman" w:cs="Times New Roman"/>
          <w:sz w:val="24"/>
          <w:szCs w:val="24"/>
        </w:rPr>
        <w:t xml:space="preserve">  no Parque Municipal de Proteção Integral Arara Azul (PMAA) reforça a relevância do estudo, posi</w:t>
      </w:r>
      <w:r w:rsidRPr="00CF7737">
        <w:rPr>
          <w:rFonts w:ascii="Times New Roman" w:hAnsi="Times New Roman" w:cs="Times New Roman"/>
          <w:sz w:val="24"/>
          <w:szCs w:val="24"/>
        </w:rPr>
        <w:t>cionando o parque como um refúgio genético de alto valor. Em conclusão, a conservação eficaz exige a integração das dimensões ecológica, econômica e social, assinalando que mesmo pequenas unidades de conservação, como o PMAA, podem deter um grande valor na</w:t>
      </w:r>
      <w:r w:rsidRPr="00CF7737">
        <w:rPr>
          <w:rFonts w:ascii="Times New Roman" w:hAnsi="Times New Roman" w:cs="Times New Roman"/>
          <w:sz w:val="24"/>
          <w:szCs w:val="24"/>
        </w:rPr>
        <w:t xml:space="preserve"> manutenção da diversidade biológica, destacando a necessidade de sua formalização e gestão cuidadosa.</w:t>
      </w:r>
    </w:p>
    <w:p w:rsidR="00D46821" w:rsidRPr="00CF7737" w:rsidRDefault="00F1222F" w:rsidP="00CF7737">
      <w:pPr>
        <w:shd w:val="clear" w:color="auto" w:fill="FFFFFF"/>
        <w:tabs>
          <w:tab w:val="left" w:pos="2500"/>
        </w:tabs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b/>
          <w:bCs/>
          <w:sz w:val="24"/>
          <w:szCs w:val="24"/>
        </w:rPr>
        <w:t xml:space="preserve">Palavras-chave: </w:t>
      </w:r>
      <w:r w:rsidRPr="00CF7737">
        <w:rPr>
          <w:rFonts w:ascii="Times New Roman" w:hAnsi="Times New Roman" w:cs="Times New Roman"/>
          <w:sz w:val="24"/>
          <w:szCs w:val="24"/>
        </w:rPr>
        <w:t>Unidades de Conservação, Reserva biológica, Preservação de espécies.</w:t>
      </w:r>
    </w:p>
    <w:p w:rsidR="00D46821" w:rsidRPr="00CF7737" w:rsidRDefault="00D46821" w:rsidP="00CF7737">
      <w:pPr>
        <w:shd w:val="clear" w:color="auto" w:fill="FFFFFF"/>
        <w:tabs>
          <w:tab w:val="left" w:pos="25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46821" w:rsidRPr="00CF7737" w:rsidRDefault="00F1222F" w:rsidP="00CF7737">
      <w:pPr>
        <w:shd w:val="clear" w:color="auto" w:fill="FFFFFF"/>
        <w:tabs>
          <w:tab w:val="left" w:pos="2500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CF7737">
        <w:rPr>
          <w:rFonts w:ascii="Times New Roman" w:hAnsi="Times New Roman" w:cs="Times New Roman"/>
          <w:b/>
          <w:bCs/>
          <w:sz w:val="24"/>
          <w:szCs w:val="24"/>
        </w:rPr>
        <w:t>Área de Interesse do Simpósio</w:t>
      </w:r>
      <w:r w:rsidRPr="00CF7737">
        <w:rPr>
          <w:rFonts w:ascii="Times New Roman" w:hAnsi="Times New Roman" w:cs="Times New Roman"/>
          <w:sz w:val="24"/>
          <w:szCs w:val="24"/>
        </w:rPr>
        <w:t>: Ciências Agrárias</w:t>
      </w:r>
    </w:p>
    <w:p w:rsidR="00D46821" w:rsidRDefault="00D46821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b/>
          <w:bCs/>
          <w:sz w:val="24"/>
          <w:szCs w:val="24"/>
        </w:rPr>
      </w:pPr>
    </w:p>
    <w:p w:rsidR="00D46821" w:rsidRPr="00CF7737" w:rsidRDefault="00F1222F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F7737">
        <w:rPr>
          <w:rFonts w:ascii="Times New Roman" w:hAnsi="Times New Roman" w:cs="Times New Roman"/>
          <w:b/>
          <w:bCs/>
          <w:sz w:val="24"/>
          <w:szCs w:val="24"/>
        </w:rPr>
        <w:t xml:space="preserve">1. INTRODUÇÃO </w:t>
      </w:r>
    </w:p>
    <w:p w:rsidR="00D46821" w:rsidRPr="00CF7737" w:rsidRDefault="00F1222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lastRenderedPageBreak/>
        <w:t>A preservação das comunidades intactas é o modo mais eficaz de preservação da diversidade biológica como um todo (Primack e Rodrigues, 2001). No entanto, em função dos interesses humanos, raramente é possível realizar este tipo de preservação, com isto sur</w:t>
      </w:r>
      <w:r w:rsidRPr="00CF7737">
        <w:rPr>
          <w:rFonts w:ascii="Times New Roman" w:hAnsi="Times New Roman" w:cs="Times New Roman"/>
          <w:sz w:val="24"/>
          <w:szCs w:val="24"/>
        </w:rPr>
        <w:t xml:space="preserve">gem as unidades de conservação (UC), que para Mota </w:t>
      </w:r>
      <w:r w:rsidRPr="00CF7737">
        <w:rPr>
          <w:rFonts w:ascii="Times New Roman" w:hAnsi="Times New Roman" w:cs="Times New Roman"/>
          <w:i/>
          <w:iCs/>
          <w:sz w:val="24"/>
          <w:szCs w:val="24"/>
        </w:rPr>
        <w:t xml:space="preserve">et al. </w:t>
      </w:r>
      <w:r w:rsidRPr="00CF7737">
        <w:rPr>
          <w:rFonts w:ascii="Times New Roman" w:hAnsi="Times New Roman" w:cs="Times New Roman"/>
          <w:sz w:val="24"/>
          <w:szCs w:val="24"/>
        </w:rPr>
        <w:t>(2023), é uma estratégia criada em torno da questão ambiental, conservando a sociobiodiversidade e fortalecendo as comunidades tradicionais e de desenvolvimento sustentável. Dentre os tipos de comun</w:t>
      </w:r>
      <w:r w:rsidRPr="00CF7737">
        <w:rPr>
          <w:rFonts w:ascii="Times New Roman" w:hAnsi="Times New Roman" w:cs="Times New Roman"/>
          <w:sz w:val="24"/>
          <w:szCs w:val="24"/>
        </w:rPr>
        <w:t xml:space="preserve">idades, existem Reservas Extrativistas (RESEX), que competem em proteger os meios de vida e cultura das populações residentes, e assegurar o uso dos recursos naturais de forma sustentável (Brasil, 2002), e as Reservas Biológicas (REBIO), que são áreas que </w:t>
      </w:r>
      <w:r w:rsidRPr="00CF7737">
        <w:rPr>
          <w:rFonts w:ascii="Times New Roman" w:hAnsi="Times New Roman" w:cs="Times New Roman"/>
          <w:sz w:val="24"/>
          <w:szCs w:val="24"/>
        </w:rPr>
        <w:t>preservam integralmente a biota  e demais atributos da região, não permitindo a modificação direta do ser humano (Brasil, 2000).</w:t>
      </w:r>
    </w:p>
    <w:p w:rsidR="00D46821" w:rsidRPr="00CF7737" w:rsidRDefault="00F1222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t>Apesar da indiscutível importância das UC’S, seu estabelecimento levanta diversos conflitos de interesse. Na região do Matopiba</w:t>
      </w:r>
      <w:r w:rsidRPr="00CF7737">
        <w:rPr>
          <w:rFonts w:ascii="Times New Roman" w:hAnsi="Times New Roman" w:cs="Times New Roman"/>
          <w:sz w:val="24"/>
          <w:szCs w:val="24"/>
        </w:rPr>
        <w:t>, onde o Maranhão se insere, a expansão da fronteira agrícola é o fator dominante na conversão da paisagem. Tal dinâmica não apenas degrada o meio ambiente, mas intensifica conflitos agrários e violência no campo, afetando diretamente as comunidades tradic</w:t>
      </w:r>
      <w:r w:rsidRPr="00CF7737">
        <w:rPr>
          <w:rFonts w:ascii="Times New Roman" w:hAnsi="Times New Roman" w:cs="Times New Roman"/>
          <w:sz w:val="24"/>
          <w:szCs w:val="24"/>
        </w:rPr>
        <w:t>ionais, sendo os quilombolas as principais vítimas no estado do Maranhão (REPAM, 2023). A lacuna crucial reside na dificuldade metodológica e política de traduzir esse potencial de riqueza futura em ferramentas de valorização que possam competir com a rent</w:t>
      </w:r>
      <w:r w:rsidRPr="00CF7737">
        <w:rPr>
          <w:rFonts w:ascii="Times New Roman" w:hAnsi="Times New Roman" w:cs="Times New Roman"/>
          <w:sz w:val="24"/>
          <w:szCs w:val="24"/>
        </w:rPr>
        <w:t>abilidade imediata do setor agropecuário local. Isso exige a otimização de estratégias de conservação que utilizem o potencial genético de espécies localmente raras ou abundantes como justificativa econômica para a proteção de pequenas unidades de conserva</w:t>
      </w:r>
      <w:r w:rsidRPr="00CF7737">
        <w:rPr>
          <w:rFonts w:ascii="Times New Roman" w:hAnsi="Times New Roman" w:cs="Times New Roman"/>
          <w:sz w:val="24"/>
          <w:szCs w:val="24"/>
        </w:rPr>
        <w:t>ção, como os parques municipais.</w:t>
      </w:r>
    </w:p>
    <w:p w:rsidR="00D46821" w:rsidRPr="00CF7737" w:rsidRDefault="00F1222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F7737">
        <w:rPr>
          <w:rFonts w:ascii="Times New Roman" w:hAnsi="Times New Roman" w:cs="Times New Roman"/>
          <w:sz w:val="24"/>
          <w:szCs w:val="24"/>
        </w:rPr>
        <w:t>Em nível nacional, os Planos de Ação Territoriais (PAT) para a Conservação de Espécies Ameaçadas de Extinção buscam instrumentalizar a conservação (Marinho et al., 2023). Dentro do escopo do PAT Meio Norte, a pesquisa tem s</w:t>
      </w:r>
      <w:r w:rsidRPr="00CF7737">
        <w:rPr>
          <w:rFonts w:ascii="Times New Roman" w:hAnsi="Times New Roman" w:cs="Times New Roman"/>
          <w:sz w:val="24"/>
          <w:szCs w:val="24"/>
        </w:rPr>
        <w:t>e voltado para a identificação e proteção de espécies vulneráveis em fragmentos de mata. O avanço local mais significativo se deu no Parque Natural Municipal Florestal Arara-Azul (PMAA), em Imperatriz-MA, onde inventários florestais recentes e expedições b</w:t>
      </w:r>
      <w:r w:rsidRPr="00CF7737">
        <w:rPr>
          <w:rFonts w:ascii="Times New Roman" w:hAnsi="Times New Roman" w:cs="Times New Roman"/>
          <w:sz w:val="24"/>
          <w:szCs w:val="24"/>
        </w:rPr>
        <w:t xml:space="preserve">otânicas (Marinho et al., 2023) confirmaram a presença de espécies ameaçadas, tal como o </w:t>
      </w:r>
      <w:r w:rsidRPr="00CF7737">
        <w:rPr>
          <w:rFonts w:ascii="Times New Roman" w:hAnsi="Times New Roman" w:cs="Times New Roman"/>
          <w:i/>
          <w:iCs/>
          <w:sz w:val="24"/>
          <w:szCs w:val="24"/>
        </w:rPr>
        <w:t xml:space="preserve">Erythroxylum ayrtonianum </w:t>
      </w:r>
      <w:r w:rsidRPr="00CF7737">
        <w:rPr>
          <w:rFonts w:ascii="Times New Roman" w:hAnsi="Times New Roman" w:cs="Times New Roman"/>
          <w:sz w:val="24"/>
          <w:szCs w:val="24"/>
        </w:rPr>
        <w:t xml:space="preserve">Loiola &amp; M.F.Sales (Fruta-de-Pomba) e </w:t>
      </w:r>
      <w:r w:rsidRPr="00CF7737">
        <w:rPr>
          <w:rFonts w:ascii="Times New Roman" w:hAnsi="Times New Roman" w:cs="Times New Roman"/>
          <w:i/>
          <w:iCs/>
          <w:sz w:val="24"/>
          <w:szCs w:val="24"/>
        </w:rPr>
        <w:t xml:space="preserve">Paubrasilia echinata </w:t>
      </w:r>
      <w:r w:rsidRPr="00CF7737">
        <w:rPr>
          <w:rFonts w:ascii="Times New Roman" w:hAnsi="Times New Roman" w:cs="Times New Roman"/>
          <w:sz w:val="24"/>
          <w:szCs w:val="24"/>
        </w:rPr>
        <w:t>(Lam) Gagnon, H.C.Lima &amp; G.P.Lewis (Pau-Brasil). A ocorrência dessas espécies, elev</w:t>
      </w:r>
      <w:r w:rsidRPr="00CF7737">
        <w:rPr>
          <w:rFonts w:ascii="Times New Roman" w:hAnsi="Times New Roman" w:cs="Times New Roman"/>
          <w:sz w:val="24"/>
          <w:szCs w:val="24"/>
        </w:rPr>
        <w:t xml:space="preserve">am o parque à condição de refúgio genético e demonstram </w:t>
      </w:r>
      <w:r w:rsidRPr="00CF7737">
        <w:rPr>
          <w:rFonts w:ascii="Times New Roman" w:hAnsi="Times New Roman" w:cs="Times New Roman"/>
          <w:sz w:val="24"/>
          <w:szCs w:val="24"/>
        </w:rPr>
        <w:lastRenderedPageBreak/>
        <w:t>que mesmo pequenas unidades de conservação podem deter um valor</w:t>
      </w:r>
      <w:r w:rsidRPr="00CF77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F7737">
        <w:rPr>
          <w:rFonts w:ascii="Times New Roman" w:hAnsi="Times New Roman" w:cs="Times New Roman"/>
          <w:sz w:val="24"/>
          <w:szCs w:val="24"/>
        </w:rPr>
        <w:t>desproporcional à sua área.</w:t>
      </w:r>
    </w:p>
    <w:p w:rsidR="00D46821" w:rsidRPr="00CF7737" w:rsidRDefault="00F1222F" w:rsidP="00CF773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F7737">
        <w:rPr>
          <w:rFonts w:ascii="Times New Roman" w:hAnsi="Times New Roman" w:cs="Times New Roman"/>
          <w:sz w:val="24"/>
          <w:szCs w:val="24"/>
        </w:rPr>
        <w:t>Diante da urgência de conservar a biodiversidade frente às pressões regionais, este trabalho tem como propós</w:t>
      </w:r>
      <w:r w:rsidRPr="00CF7737">
        <w:rPr>
          <w:rFonts w:ascii="Times New Roman" w:hAnsi="Times New Roman" w:cs="Times New Roman"/>
          <w:sz w:val="24"/>
          <w:szCs w:val="24"/>
        </w:rPr>
        <w:t>ito realizar uma revisão bibliográfica focada na interface entre a valorização econômica e a conservação de populações. O objetivo principal é introduzir os tipos de unidades de conservação no Brasil e fundamentar a  suas importâncias no quesito  de conser</w:t>
      </w:r>
      <w:r w:rsidRPr="00CF7737">
        <w:rPr>
          <w:rFonts w:ascii="Times New Roman" w:hAnsi="Times New Roman" w:cs="Times New Roman"/>
          <w:sz w:val="24"/>
          <w:szCs w:val="24"/>
        </w:rPr>
        <w:t>vação de espécies, incluindo o Parque Municipal Arara Azul</w:t>
      </w:r>
      <w:r w:rsidRPr="00CF7737">
        <w:rPr>
          <w:rFonts w:ascii="Times New Roman" w:hAnsi="Times New Roman" w:cs="Times New Roman"/>
        </w:rPr>
        <w:t>.</w:t>
      </w:r>
    </w:p>
    <w:p w:rsidR="00D46821" w:rsidRPr="00CF7737" w:rsidRDefault="00F1222F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F7737">
        <w:rPr>
          <w:rFonts w:ascii="Times New Roman" w:hAnsi="Times New Roman" w:cs="Times New Roman"/>
          <w:b/>
          <w:bCs/>
          <w:sz w:val="24"/>
          <w:szCs w:val="24"/>
        </w:rPr>
        <w:t xml:space="preserve">2. MATERIAL E MÉTODOS </w:t>
      </w:r>
    </w:p>
    <w:p w:rsidR="00D46821" w:rsidRPr="00CF7737" w:rsidRDefault="00F1222F">
      <w:pPr>
        <w:pBdr>
          <w:bottom w:val="none" w:sz="0" w:space="18" w:color="000000"/>
        </w:pBdr>
        <w:shd w:val="clear" w:color="auto" w:fill="FFFFFF"/>
        <w:tabs>
          <w:tab w:val="left" w:pos="2500"/>
        </w:tabs>
        <w:jc w:val="center"/>
        <w:rPr>
          <w:rFonts w:ascii="Times New Roman" w:hAnsi="Times New Roman" w:cs="Times New Roman"/>
        </w:rPr>
      </w:pPr>
      <w:r w:rsidRPr="00CF7737">
        <w:rPr>
          <w:rFonts w:ascii="Times New Roman" w:hAnsi="Times New Roman" w:cs="Times New Roman"/>
          <w:b/>
          <w:bCs/>
        </w:rPr>
        <w:t>Figura 1</w:t>
      </w:r>
      <w:r w:rsidRPr="00CF7737">
        <w:rPr>
          <w:rFonts w:ascii="Times New Roman" w:hAnsi="Times New Roman" w:cs="Times New Roman"/>
        </w:rPr>
        <w:t>- Metodologia de pesquisa</w:t>
      </w:r>
    </w:p>
    <w:p w:rsidR="00D46821" w:rsidRDefault="00F1222F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noProof/>
        </w:rPr>
        <w:drawing>
          <wp:inline distT="114300" distB="114300" distL="114300" distR="114300">
            <wp:extent cx="4639310" cy="4761865"/>
            <wp:effectExtent l="0" t="0" r="0" b="0"/>
            <wp:docPr id="202369132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691324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9628" cy="476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821" w:rsidRPr="00CF7737" w:rsidRDefault="00F1222F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700"/>
        <w:rPr>
          <w:rFonts w:ascii="Times New Roman" w:hAnsi="Times New Roman" w:cs="Times New Roman"/>
        </w:rPr>
      </w:pPr>
      <w:r w:rsidRPr="00CF7737">
        <w:rPr>
          <w:rFonts w:ascii="Times New Roman" w:hAnsi="Times New Roman" w:cs="Times New Roman"/>
          <w:b/>
          <w:bCs/>
        </w:rPr>
        <w:t>Fonte</w:t>
      </w:r>
      <w:r w:rsidRPr="00CF7737">
        <w:rPr>
          <w:rFonts w:ascii="Times New Roman" w:hAnsi="Times New Roman" w:cs="Times New Roman"/>
        </w:rPr>
        <w:t>: Autores (2025)</w:t>
      </w:r>
    </w:p>
    <w:p w:rsidR="00D46821" w:rsidRDefault="00D46821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700"/>
        <w:rPr>
          <w:sz w:val="24"/>
          <w:szCs w:val="24"/>
        </w:rPr>
      </w:pPr>
    </w:p>
    <w:p w:rsidR="00D46821" w:rsidRPr="00CF7737" w:rsidRDefault="00F1222F">
      <w:pPr>
        <w:widowControl/>
        <w:spacing w:before="240" w:after="240" w:line="259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F7737">
        <w:rPr>
          <w:rFonts w:ascii="Times New Roman" w:hAnsi="Times New Roman" w:cs="Times New Roman"/>
          <w:b/>
          <w:bCs/>
          <w:sz w:val="24"/>
          <w:szCs w:val="24"/>
        </w:rPr>
        <w:lastRenderedPageBreak/>
        <w:t>3. RESULTADOS E DISCUSSÃO</w:t>
      </w:r>
      <w:r w:rsidRPr="00CF77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46821" w:rsidRPr="00CF7737" w:rsidRDefault="00CF7737">
      <w:pPr>
        <w:widowControl/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t>3.1. UNIDADES DE CONSERVAÇÃO E SUA INFLUÊNCIA NA PERPETUAÇÃO DE ESPÉCIES</w:t>
      </w:r>
    </w:p>
    <w:p w:rsidR="00D46821" w:rsidRPr="00CF7737" w:rsidRDefault="00F1222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t xml:space="preserve">O </w:t>
      </w:r>
      <w:r w:rsidRPr="00CF7737">
        <w:rPr>
          <w:rFonts w:ascii="Times New Roman" w:hAnsi="Times New Roman" w:cs="Times New Roman"/>
          <w:sz w:val="24"/>
          <w:szCs w:val="24"/>
        </w:rPr>
        <w:t>Sistema Nacional de Unidades de Conservação (SNUC) estabelece um espectro de “Reservas de Conservação” (UCs) que se dividem em dois grupos principais: Proteção Integral e Uso Sustentável. A relação entre essas UCs e as comunidades locais é um tema fundamen</w:t>
      </w:r>
      <w:r w:rsidRPr="00CF7737">
        <w:rPr>
          <w:rFonts w:ascii="Times New Roman" w:hAnsi="Times New Roman" w:cs="Times New Roman"/>
          <w:sz w:val="24"/>
          <w:szCs w:val="24"/>
        </w:rPr>
        <w:t>tal na literatura de conservação, marcada por frequentes conflitos (Pereira; Silveira Júnior, 2023).</w:t>
      </w:r>
    </w:p>
    <w:p w:rsidR="00D46821" w:rsidRPr="00CF7737" w:rsidRDefault="00F122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CF7737">
        <w:rPr>
          <w:rFonts w:ascii="Times New Roman" w:hAnsi="Times New Roman" w:cs="Times New Roman"/>
          <w:sz w:val="24"/>
          <w:szCs w:val="24"/>
        </w:rPr>
        <w:t xml:space="preserve"> </w:t>
      </w:r>
      <w:r w:rsidRPr="00CF7737">
        <w:rPr>
          <w:rFonts w:ascii="Times New Roman" w:hAnsi="Times New Roman" w:cs="Times New Roman"/>
          <w:sz w:val="24"/>
          <w:szCs w:val="24"/>
        </w:rPr>
        <w:tab/>
        <w:t>A criação de UCs, especialmente as de Proteção Integral, apresenta conflitos recorrentes. A literatura mostra que a imposição de restrições de uso ou a d</w:t>
      </w:r>
      <w:r w:rsidRPr="00CF7737">
        <w:rPr>
          <w:rFonts w:ascii="Times New Roman" w:hAnsi="Times New Roman" w:cs="Times New Roman"/>
          <w:sz w:val="24"/>
          <w:szCs w:val="24"/>
        </w:rPr>
        <w:t>esapropriação de terras sem a devida consulta e compensação são as principais causas deste tipo de tensão (Pereira; Silveira Júnior, 2023). Os conflitos manifestam-se em: Restrição de acesso, seja pela caça pesca ou outros tipos de coleta de subsistência p</w:t>
      </w:r>
      <w:r w:rsidRPr="00CF7737">
        <w:rPr>
          <w:rFonts w:ascii="Times New Roman" w:hAnsi="Times New Roman" w:cs="Times New Roman"/>
          <w:sz w:val="24"/>
          <w:szCs w:val="24"/>
        </w:rPr>
        <w:t>elas comunidades que lá viviam em harmonia, mas sofreram com a instalação de UC</w:t>
      </w:r>
      <w:r w:rsidRPr="00CF7737">
        <w:rPr>
          <w:rFonts w:ascii="Times New Roman" w:hAnsi="Times New Roman" w:cs="Times New Roman"/>
          <w:sz w:val="24"/>
          <w:szCs w:val="24"/>
        </w:rPr>
        <w:tab/>
        <w:t xml:space="preserve">‘s, sendo forçados a se deslocarem. Fato este que contribui para a proteção e perpetuação natural de espécies endêmicas e ameaçadas, (como o </w:t>
      </w:r>
      <w:r w:rsidRPr="00CF7737">
        <w:rPr>
          <w:rFonts w:ascii="Times New Roman" w:hAnsi="Times New Roman" w:cs="Times New Roman"/>
          <w:i/>
          <w:iCs/>
          <w:sz w:val="24"/>
          <w:szCs w:val="24"/>
        </w:rPr>
        <w:t>Erythroxylum ayrtonianum</w:t>
      </w:r>
      <w:r w:rsidRPr="00CF7737">
        <w:rPr>
          <w:rFonts w:ascii="Times New Roman" w:hAnsi="Times New Roman" w:cs="Times New Roman"/>
          <w:sz w:val="24"/>
          <w:szCs w:val="24"/>
        </w:rPr>
        <w:t xml:space="preserve">), mas que </w:t>
      </w:r>
      <w:r w:rsidRPr="00CF7737">
        <w:rPr>
          <w:rFonts w:ascii="Times New Roman" w:hAnsi="Times New Roman" w:cs="Times New Roman"/>
          <w:sz w:val="24"/>
          <w:szCs w:val="24"/>
        </w:rPr>
        <w:t xml:space="preserve">não leva as necessidades das populações em conta, </w:t>
      </w:r>
      <w:r w:rsidRPr="00CF7737">
        <w:rPr>
          <w:rFonts w:ascii="Times New Roman" w:hAnsi="Times New Roman" w:cs="Times New Roman"/>
          <w:sz w:val="24"/>
          <w:szCs w:val="24"/>
          <w:highlight w:val="white"/>
        </w:rPr>
        <w:t>pois se exclui, muitas vezes de maneira irreversível, a lógica que dirige o uso e manejo tradicional de recursos e ecossistemas (Hanazaki, Oliveira, 2025).</w:t>
      </w:r>
    </w:p>
    <w:p w:rsidR="00D46821" w:rsidRPr="00CF7737" w:rsidRDefault="00F1222F">
      <w:pPr>
        <w:widowControl/>
        <w:spacing w:line="360" w:lineRule="auto"/>
        <w:jc w:val="both"/>
        <w:rPr>
          <w:rFonts w:ascii="Times New Roman" w:hAnsi="Times New Roman" w:cs="Times New Roman" w:hint="eastAsia"/>
          <w:sz w:val="24"/>
          <w:szCs w:val="24"/>
          <w:highlight w:val="white"/>
        </w:rPr>
      </w:pPr>
      <w:r w:rsidRPr="00CF7737">
        <w:rPr>
          <w:rFonts w:ascii="Times New Roman" w:hAnsi="Times New Roman" w:cs="Times New Roman"/>
          <w:sz w:val="24"/>
          <w:szCs w:val="24"/>
          <w:highlight w:val="white"/>
        </w:rPr>
        <w:tab/>
        <w:t>Dessa forma, atualmente nos municípios do Maranhã</w:t>
      </w:r>
      <w:r w:rsidRPr="00CF7737">
        <w:rPr>
          <w:rFonts w:ascii="Times New Roman" w:hAnsi="Times New Roman" w:cs="Times New Roman"/>
          <w:sz w:val="24"/>
          <w:szCs w:val="24"/>
          <w:highlight w:val="white"/>
        </w:rPr>
        <w:t>o e Tocantins, existem 19 unidades de conservação, sendo 15 no Maranhão (IMESC, 2020) e 4 no Tocantins (ISA, 2015). Estes estão distribuídos entre parques, RESEX’s, REBIO’s e áreas de proteção integral (Tabela 1). Estas unidades são essenciais para a segur</w:t>
      </w:r>
      <w:r w:rsidRPr="00CF7737">
        <w:rPr>
          <w:rFonts w:ascii="Times New Roman" w:hAnsi="Times New Roman" w:cs="Times New Roman"/>
          <w:sz w:val="24"/>
          <w:szCs w:val="24"/>
          <w:highlight w:val="white"/>
        </w:rPr>
        <w:t xml:space="preserve">ança e perpetuação de espécies, além de ser uma alternativa de renda para moradores e local de ecoturismo para a população (Barros </w:t>
      </w:r>
      <w:r w:rsidRPr="00CF7737">
        <w:rPr>
          <w:rFonts w:ascii="Times New Roman" w:hAnsi="Times New Roman" w:cs="Times New Roman"/>
          <w:i/>
          <w:iCs/>
          <w:sz w:val="24"/>
          <w:szCs w:val="24"/>
          <w:highlight w:val="white"/>
        </w:rPr>
        <w:t>et al</w:t>
      </w:r>
      <w:r w:rsidRPr="00CF7737">
        <w:rPr>
          <w:rFonts w:ascii="Times New Roman" w:hAnsi="Times New Roman" w:cs="Times New Roman"/>
          <w:sz w:val="24"/>
          <w:szCs w:val="24"/>
          <w:highlight w:val="white"/>
        </w:rPr>
        <w:t>, 2023).</w:t>
      </w:r>
    </w:p>
    <w:p w:rsidR="00D46821" w:rsidRPr="00CF7737" w:rsidRDefault="00F1222F">
      <w:pPr>
        <w:widowControl/>
        <w:spacing w:before="240" w:after="24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CF7737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Tabela 1.</w:t>
      </w:r>
      <w:r w:rsidRPr="00CF7737">
        <w:rPr>
          <w:rFonts w:ascii="Times New Roman" w:hAnsi="Times New Roman" w:cs="Times New Roman"/>
          <w:sz w:val="24"/>
          <w:szCs w:val="24"/>
          <w:highlight w:val="white"/>
        </w:rPr>
        <w:t xml:space="preserve"> Tipos de unidades de conservação dos municípios do Maranhão e Tocantins</w:t>
      </w:r>
    </w:p>
    <w:sdt>
      <w:sdtPr>
        <w:tag w:val="goog_rdk_0"/>
        <w:id w:val="-284504454"/>
        <w:lock w:val="contentLocked"/>
      </w:sdtPr>
      <w:sdtEndPr/>
      <w:sdtContent>
        <w:tbl>
          <w:tblPr>
            <w:tblStyle w:val="Style29"/>
            <w:tblW w:w="907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4A0" w:firstRow="1" w:lastRow="0" w:firstColumn="1" w:lastColumn="0" w:noHBand="0" w:noVBand="1"/>
          </w:tblPr>
          <w:tblGrid>
            <w:gridCol w:w="2268"/>
            <w:gridCol w:w="2269"/>
            <w:gridCol w:w="2269"/>
            <w:gridCol w:w="2269"/>
          </w:tblGrid>
          <w:tr w:rsidR="00D46821">
            <w:tc>
              <w:tcPr>
                <w:tcW w:w="226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46821" w:rsidRDefault="00F1222F">
                <w:pPr>
                  <w:jc w:val="center"/>
                  <w:rPr>
                    <w:highlight w:val="white"/>
                  </w:rPr>
                </w:pPr>
                <w:r>
                  <w:rPr>
                    <w:highlight w:val="white"/>
                  </w:rPr>
                  <w:t>Proteção integral</w:t>
                </w:r>
              </w:p>
            </w:tc>
            <w:tc>
              <w:tcPr>
                <w:tcW w:w="226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46821" w:rsidRDefault="00F1222F">
                <w:pPr>
                  <w:jc w:val="center"/>
                  <w:rPr>
                    <w:highlight w:val="white"/>
                  </w:rPr>
                </w:pPr>
                <w:r>
                  <w:rPr>
                    <w:highlight w:val="white"/>
                  </w:rPr>
                  <w:t>Parques</w:t>
                </w:r>
              </w:p>
            </w:tc>
            <w:tc>
              <w:tcPr>
                <w:tcW w:w="226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46821" w:rsidRDefault="00F1222F">
                <w:pPr>
                  <w:jc w:val="center"/>
                  <w:rPr>
                    <w:highlight w:val="white"/>
                  </w:rPr>
                </w:pPr>
                <w:r>
                  <w:rPr>
                    <w:highlight w:val="white"/>
                  </w:rPr>
                  <w:t>RESEX’s</w:t>
                </w:r>
              </w:p>
            </w:tc>
            <w:tc>
              <w:tcPr>
                <w:tcW w:w="226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46821" w:rsidRDefault="00F1222F">
                <w:pPr>
                  <w:jc w:val="center"/>
                  <w:rPr>
                    <w:highlight w:val="white"/>
                  </w:rPr>
                </w:pPr>
                <w:r>
                  <w:rPr>
                    <w:highlight w:val="white"/>
                  </w:rPr>
                  <w:t>REBIO’S</w:t>
                </w:r>
              </w:p>
            </w:tc>
          </w:tr>
          <w:tr w:rsidR="00D46821">
            <w:tc>
              <w:tcPr>
                <w:tcW w:w="226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46821" w:rsidRDefault="00F1222F">
                <w:pPr>
                  <w:jc w:val="center"/>
                  <w:rPr>
                    <w:highlight w:val="white"/>
                  </w:rPr>
                </w:pPr>
                <w:r>
                  <w:rPr>
                    <w:highlight w:val="white"/>
                  </w:rPr>
                  <w:t>12</w:t>
                </w:r>
              </w:p>
            </w:tc>
            <w:tc>
              <w:tcPr>
                <w:tcW w:w="226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46821" w:rsidRDefault="00F1222F">
                <w:pPr>
                  <w:jc w:val="center"/>
                  <w:rPr>
                    <w:highlight w:val="white"/>
                  </w:rPr>
                </w:pPr>
                <w:r>
                  <w:rPr>
                    <w:highlight w:val="white"/>
                  </w:rPr>
                  <w:t>6</w:t>
                </w:r>
              </w:p>
            </w:tc>
            <w:tc>
              <w:tcPr>
                <w:tcW w:w="226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46821" w:rsidRDefault="00F1222F">
                <w:pPr>
                  <w:jc w:val="center"/>
                  <w:rPr>
                    <w:highlight w:val="white"/>
                  </w:rPr>
                </w:pPr>
                <w:r>
                  <w:rPr>
                    <w:highlight w:val="white"/>
                  </w:rPr>
                  <w:t>7</w:t>
                </w:r>
              </w:p>
            </w:tc>
            <w:tc>
              <w:tcPr>
                <w:tcW w:w="226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D46821" w:rsidRDefault="00F1222F">
                <w:pPr>
                  <w:jc w:val="center"/>
                  <w:rPr>
                    <w:highlight w:val="white"/>
                  </w:rPr>
                </w:pPr>
                <w:r>
                  <w:rPr>
                    <w:highlight w:val="white"/>
                  </w:rPr>
                  <w:t>1</w:t>
                </w:r>
              </w:p>
            </w:tc>
          </w:tr>
        </w:tbl>
      </w:sdtContent>
    </w:sdt>
    <w:p w:rsidR="00D46821" w:rsidRPr="00CF7737" w:rsidRDefault="00F1222F">
      <w:pPr>
        <w:widowControl/>
        <w:spacing w:before="240" w:after="240"/>
        <w:jc w:val="both"/>
        <w:rPr>
          <w:rFonts w:ascii="Times New Roman" w:hAnsi="Times New Roman" w:cs="Times New Roman"/>
          <w:highlight w:val="white"/>
        </w:rPr>
      </w:pPr>
      <w:r w:rsidRPr="00CF7737">
        <w:rPr>
          <w:rFonts w:ascii="Times New Roman" w:hAnsi="Times New Roman" w:cs="Times New Roman"/>
          <w:b/>
          <w:bCs/>
          <w:highlight w:val="white"/>
        </w:rPr>
        <w:t>Fonte:</w:t>
      </w:r>
      <w:r w:rsidRPr="00CF7737">
        <w:rPr>
          <w:rFonts w:ascii="Times New Roman" w:hAnsi="Times New Roman" w:cs="Times New Roman"/>
          <w:highlight w:val="white"/>
        </w:rPr>
        <w:t xml:space="preserve"> Autores (2025)</w:t>
      </w:r>
    </w:p>
    <w:p w:rsidR="00D46821" w:rsidRDefault="00F1222F">
      <w:pPr>
        <w:widowControl/>
        <w:spacing w:before="240" w:after="24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ab/>
      </w:r>
    </w:p>
    <w:p w:rsidR="00D46821" w:rsidRPr="00CF7737" w:rsidRDefault="00CF7737">
      <w:pPr>
        <w:widowControl/>
        <w:spacing w:after="200" w:line="360" w:lineRule="auto"/>
        <w:jc w:val="both"/>
        <w:rPr>
          <w:rFonts w:ascii="Times New Roman" w:hAnsi="Times New Roman" w:cs="Times New Roman" w:hint="eastAsia"/>
          <w:sz w:val="24"/>
          <w:szCs w:val="24"/>
          <w:lang w:eastAsia="zh-CN"/>
        </w:rPr>
      </w:pPr>
      <w:r w:rsidRPr="00CF7737">
        <w:rPr>
          <w:rFonts w:ascii="Times New Roman" w:hAnsi="Times New Roman" w:cs="Times New Roman"/>
          <w:sz w:val="24"/>
          <w:szCs w:val="24"/>
        </w:rPr>
        <w:lastRenderedPageBreak/>
        <w:t>3.2. ESPÉCIES AMEAÇADAS NO MARANHÃO</w:t>
      </w:r>
    </w:p>
    <w:p w:rsidR="00D46821" w:rsidRPr="00CF7737" w:rsidRDefault="00F1222F">
      <w:pPr>
        <w:widowControl/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tab/>
        <w:t xml:space="preserve">Atualmente, a portaria nº 82, de 2025, do Conselho Estadual de Meio Ambiente, estabelece que existem 184 espécies de animais do estado do Maranhão na categoria de </w:t>
      </w:r>
      <w:r w:rsidRPr="00CF7737">
        <w:rPr>
          <w:rFonts w:ascii="Times New Roman" w:hAnsi="Times New Roman" w:cs="Times New Roman"/>
          <w:sz w:val="24"/>
          <w:szCs w:val="24"/>
        </w:rPr>
        <w:t>risco em extinção, entre eles vertebrados e invertebrados (CONSEMA, 2025), muitos deles essenciais para a polinização e dispersão de espécies. Além disso, segundo a portaria nº 562, de 2021, do Ministério do Meio Ambiente, 51 espécies da flora maranhense e</w:t>
      </w:r>
      <w:r w:rsidRPr="00CF7737">
        <w:rPr>
          <w:rFonts w:ascii="Times New Roman" w:hAnsi="Times New Roman" w:cs="Times New Roman"/>
          <w:sz w:val="24"/>
          <w:szCs w:val="24"/>
        </w:rPr>
        <w:t>stão em risco de extinção ou vulnerabilidade.</w:t>
      </w:r>
    </w:p>
    <w:p w:rsidR="00D46821" w:rsidRPr="00CF7737" w:rsidRDefault="00F1222F">
      <w:pPr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tab/>
        <w:t>Ciente disso, surgem movimentos alternativos para buscar a preservação dessas espécies ameaçadas, como o Plano de Ação Territorial Meio Norte (PAT Meio Norte). Este projeto visa alavancar iniciativas para redu</w:t>
      </w:r>
      <w:r w:rsidRPr="00CF7737">
        <w:rPr>
          <w:rFonts w:ascii="Times New Roman" w:hAnsi="Times New Roman" w:cs="Times New Roman"/>
          <w:sz w:val="24"/>
          <w:szCs w:val="24"/>
        </w:rPr>
        <w:t>zir as ameaças à biodiversidade e melhorar o estado de conservação de pelo menos 290 espécies categorizadas como Criticamente em Perigo (CR) no território brasileiro (Plano de Ação Territorial Meio Norte, 2022).</w:t>
      </w:r>
    </w:p>
    <w:p w:rsidR="00D46821" w:rsidRPr="00CF7737" w:rsidRDefault="00CF7737">
      <w:pPr>
        <w:widowControl/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t>3.4 PRESERVAÇÃO DE ESPÉCIES AMEAÇADAS NO PARQUE ARARA AZUL</w:t>
      </w:r>
    </w:p>
    <w:p w:rsidR="00D46821" w:rsidRPr="00CF7737" w:rsidRDefault="00F1222F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t>O Parque Natural Municipal de Proteção Integração Arara Azul é uma área de 33 hectares localizada aos arredores do bairro Itamar Guará no município de Imperatriz-MA (“Prefeitura destaca importância do Parque Natural Municipal de Proteção Integral Arara Azu</w:t>
      </w:r>
      <w:r w:rsidRPr="00CF7737">
        <w:rPr>
          <w:rFonts w:ascii="Times New Roman" w:hAnsi="Times New Roman" w:cs="Times New Roman"/>
          <w:sz w:val="24"/>
          <w:szCs w:val="24"/>
        </w:rPr>
        <w:t xml:space="preserve">l”, 2024). Este local é de extrema importância ecológica, servindo de abrigo para a fauna, reprodução de animais e espécies vegetais, principalmente as que se encontram em estado de vulnerabilidade ou próximo a extinção, como o </w:t>
      </w:r>
      <w:r w:rsidRPr="00CF7737">
        <w:rPr>
          <w:rFonts w:ascii="Times New Roman" w:hAnsi="Times New Roman" w:cs="Times New Roman"/>
          <w:i/>
          <w:iCs/>
          <w:sz w:val="24"/>
          <w:szCs w:val="24"/>
        </w:rPr>
        <w:t>Erythroxylum ayrtonianum</w:t>
      </w:r>
      <w:r w:rsidRPr="00CF7737">
        <w:rPr>
          <w:rFonts w:ascii="Times New Roman" w:hAnsi="Times New Roman" w:cs="Times New Roman"/>
          <w:sz w:val="24"/>
          <w:szCs w:val="24"/>
        </w:rPr>
        <w:t xml:space="preserve">, </w:t>
      </w:r>
      <w:r w:rsidRPr="00CF7737">
        <w:rPr>
          <w:rFonts w:ascii="Times New Roman" w:hAnsi="Times New Roman" w:cs="Times New Roman"/>
          <w:i/>
          <w:iCs/>
          <w:sz w:val="24"/>
          <w:szCs w:val="24"/>
        </w:rPr>
        <w:t>Ce</w:t>
      </w:r>
      <w:r w:rsidRPr="00CF7737">
        <w:rPr>
          <w:rFonts w:ascii="Times New Roman" w:hAnsi="Times New Roman" w:cs="Times New Roman"/>
          <w:i/>
          <w:iCs/>
          <w:sz w:val="24"/>
          <w:szCs w:val="24"/>
        </w:rPr>
        <w:t xml:space="preserve">drela fissilis </w:t>
      </w:r>
      <w:r w:rsidRPr="00CF7737">
        <w:rPr>
          <w:rFonts w:ascii="Times New Roman" w:hAnsi="Times New Roman" w:cs="Times New Roman"/>
          <w:sz w:val="24"/>
          <w:szCs w:val="24"/>
        </w:rPr>
        <w:t xml:space="preserve">Vell., </w:t>
      </w:r>
      <w:r w:rsidRPr="00CF7737">
        <w:rPr>
          <w:rFonts w:ascii="Times New Roman" w:hAnsi="Times New Roman" w:cs="Times New Roman"/>
          <w:i/>
          <w:iCs/>
          <w:sz w:val="24"/>
          <w:szCs w:val="24"/>
        </w:rPr>
        <w:t>Peltogyne maranhensis</w:t>
      </w:r>
      <w:r w:rsidRPr="00CF7737">
        <w:rPr>
          <w:rFonts w:ascii="Times New Roman" w:hAnsi="Times New Roman" w:cs="Times New Roman"/>
          <w:sz w:val="24"/>
          <w:szCs w:val="24"/>
        </w:rPr>
        <w:t xml:space="preserve"> Huber ex Ducke., </w:t>
      </w:r>
      <w:r w:rsidRPr="00CF7737">
        <w:rPr>
          <w:rFonts w:ascii="Times New Roman" w:hAnsi="Times New Roman" w:cs="Times New Roman"/>
          <w:i/>
          <w:iCs/>
          <w:sz w:val="24"/>
          <w:szCs w:val="24"/>
        </w:rPr>
        <w:t>Dipteryx odorata</w:t>
      </w:r>
      <w:r w:rsidRPr="00CF7737">
        <w:rPr>
          <w:rFonts w:ascii="Times New Roman" w:hAnsi="Times New Roman" w:cs="Times New Roman"/>
          <w:sz w:val="24"/>
          <w:szCs w:val="24"/>
        </w:rPr>
        <w:t xml:space="preserve"> (Aubl.) Forsyth f., </w:t>
      </w:r>
      <w:r w:rsidRPr="00CF7737">
        <w:rPr>
          <w:rFonts w:ascii="Times New Roman" w:hAnsi="Times New Roman" w:cs="Times New Roman"/>
          <w:i/>
          <w:iCs/>
          <w:sz w:val="24"/>
          <w:szCs w:val="24"/>
        </w:rPr>
        <w:t>Swietenia macrophylla</w:t>
      </w:r>
      <w:r w:rsidRPr="00CF7737">
        <w:rPr>
          <w:rFonts w:ascii="Times New Roman" w:hAnsi="Times New Roman" w:cs="Times New Roman"/>
          <w:sz w:val="24"/>
          <w:szCs w:val="24"/>
        </w:rPr>
        <w:t xml:space="preserve"> King., entre outros.</w:t>
      </w:r>
    </w:p>
    <w:p w:rsidR="00D46821" w:rsidRPr="00CF7737" w:rsidRDefault="00F1222F" w:rsidP="00CF7737">
      <w:pPr>
        <w:widowControl/>
        <w:spacing w:line="360" w:lineRule="auto"/>
        <w:ind w:firstLine="720"/>
        <w:jc w:val="both"/>
        <w:rPr>
          <w:rFonts w:ascii="Times New Roman" w:hAnsi="Times New Roman" w:cs="Times New Roman" w:hint="eastAsia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t>Portanto, este Parque é uma alternativa de preservação de espécies, com isso, seria uma forma de inserir as espécie</w:t>
      </w:r>
      <w:r w:rsidRPr="00CF7737">
        <w:rPr>
          <w:rFonts w:ascii="Times New Roman" w:hAnsi="Times New Roman" w:cs="Times New Roman"/>
          <w:sz w:val="24"/>
          <w:szCs w:val="24"/>
        </w:rPr>
        <w:t xml:space="preserve">s arbóreas ameaçadas maranhenses </w:t>
      </w:r>
      <w:r w:rsidRPr="00CF7737">
        <w:rPr>
          <w:rFonts w:ascii="Times New Roman" w:hAnsi="Times New Roman" w:cs="Times New Roman"/>
          <w:i/>
          <w:iCs/>
          <w:sz w:val="24"/>
          <w:szCs w:val="24"/>
        </w:rPr>
        <w:t xml:space="preserve">in situ </w:t>
      </w:r>
      <w:r w:rsidRPr="00CF7737">
        <w:rPr>
          <w:rFonts w:ascii="Times New Roman" w:hAnsi="Times New Roman" w:cs="Times New Roman"/>
          <w:sz w:val="24"/>
          <w:szCs w:val="24"/>
        </w:rPr>
        <w:t xml:space="preserve">e pela garantia de reprodução e valorização genética, transformar seus propágulos em unidades </w:t>
      </w:r>
      <w:r w:rsidRPr="00CF7737">
        <w:rPr>
          <w:rFonts w:ascii="Times New Roman" w:hAnsi="Times New Roman" w:cs="Times New Roman"/>
          <w:i/>
          <w:iCs/>
          <w:sz w:val="24"/>
          <w:szCs w:val="24"/>
        </w:rPr>
        <w:t>ex situ</w:t>
      </w:r>
      <w:r w:rsidRPr="00CF7737">
        <w:rPr>
          <w:rFonts w:ascii="Times New Roman" w:hAnsi="Times New Roman" w:cs="Times New Roman"/>
          <w:sz w:val="24"/>
          <w:szCs w:val="24"/>
        </w:rPr>
        <w:t>, conforme a portaria nº 82, de 2025, do Conselho Estadual de Meio Ambiente, no local, servindo de refúgio biológi</w:t>
      </w:r>
      <w:r w:rsidRPr="00CF7737">
        <w:rPr>
          <w:rFonts w:ascii="Times New Roman" w:hAnsi="Times New Roman" w:cs="Times New Roman"/>
          <w:sz w:val="24"/>
          <w:szCs w:val="24"/>
        </w:rPr>
        <w:t>co. Fato este que pela promoção da lei SNUC, o parque necessita de um plano de manejo adequado, para que pesquisas científicas, preservação de espécies e demais atividades possam ser realizadas.</w:t>
      </w:r>
    </w:p>
    <w:p w:rsidR="00D46821" w:rsidRPr="00CF7737" w:rsidRDefault="00F1222F">
      <w:pPr>
        <w:widowControl/>
        <w:tabs>
          <w:tab w:val="left" w:pos="1290"/>
        </w:tabs>
        <w:spacing w:after="160" w:line="259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F773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4. CONCLUSÃO </w:t>
      </w:r>
    </w:p>
    <w:p w:rsidR="00D46821" w:rsidRPr="00CF7737" w:rsidRDefault="00F1222F">
      <w:pPr>
        <w:widowControl/>
        <w:tabs>
          <w:tab w:val="left" w:pos="1290"/>
        </w:tabs>
        <w:spacing w:after="16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t>Desse modo, é evidente que as unidades de cons</w:t>
      </w:r>
      <w:r w:rsidRPr="00CF7737">
        <w:rPr>
          <w:rFonts w:ascii="Times New Roman" w:hAnsi="Times New Roman" w:cs="Times New Roman"/>
          <w:sz w:val="24"/>
          <w:szCs w:val="24"/>
        </w:rPr>
        <w:t>ervação são essenciais para a garantia da biodiversidade, além de promover a economia local por meio do extrativismo legal ou ecoturismo. Além disso, é essencial a promoção do Parque Municipal de Proteção Integral Arara Azul à o status de unidade de conser</w:t>
      </w:r>
      <w:r w:rsidRPr="00CF7737">
        <w:rPr>
          <w:rFonts w:ascii="Times New Roman" w:hAnsi="Times New Roman" w:cs="Times New Roman"/>
          <w:sz w:val="24"/>
          <w:szCs w:val="24"/>
        </w:rPr>
        <w:t>vação.</w:t>
      </w:r>
    </w:p>
    <w:p w:rsidR="00D46821" w:rsidRDefault="00D46821">
      <w:pPr>
        <w:widowControl/>
        <w:tabs>
          <w:tab w:val="left" w:pos="1290"/>
        </w:tabs>
        <w:spacing w:after="160" w:line="360" w:lineRule="auto"/>
        <w:ind w:firstLine="709"/>
        <w:jc w:val="both"/>
        <w:rPr>
          <w:sz w:val="24"/>
          <w:szCs w:val="24"/>
        </w:rPr>
      </w:pPr>
    </w:p>
    <w:p w:rsidR="00D46821" w:rsidRPr="00CF7737" w:rsidRDefault="00F1222F" w:rsidP="00CF7737">
      <w:pPr>
        <w:widowControl/>
        <w:tabs>
          <w:tab w:val="left" w:pos="129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CF7737">
        <w:rPr>
          <w:rFonts w:ascii="Times New Roman" w:hAnsi="Times New Roman" w:cs="Times New Roman"/>
          <w:b/>
          <w:bCs/>
          <w:sz w:val="24"/>
          <w:szCs w:val="24"/>
        </w:rPr>
        <w:t xml:space="preserve">REFERÊNCIAS </w:t>
      </w:r>
    </w:p>
    <w:p w:rsidR="00D46821" w:rsidRDefault="00F1222F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t xml:space="preserve">ALMEIDA, M. W. B. de; ALLEGRETTI, M. H.; POSTIGO, A. O legado de Chico Mendes: êxitos e entraves das Reservas Extrativistas. </w:t>
      </w:r>
      <w:r w:rsidRPr="00CF7737">
        <w:rPr>
          <w:rFonts w:ascii="Times New Roman" w:hAnsi="Times New Roman" w:cs="Times New Roman"/>
          <w:b/>
          <w:bCs/>
          <w:sz w:val="24"/>
          <w:szCs w:val="24"/>
        </w:rPr>
        <w:t>Desenvolvimento e Meio Ambiente</w:t>
      </w:r>
      <w:r w:rsidRPr="00CF7737">
        <w:rPr>
          <w:rFonts w:ascii="Times New Roman" w:hAnsi="Times New Roman" w:cs="Times New Roman"/>
          <w:sz w:val="24"/>
          <w:szCs w:val="24"/>
        </w:rPr>
        <w:t xml:space="preserve">, Curitiba, v. 48, p. 60-77, 2018. Disponível em: </w:t>
      </w:r>
      <w:r w:rsidRPr="00CF7737">
        <w:rPr>
          <w:rFonts w:ascii="Times New Roman" w:hAnsi="Times New Roman" w:cs="Times New Roman"/>
          <w:sz w:val="24"/>
          <w:szCs w:val="24"/>
        </w:rPr>
        <w:t>https://revistas.ufpr.br/made/article/view/60499. Acesso em: 27 de novembro de 2025.</w:t>
      </w:r>
    </w:p>
    <w:p w:rsidR="00CF7737" w:rsidRPr="00CF7737" w:rsidRDefault="00CF7737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:rsidR="00D46821" w:rsidRDefault="00F1222F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t xml:space="preserve">BARROS, J. R. et al.. PARQUE NACIONAL DA SERRA DA CAPIVARA/PI E A PRÁXIS DA ATIVIDADE ECOTURÍSTICA. </w:t>
      </w:r>
      <w:r w:rsidRPr="00CF7737">
        <w:rPr>
          <w:rFonts w:ascii="Times New Roman" w:hAnsi="Times New Roman" w:cs="Times New Roman"/>
          <w:b/>
          <w:bCs/>
          <w:sz w:val="24"/>
          <w:szCs w:val="24"/>
        </w:rPr>
        <w:t>Mercator (Fortaleza)</w:t>
      </w:r>
      <w:r w:rsidRPr="00CF7737">
        <w:rPr>
          <w:rFonts w:ascii="Times New Roman" w:hAnsi="Times New Roman" w:cs="Times New Roman"/>
          <w:sz w:val="24"/>
          <w:szCs w:val="24"/>
        </w:rPr>
        <w:t>, v. 22, p. e22029, 2023.</w:t>
      </w:r>
    </w:p>
    <w:p w:rsidR="00CF7737" w:rsidRPr="00CF7737" w:rsidRDefault="00CF7737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:rsidR="00D46821" w:rsidRDefault="00F1222F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t>BRASIL. Conselho Estadual</w:t>
      </w:r>
      <w:r w:rsidRPr="00CF7737">
        <w:rPr>
          <w:rFonts w:ascii="Times New Roman" w:hAnsi="Times New Roman" w:cs="Times New Roman"/>
          <w:sz w:val="24"/>
          <w:szCs w:val="24"/>
        </w:rPr>
        <w:t xml:space="preserve"> de Meio Ambiente do Maranhão (CONSEMA-MA). </w:t>
      </w:r>
      <w:r w:rsidRPr="00CF7737">
        <w:rPr>
          <w:rFonts w:ascii="Times New Roman" w:hAnsi="Times New Roman" w:cs="Times New Roman"/>
          <w:b/>
          <w:bCs/>
          <w:sz w:val="24"/>
          <w:szCs w:val="24"/>
        </w:rPr>
        <w:t>Resolução CONSEMA nº 082, de 05 de maio de 2025.</w:t>
      </w:r>
      <w:r w:rsidRPr="00CF7737">
        <w:rPr>
          <w:rFonts w:ascii="Times New Roman" w:hAnsi="Times New Roman" w:cs="Times New Roman"/>
          <w:sz w:val="24"/>
          <w:szCs w:val="24"/>
        </w:rPr>
        <w:t xml:space="preserve"> Reconhece a Lista Estadual Oficial de Espécies da Fauna de vertebrados ameaçados de Extinção do Maranhão, e dá outras providências. 2025. Disponível em: https://ww</w:t>
      </w:r>
      <w:r w:rsidRPr="00CF7737">
        <w:rPr>
          <w:rFonts w:ascii="Times New Roman" w:hAnsi="Times New Roman" w:cs="Times New Roman"/>
          <w:sz w:val="24"/>
          <w:szCs w:val="24"/>
        </w:rPr>
        <w:t>w.sema.ma.gov.br/uploads/sema/docs/Resolu%C3%A7%C3%A3o_Consema_n_82-2025_-_lista_vermelha_MA_05mai2025.pdf\. Acesso em: 27 nov. 2025</w:t>
      </w:r>
    </w:p>
    <w:p w:rsidR="00CF7737" w:rsidRPr="00CF7737" w:rsidRDefault="00CF7737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:rsidR="00D46821" w:rsidRDefault="00F1222F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t xml:space="preserve">BRASIL. Decreto n. 4.340, de 22 de agosto de 2002. </w:t>
      </w:r>
      <w:r w:rsidRPr="00CF7737">
        <w:rPr>
          <w:rFonts w:ascii="Times New Roman" w:hAnsi="Times New Roman" w:cs="Times New Roman"/>
          <w:b/>
          <w:bCs/>
          <w:sz w:val="24"/>
          <w:szCs w:val="24"/>
        </w:rPr>
        <w:t>Regulamenta artigos da Lei n. 9.985, de 18 de julho de 2000</w:t>
      </w:r>
      <w:r w:rsidRPr="00CF7737">
        <w:rPr>
          <w:rFonts w:ascii="Times New Roman" w:hAnsi="Times New Roman" w:cs="Times New Roman"/>
          <w:sz w:val="24"/>
          <w:szCs w:val="24"/>
        </w:rPr>
        <w:t>. Brasília, D</w:t>
      </w:r>
      <w:r w:rsidRPr="00CF7737">
        <w:rPr>
          <w:rFonts w:ascii="Times New Roman" w:hAnsi="Times New Roman" w:cs="Times New Roman"/>
          <w:sz w:val="24"/>
          <w:szCs w:val="24"/>
        </w:rPr>
        <w:t>F: Presidência da República, 2002. Disponível em: https://www2.camara.leg.br/legin/fed/decret/2002/decreto-4340-22-agosto-2002-451270-norma-pe.html. Acesso em: 20 nov. 2025.</w:t>
      </w:r>
    </w:p>
    <w:p w:rsidR="00CF7737" w:rsidRPr="00CF7737" w:rsidRDefault="00CF7737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:rsidR="00D46821" w:rsidRDefault="00F1222F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t xml:space="preserve">BRASIL. Lei n. 9.985, de 18 de julho de 2000. </w:t>
      </w:r>
      <w:r w:rsidRPr="00CF7737">
        <w:rPr>
          <w:rFonts w:ascii="Times New Roman" w:hAnsi="Times New Roman" w:cs="Times New Roman"/>
          <w:b/>
          <w:bCs/>
          <w:sz w:val="24"/>
          <w:szCs w:val="24"/>
        </w:rPr>
        <w:t>Institui o Sistema Nacional de Unida</w:t>
      </w:r>
      <w:r w:rsidRPr="00CF7737">
        <w:rPr>
          <w:rFonts w:ascii="Times New Roman" w:hAnsi="Times New Roman" w:cs="Times New Roman"/>
          <w:b/>
          <w:bCs/>
          <w:sz w:val="24"/>
          <w:szCs w:val="24"/>
        </w:rPr>
        <w:t>des de Conservação da Natureza</w:t>
      </w:r>
      <w:r w:rsidRPr="00CF7737">
        <w:rPr>
          <w:rFonts w:ascii="Times New Roman" w:hAnsi="Times New Roman" w:cs="Times New Roman"/>
          <w:sz w:val="24"/>
          <w:szCs w:val="24"/>
        </w:rPr>
        <w:t>. Brasília, DF, 2000. Disponível em: https://www.planalto.gov.br/ccivil_03/leis/l9985.htm. Acesso em: 20 nov. 2025.</w:t>
      </w:r>
    </w:p>
    <w:p w:rsidR="00CF7737" w:rsidRPr="00CF7737" w:rsidRDefault="00CF7737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:rsidR="00D46821" w:rsidRDefault="00F1222F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t xml:space="preserve">BRASIL. Ministério do Meio Ambiente (MMA). </w:t>
      </w:r>
      <w:r w:rsidRPr="00CF7737">
        <w:rPr>
          <w:rFonts w:ascii="Times New Roman" w:hAnsi="Times New Roman" w:cs="Times New Roman"/>
          <w:b/>
          <w:bCs/>
          <w:sz w:val="24"/>
          <w:szCs w:val="24"/>
        </w:rPr>
        <w:t>Portaria MMA nº 561, de 15 de dezembro de 2021</w:t>
      </w:r>
      <w:r w:rsidRPr="00CF7737">
        <w:rPr>
          <w:rFonts w:ascii="Times New Roman" w:hAnsi="Times New Roman" w:cs="Times New Roman"/>
          <w:sz w:val="24"/>
          <w:szCs w:val="24"/>
        </w:rPr>
        <w:t>. Institui a lista de</w:t>
      </w:r>
      <w:r w:rsidRPr="00CF7737">
        <w:rPr>
          <w:rFonts w:ascii="Times New Roman" w:hAnsi="Times New Roman" w:cs="Times New Roman"/>
          <w:sz w:val="24"/>
          <w:szCs w:val="24"/>
        </w:rPr>
        <w:t xml:space="preserve"> espécies nativas ameaçadas de extinção como incentivo ao uso em métodos de recomposição de vegetação nativa em áreas degradadas ou alteradas. Diário Oficial da União: seção 1, Brasília, DF, 16 dez. 2021. Disponível em: https://www.in.gov.br/en/web/dou/-/p</w:t>
      </w:r>
      <w:r w:rsidRPr="00CF7737">
        <w:rPr>
          <w:rFonts w:ascii="Times New Roman" w:hAnsi="Times New Roman" w:cs="Times New Roman"/>
          <w:sz w:val="24"/>
          <w:szCs w:val="24"/>
        </w:rPr>
        <w:t>ortaria-mma-n-561-de-15-de-dezembro-de-2021-367747322 Acesso em: 27 nov. 2025</w:t>
      </w:r>
    </w:p>
    <w:p w:rsidR="00CF7737" w:rsidRPr="00CF7737" w:rsidRDefault="00CF7737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:rsidR="00D46821" w:rsidRDefault="00F1222F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t>CUNHA, L. H. O</w:t>
      </w:r>
      <w:r w:rsidRPr="00CF7737">
        <w:rPr>
          <w:rFonts w:ascii="Times New Roman" w:hAnsi="Times New Roman" w:cs="Times New Roman"/>
          <w:b/>
          <w:bCs/>
          <w:sz w:val="24"/>
          <w:szCs w:val="24"/>
        </w:rPr>
        <w:t>. Reservas Extrativistas: uma alternativa de produção e conservação da biodiversidade.</w:t>
      </w:r>
      <w:r w:rsidRPr="00CF7737">
        <w:rPr>
          <w:rFonts w:ascii="Times New Roman" w:hAnsi="Times New Roman" w:cs="Times New Roman"/>
          <w:sz w:val="24"/>
          <w:szCs w:val="24"/>
        </w:rPr>
        <w:t xml:space="preserve"> São Paulo: NUPAUB/USP, 2001.CUNHA, L. H. O. Reservas Extrativistas: </w:t>
      </w:r>
      <w:r w:rsidRPr="00CF7737">
        <w:rPr>
          <w:rFonts w:ascii="Times New Roman" w:hAnsi="Times New Roman" w:cs="Times New Roman"/>
          <w:sz w:val="24"/>
          <w:szCs w:val="24"/>
        </w:rPr>
        <w:lastRenderedPageBreak/>
        <w:t>uma alter</w:t>
      </w:r>
      <w:r w:rsidRPr="00CF7737">
        <w:rPr>
          <w:rFonts w:ascii="Times New Roman" w:hAnsi="Times New Roman" w:cs="Times New Roman"/>
          <w:sz w:val="24"/>
          <w:szCs w:val="24"/>
        </w:rPr>
        <w:t>nativa de produção e conservação da biodiversidade. São Paulo: NUPAUB/USP, 2001.</w:t>
      </w:r>
    </w:p>
    <w:p w:rsidR="00CF7737" w:rsidRPr="00CF7737" w:rsidRDefault="00CF7737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:rsidR="00D46821" w:rsidRDefault="00F1222F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t xml:space="preserve">HANAZAKI, N.; OLIVEIRA, F. C.. Etnobotânica na Ilha do Cardoso, Cananéia, Estado de São Paulo, Brasil. </w:t>
      </w:r>
      <w:r w:rsidRPr="00CF7737">
        <w:rPr>
          <w:rFonts w:ascii="Times New Roman" w:hAnsi="Times New Roman" w:cs="Times New Roman"/>
          <w:b/>
          <w:bCs/>
          <w:sz w:val="24"/>
          <w:szCs w:val="24"/>
        </w:rPr>
        <w:t>Hoehnea</w:t>
      </w:r>
      <w:r w:rsidRPr="00CF7737">
        <w:rPr>
          <w:rFonts w:ascii="Times New Roman" w:hAnsi="Times New Roman" w:cs="Times New Roman"/>
          <w:sz w:val="24"/>
          <w:szCs w:val="24"/>
        </w:rPr>
        <w:t>, v. 52, p. e382024, 2025.</w:t>
      </w:r>
    </w:p>
    <w:p w:rsidR="00CF7737" w:rsidRPr="00CF7737" w:rsidRDefault="00CF7737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:rsidR="00D46821" w:rsidRDefault="00F1222F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t>IDEFLOR-BIO; NATURATINS; SEMA-MA; FUNB</w:t>
      </w:r>
      <w:r w:rsidRPr="00CF7737">
        <w:rPr>
          <w:rFonts w:ascii="Times New Roman" w:hAnsi="Times New Roman" w:cs="Times New Roman"/>
          <w:sz w:val="24"/>
          <w:szCs w:val="24"/>
        </w:rPr>
        <w:t xml:space="preserve">IO; WWF-BRASIL. </w:t>
      </w:r>
      <w:r w:rsidRPr="00CF7737">
        <w:rPr>
          <w:rFonts w:ascii="Times New Roman" w:hAnsi="Times New Roman" w:cs="Times New Roman"/>
          <w:b/>
          <w:bCs/>
          <w:sz w:val="24"/>
          <w:szCs w:val="24"/>
        </w:rPr>
        <w:t>Plano de Ação Territorial para a Conservação de Espécies Ameaçadas de Extinção do Território Meio Norte: sumário executivo</w:t>
      </w:r>
      <w:r w:rsidRPr="00CF7737">
        <w:rPr>
          <w:rFonts w:ascii="Times New Roman" w:hAnsi="Times New Roman" w:cs="Times New Roman"/>
          <w:sz w:val="24"/>
          <w:szCs w:val="24"/>
        </w:rPr>
        <w:t>. Belém; Palmas; São Luís: IDEFLOR-Bio; Naturatins; SEMA-MA, 2022.</w:t>
      </w:r>
    </w:p>
    <w:p w:rsidR="00CF7737" w:rsidRPr="00CF7737" w:rsidRDefault="00CF7737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:rsidR="00D46821" w:rsidRDefault="00F1222F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t xml:space="preserve">IMESC. </w:t>
      </w:r>
      <w:r w:rsidRPr="00CF7737">
        <w:rPr>
          <w:rFonts w:ascii="Times New Roman" w:hAnsi="Times New Roman" w:cs="Times New Roman"/>
          <w:b/>
          <w:bCs/>
          <w:sz w:val="24"/>
          <w:szCs w:val="24"/>
        </w:rPr>
        <w:t>Catálogo das Unidades de Conservação Maranhe</w:t>
      </w:r>
      <w:r w:rsidRPr="00CF7737">
        <w:rPr>
          <w:rFonts w:ascii="Times New Roman" w:hAnsi="Times New Roman" w:cs="Times New Roman"/>
          <w:b/>
          <w:bCs/>
          <w:sz w:val="24"/>
          <w:szCs w:val="24"/>
        </w:rPr>
        <w:t>nses</w:t>
      </w:r>
      <w:r w:rsidRPr="00CF7737">
        <w:rPr>
          <w:rFonts w:ascii="Times New Roman" w:hAnsi="Times New Roman" w:cs="Times New Roman"/>
          <w:sz w:val="24"/>
          <w:szCs w:val="24"/>
        </w:rPr>
        <w:t>. São Luís: IMESC, 2020. ISBN 978 65 87226 01 9. Disponível em: https://even3.blob.core.windows.net/even3publicacoes-assets/book/518182. Acesso em: 27 nov. 2025.</w:t>
      </w:r>
    </w:p>
    <w:p w:rsidR="00CF7737" w:rsidRPr="00CF7737" w:rsidRDefault="00CF7737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:rsidR="00D46821" w:rsidRDefault="00F1222F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t xml:space="preserve">INSTITUTO SOCIOAMBIENTAL — ISA. </w:t>
      </w:r>
      <w:r w:rsidRPr="00CF7737">
        <w:rPr>
          <w:rFonts w:ascii="Times New Roman" w:hAnsi="Times New Roman" w:cs="Times New Roman"/>
          <w:b/>
          <w:bCs/>
          <w:sz w:val="24"/>
          <w:szCs w:val="24"/>
        </w:rPr>
        <w:t>Unidades de Conservação do Tocantins preservam mais de 240</w:t>
      </w:r>
      <w:r w:rsidRPr="00CF7737">
        <w:rPr>
          <w:rFonts w:ascii="Times New Roman" w:hAnsi="Times New Roman" w:cs="Times New Roman"/>
          <w:b/>
          <w:bCs/>
          <w:sz w:val="24"/>
          <w:szCs w:val="24"/>
        </w:rPr>
        <w:t xml:space="preserve"> mil hectares e garantem sustentabilidade</w:t>
      </w:r>
      <w:r w:rsidRPr="00CF7737">
        <w:rPr>
          <w:rFonts w:ascii="Times New Roman" w:hAnsi="Times New Roman" w:cs="Times New Roman"/>
          <w:sz w:val="24"/>
          <w:szCs w:val="24"/>
        </w:rPr>
        <w:t>. Unidades de Conservação no Brasil, 2025. Disponível em: https://uc.socioambiental.org/noticia/150517. Acesso em: 27 nov. 2025.</w:t>
      </w:r>
    </w:p>
    <w:p w:rsidR="00CF7737" w:rsidRPr="00CF7737" w:rsidRDefault="00CF7737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:rsidR="00D46821" w:rsidRDefault="00F1222F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t>MAIA, A. G.; ROMEIRO, A. R.; REYDON, B. P. Valoração de recursos ambientais – metodolo</w:t>
      </w:r>
      <w:r w:rsidRPr="00CF7737">
        <w:rPr>
          <w:rFonts w:ascii="Times New Roman" w:hAnsi="Times New Roman" w:cs="Times New Roman"/>
          <w:sz w:val="24"/>
          <w:szCs w:val="24"/>
        </w:rPr>
        <w:t xml:space="preserve">gias e recomendações. </w:t>
      </w:r>
      <w:r w:rsidRPr="00CF7737">
        <w:rPr>
          <w:rFonts w:ascii="Times New Roman" w:hAnsi="Times New Roman" w:cs="Times New Roman"/>
          <w:b/>
          <w:bCs/>
          <w:sz w:val="24"/>
          <w:szCs w:val="24"/>
        </w:rPr>
        <w:t>Texto para Discussão</w:t>
      </w:r>
      <w:r w:rsidRPr="00CF7737">
        <w:rPr>
          <w:rFonts w:ascii="Times New Roman" w:hAnsi="Times New Roman" w:cs="Times New Roman"/>
          <w:sz w:val="24"/>
          <w:szCs w:val="24"/>
        </w:rPr>
        <w:t>, IE/UNICAMP, Campinas, n. 116, mar. 2004. Disponível em: https://www.uvm.edu/~jfarley/UFSC%20AE%20PES/literature/artigos_psa_portugues_espanhol_2/metodologia_valoracao_recursos_ambientais.pdf. Acesso  em: 27 de no</w:t>
      </w:r>
      <w:r w:rsidRPr="00CF7737">
        <w:rPr>
          <w:rFonts w:ascii="Times New Roman" w:hAnsi="Times New Roman" w:cs="Times New Roman"/>
          <w:sz w:val="24"/>
          <w:szCs w:val="24"/>
        </w:rPr>
        <w:t>vembro de 2025.</w:t>
      </w:r>
    </w:p>
    <w:p w:rsidR="00CF7737" w:rsidRPr="00CF7737" w:rsidRDefault="00CF7737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:rsidR="00D46821" w:rsidRDefault="00F1222F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t xml:space="preserve">MARINHO, L. C. et al. </w:t>
      </w:r>
      <w:r w:rsidRPr="00CF7737">
        <w:rPr>
          <w:rFonts w:ascii="Times New Roman" w:hAnsi="Times New Roman" w:cs="Times New Roman"/>
          <w:b/>
          <w:bCs/>
          <w:sz w:val="24"/>
          <w:szCs w:val="24"/>
        </w:rPr>
        <w:t>Expedição Flora do PAT Meio Norte: em busca das espécies ameaçadas Erythroxylum ayrtonianum (Erythroxylaceae) e Rinorea villosiflora (Violaceae)</w:t>
      </w:r>
      <w:r w:rsidRPr="00CF7737">
        <w:rPr>
          <w:rFonts w:ascii="Times New Roman" w:hAnsi="Times New Roman" w:cs="Times New Roman"/>
          <w:sz w:val="24"/>
          <w:szCs w:val="24"/>
        </w:rPr>
        <w:t>. Botânica Pública, 2023.</w:t>
      </w:r>
    </w:p>
    <w:p w:rsidR="00CF7737" w:rsidRPr="00CF7737" w:rsidRDefault="00CF7737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:rsidR="00D46821" w:rsidRDefault="00F1222F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t>MENEZES, D. S.; SIENA, O.; RODRÍGUEZ, T. D. M. A</w:t>
      </w:r>
      <w:r w:rsidRPr="00CF7737">
        <w:rPr>
          <w:rFonts w:ascii="Times New Roman" w:hAnsi="Times New Roman" w:cs="Times New Roman"/>
          <w:sz w:val="24"/>
          <w:szCs w:val="24"/>
        </w:rPr>
        <w:t xml:space="preserve">mbientalismo e concepções de RESEX, extrativismo e conhecimento no ICMBIO na Amazônia Legal. </w:t>
      </w:r>
      <w:r w:rsidRPr="00CF7737">
        <w:rPr>
          <w:rFonts w:ascii="Times New Roman" w:hAnsi="Times New Roman" w:cs="Times New Roman"/>
          <w:b/>
          <w:bCs/>
          <w:sz w:val="24"/>
          <w:szCs w:val="24"/>
        </w:rPr>
        <w:t>REAd. Revista Eletrônica de Administração,</w:t>
      </w:r>
      <w:r w:rsidRPr="00CF7737">
        <w:rPr>
          <w:rFonts w:ascii="Times New Roman" w:hAnsi="Times New Roman" w:cs="Times New Roman"/>
          <w:sz w:val="24"/>
          <w:szCs w:val="24"/>
        </w:rPr>
        <w:t xml:space="preserve"> Porto Alegre, v. 17, n. 3, p. 577-604, 2011. Disponível em: https://www.scielo.br/j/read/a/msrnKPWZdr4Bw8LbZP8j46G/abstr</w:t>
      </w:r>
      <w:r w:rsidRPr="00CF7737">
        <w:rPr>
          <w:rFonts w:ascii="Times New Roman" w:hAnsi="Times New Roman" w:cs="Times New Roman"/>
          <w:sz w:val="24"/>
          <w:szCs w:val="24"/>
        </w:rPr>
        <w:t>act/?lang=pt. Acesso em: 27 de novembro de 2025.</w:t>
      </w:r>
    </w:p>
    <w:p w:rsidR="00CF7737" w:rsidRPr="00CF7737" w:rsidRDefault="00CF7737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:rsidR="00D46821" w:rsidRDefault="00F1222F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t xml:space="preserve">MOTA, F. A. G. S. S. et al. </w:t>
      </w:r>
      <w:r w:rsidRPr="00CF7737">
        <w:rPr>
          <w:rFonts w:ascii="Times New Roman" w:hAnsi="Times New Roman" w:cs="Times New Roman"/>
          <w:b/>
          <w:bCs/>
          <w:sz w:val="24"/>
          <w:szCs w:val="24"/>
        </w:rPr>
        <w:t>Gestão da Reserva Extrativista Tapajós-Arapiuns</w:t>
      </w:r>
      <w:r w:rsidRPr="00CF7737">
        <w:rPr>
          <w:rFonts w:ascii="Times New Roman" w:hAnsi="Times New Roman" w:cs="Times New Roman"/>
          <w:sz w:val="24"/>
          <w:szCs w:val="24"/>
        </w:rPr>
        <w:t>. Ambiente &amp; Sociedade, São Paulo, v. 26, 2023.</w:t>
      </w:r>
    </w:p>
    <w:p w:rsidR="00CF7737" w:rsidRPr="00CF7737" w:rsidRDefault="00CF7737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:rsidR="00D46821" w:rsidRPr="00CF7737" w:rsidRDefault="00F1222F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t xml:space="preserve">MOTTA, R. S. da. Valoração e precificação dos recursos ambientais para uma economia </w:t>
      </w:r>
      <w:r w:rsidRPr="00CF7737">
        <w:rPr>
          <w:rFonts w:ascii="Times New Roman" w:hAnsi="Times New Roman" w:cs="Times New Roman"/>
          <w:sz w:val="24"/>
          <w:szCs w:val="24"/>
        </w:rPr>
        <w:t xml:space="preserve">verde. </w:t>
      </w:r>
      <w:r w:rsidRPr="00CF7737">
        <w:rPr>
          <w:rFonts w:ascii="Times New Roman" w:hAnsi="Times New Roman" w:cs="Times New Roman"/>
          <w:b/>
          <w:bCs/>
          <w:sz w:val="24"/>
          <w:szCs w:val="24"/>
        </w:rPr>
        <w:t>Economia Verde – Desafios e Oportunidades</w:t>
      </w:r>
      <w:r w:rsidRPr="00CF7737">
        <w:rPr>
          <w:rFonts w:ascii="Times New Roman" w:hAnsi="Times New Roman" w:cs="Times New Roman"/>
          <w:sz w:val="24"/>
          <w:szCs w:val="24"/>
        </w:rPr>
        <w:t>, FGV Projetos, n. 8, 2011. Disponível em: https://ecologia.ib.usp.br/ffa/arquivos/maio2013/Valoracao_de_recursos.pdf. Acesso em: 27 de novembro de 2025.</w:t>
      </w:r>
    </w:p>
    <w:p w:rsidR="00D46821" w:rsidRPr="00CF7737" w:rsidRDefault="00F1222F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lastRenderedPageBreak/>
        <w:t xml:space="preserve">PEREIRA, A. R.; SILVEIRA, W. J. </w:t>
      </w:r>
      <w:r w:rsidRPr="00CF7737">
        <w:rPr>
          <w:rFonts w:ascii="Times New Roman" w:hAnsi="Times New Roman" w:cs="Times New Roman"/>
          <w:b/>
          <w:bCs/>
          <w:sz w:val="24"/>
          <w:szCs w:val="24"/>
        </w:rPr>
        <w:t>Conflitos socioambient</w:t>
      </w:r>
      <w:r w:rsidRPr="00CF7737">
        <w:rPr>
          <w:rFonts w:ascii="Times New Roman" w:hAnsi="Times New Roman" w:cs="Times New Roman"/>
          <w:b/>
          <w:bCs/>
          <w:sz w:val="24"/>
          <w:szCs w:val="24"/>
        </w:rPr>
        <w:t>ais em áreas protegidas brasileiras: causas, consequências e iniciativas de gestão</w:t>
      </w:r>
      <w:r w:rsidRPr="00CF7737">
        <w:rPr>
          <w:rFonts w:ascii="Times New Roman" w:hAnsi="Times New Roman" w:cs="Times New Roman"/>
          <w:sz w:val="24"/>
          <w:szCs w:val="24"/>
        </w:rPr>
        <w:t>. Biodiversidade Brasileira, Brasília, v. 13, n. 3, p. 1-16, 2023. DOI: 10.37002/biodiversidadebrasileira.v13i3.2338. Revista Eletrônica do ICMBio+1</w:t>
      </w:r>
    </w:p>
    <w:p w:rsidR="00D46821" w:rsidRDefault="00F1222F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b/>
          <w:bCs/>
          <w:sz w:val="24"/>
          <w:szCs w:val="24"/>
        </w:rPr>
        <w:t>Prefeitura destaca import</w:t>
      </w:r>
      <w:r w:rsidRPr="00CF7737">
        <w:rPr>
          <w:rFonts w:ascii="Times New Roman" w:hAnsi="Times New Roman" w:cs="Times New Roman"/>
          <w:b/>
          <w:bCs/>
          <w:sz w:val="24"/>
          <w:szCs w:val="24"/>
        </w:rPr>
        <w:t>ância do Parque Natural Municipal de Proteção Integral Arara Azul</w:t>
      </w:r>
      <w:r w:rsidRPr="00CF7737">
        <w:rPr>
          <w:rFonts w:ascii="Times New Roman" w:hAnsi="Times New Roman" w:cs="Times New Roman"/>
          <w:sz w:val="24"/>
          <w:szCs w:val="24"/>
        </w:rPr>
        <w:t>. Disponível em: https://imperatriz.ma.gov.br/noticias/meio-ambiente/prefeitura-destaca-importancia-do-parque-natural-municipal-de-protecao-integral-arara-azul.html. Acesso em: 27 nov. 2025.</w:t>
      </w:r>
    </w:p>
    <w:p w:rsidR="00CF7737" w:rsidRPr="00CF7737" w:rsidRDefault="00CF7737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:rsidR="00D46821" w:rsidRPr="00CF7737" w:rsidRDefault="00F1222F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t xml:space="preserve">PRIMACK, R. B.; RODRIGUES, E. </w:t>
      </w:r>
      <w:r w:rsidRPr="00CF7737">
        <w:rPr>
          <w:rFonts w:ascii="Times New Roman" w:hAnsi="Times New Roman" w:cs="Times New Roman"/>
          <w:b/>
          <w:bCs/>
          <w:sz w:val="24"/>
          <w:szCs w:val="24"/>
        </w:rPr>
        <w:t>Biologia da Conservação</w:t>
      </w:r>
      <w:r w:rsidRPr="00CF7737">
        <w:rPr>
          <w:rFonts w:ascii="Times New Roman" w:hAnsi="Times New Roman" w:cs="Times New Roman"/>
          <w:sz w:val="24"/>
          <w:szCs w:val="24"/>
        </w:rPr>
        <w:t>. Londrina: Planta, 2001.</w:t>
      </w:r>
    </w:p>
    <w:p w:rsidR="00D46821" w:rsidRDefault="00F1222F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t xml:space="preserve">REPAM – REDE ECLESIAL PAN-AMAZÔNICA. </w:t>
      </w:r>
      <w:r w:rsidRPr="00CF7737">
        <w:rPr>
          <w:rFonts w:ascii="Times New Roman" w:hAnsi="Times New Roman" w:cs="Times New Roman"/>
          <w:b/>
          <w:bCs/>
          <w:sz w:val="24"/>
          <w:szCs w:val="24"/>
        </w:rPr>
        <w:t>Quilombolas são as principais vítimas em conflito por terra no estado do Maranhão</w:t>
      </w:r>
      <w:r w:rsidRPr="00CF7737">
        <w:rPr>
          <w:rFonts w:ascii="Times New Roman" w:hAnsi="Times New Roman" w:cs="Times New Roman"/>
          <w:sz w:val="24"/>
          <w:szCs w:val="24"/>
        </w:rPr>
        <w:t>. 2023. Disponível em: https://repam.org.br/quilombolas-sao</w:t>
      </w:r>
      <w:r w:rsidRPr="00CF7737">
        <w:rPr>
          <w:rFonts w:ascii="Times New Roman" w:hAnsi="Times New Roman" w:cs="Times New Roman"/>
          <w:sz w:val="24"/>
          <w:szCs w:val="24"/>
        </w:rPr>
        <w:t>-as-principais-vitimas-em-conflito-por-terra-no-estado-do-maranhao/. Acesso em: 2 nov. 2025.</w:t>
      </w:r>
    </w:p>
    <w:p w:rsidR="00CF7737" w:rsidRPr="00CF7737" w:rsidRDefault="00CF7737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:rsidR="00D46821" w:rsidRDefault="00F1222F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t xml:space="preserve">RIBEIRO ROMEIRO, A.; CAIXETA ANDRADE, D. Valoração econômico-ecológica de recursos naturais. </w:t>
      </w:r>
      <w:r w:rsidRPr="00CF7737">
        <w:rPr>
          <w:rFonts w:ascii="Times New Roman" w:hAnsi="Times New Roman" w:cs="Times New Roman"/>
          <w:b/>
          <w:bCs/>
          <w:sz w:val="24"/>
          <w:szCs w:val="24"/>
        </w:rPr>
        <w:t>Gestión y Ambiente</w:t>
      </w:r>
      <w:r w:rsidRPr="00CF7737">
        <w:rPr>
          <w:rFonts w:ascii="Times New Roman" w:hAnsi="Times New Roman" w:cs="Times New Roman"/>
          <w:sz w:val="24"/>
          <w:szCs w:val="24"/>
        </w:rPr>
        <w:t>, vol. 12, núm. 3, p. 21-36, 2009.</w:t>
      </w:r>
    </w:p>
    <w:p w:rsidR="00CF7737" w:rsidRPr="00CF7737" w:rsidRDefault="00CF7737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:rsidR="00D46821" w:rsidRDefault="00F1222F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t>TOFETI, A. R.; CA</w:t>
      </w:r>
      <w:r w:rsidRPr="00CF7737">
        <w:rPr>
          <w:rFonts w:ascii="Times New Roman" w:hAnsi="Times New Roman" w:cs="Times New Roman"/>
          <w:sz w:val="24"/>
          <w:szCs w:val="24"/>
        </w:rPr>
        <w:t xml:space="preserve">MPOS, N. Unidades de Conservação e o território no Brasil: estudos de caso em quatro biomas. </w:t>
      </w:r>
      <w:r w:rsidRPr="00CF7737">
        <w:rPr>
          <w:rFonts w:ascii="Times New Roman" w:hAnsi="Times New Roman" w:cs="Times New Roman"/>
          <w:b/>
          <w:bCs/>
          <w:sz w:val="24"/>
          <w:szCs w:val="24"/>
        </w:rPr>
        <w:t>Sociedade &amp; Natureza</w:t>
      </w:r>
      <w:r w:rsidRPr="00CF7737">
        <w:rPr>
          <w:rFonts w:ascii="Times New Roman" w:hAnsi="Times New Roman" w:cs="Times New Roman"/>
          <w:sz w:val="24"/>
          <w:szCs w:val="24"/>
        </w:rPr>
        <w:t>, Uberlândia, v. 31, 2019. DOI: http://dx.doi.org/10.14393/SN-v31-2019-46987. Disponível em: https://www.scielo.br/j/sn/a/wG9JFttNjyCFdch7bx8kh</w:t>
      </w:r>
      <w:r w:rsidRPr="00CF7737">
        <w:rPr>
          <w:rFonts w:ascii="Times New Roman" w:hAnsi="Times New Roman" w:cs="Times New Roman"/>
          <w:sz w:val="24"/>
          <w:szCs w:val="24"/>
        </w:rPr>
        <w:t>mq/?format=pdf&amp;lang=pt. Acesso em: 27 de novembro.</w:t>
      </w:r>
    </w:p>
    <w:p w:rsidR="00CF7737" w:rsidRPr="00CF7737" w:rsidRDefault="00CF7737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46821" w:rsidRPr="00CF7737" w:rsidRDefault="00F1222F" w:rsidP="00CF7737">
      <w:pPr>
        <w:widowControl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  <w:r w:rsidRPr="00CF7737">
        <w:rPr>
          <w:rFonts w:ascii="Times New Roman" w:hAnsi="Times New Roman" w:cs="Times New Roman"/>
          <w:sz w:val="24"/>
          <w:szCs w:val="24"/>
        </w:rPr>
        <w:t xml:space="preserve">VASCONCELOS, A. V. </w:t>
      </w:r>
      <w:r w:rsidRPr="00CF7737">
        <w:rPr>
          <w:rFonts w:ascii="Times New Roman" w:hAnsi="Times New Roman" w:cs="Times New Roman"/>
          <w:b/>
          <w:bCs/>
          <w:sz w:val="24"/>
          <w:szCs w:val="24"/>
        </w:rPr>
        <w:t xml:space="preserve">Métodos de valoração ambiental: características, dificuldades e possíveis aplicações para os desastres naturais hidrológicos. </w:t>
      </w:r>
      <w:r w:rsidRPr="00CF7737">
        <w:rPr>
          <w:rFonts w:ascii="Times New Roman" w:hAnsi="Times New Roman" w:cs="Times New Roman"/>
          <w:sz w:val="24"/>
          <w:szCs w:val="24"/>
        </w:rPr>
        <w:t>2022. Disponível em: https://lume.ufrgs.br/handle/10183/2529</w:t>
      </w:r>
      <w:r w:rsidRPr="00CF7737">
        <w:rPr>
          <w:rFonts w:ascii="Times New Roman" w:hAnsi="Times New Roman" w:cs="Times New Roman"/>
          <w:sz w:val="24"/>
          <w:szCs w:val="24"/>
        </w:rPr>
        <w:t xml:space="preserve">12. Acesso em: 27 de novembro de 2025. </w:t>
      </w:r>
    </w:p>
    <w:p w:rsidR="00D46821" w:rsidRDefault="00D46821">
      <w:pPr>
        <w:widowControl/>
        <w:tabs>
          <w:tab w:val="left" w:pos="1290"/>
        </w:tabs>
        <w:spacing w:before="240" w:after="240" w:line="360" w:lineRule="auto"/>
        <w:rPr>
          <w:sz w:val="24"/>
          <w:szCs w:val="24"/>
        </w:rPr>
      </w:pPr>
    </w:p>
    <w:p w:rsidR="00D46821" w:rsidRDefault="00D46821">
      <w:pPr>
        <w:widowControl/>
        <w:tabs>
          <w:tab w:val="left" w:pos="1290"/>
        </w:tabs>
        <w:spacing w:before="240" w:after="240" w:line="360" w:lineRule="auto"/>
        <w:rPr>
          <w:sz w:val="24"/>
          <w:szCs w:val="24"/>
        </w:rPr>
      </w:pPr>
    </w:p>
    <w:p w:rsidR="00D46821" w:rsidRDefault="00D46821">
      <w:pPr>
        <w:widowControl/>
        <w:tabs>
          <w:tab w:val="left" w:pos="1290"/>
        </w:tabs>
        <w:spacing w:after="160"/>
        <w:rPr>
          <w:sz w:val="24"/>
          <w:szCs w:val="24"/>
        </w:rPr>
      </w:pPr>
    </w:p>
    <w:p w:rsidR="00D46821" w:rsidRDefault="00D46821">
      <w:pPr>
        <w:widowControl/>
        <w:tabs>
          <w:tab w:val="left" w:pos="1290"/>
        </w:tabs>
        <w:spacing w:before="240" w:after="240" w:line="360" w:lineRule="auto"/>
        <w:rPr>
          <w:sz w:val="24"/>
          <w:szCs w:val="24"/>
        </w:rPr>
      </w:pPr>
    </w:p>
    <w:p w:rsidR="00D46821" w:rsidRDefault="00D46821">
      <w:pPr>
        <w:widowControl/>
        <w:tabs>
          <w:tab w:val="left" w:pos="1290"/>
        </w:tabs>
        <w:spacing w:before="240" w:after="240" w:line="360" w:lineRule="auto"/>
        <w:rPr>
          <w:sz w:val="24"/>
          <w:szCs w:val="24"/>
        </w:rPr>
      </w:pPr>
    </w:p>
    <w:p w:rsidR="00D46821" w:rsidRDefault="00D46821">
      <w:pPr>
        <w:widowControl/>
        <w:tabs>
          <w:tab w:val="left" w:pos="1290"/>
        </w:tabs>
        <w:spacing w:before="240" w:after="240" w:line="360" w:lineRule="auto"/>
        <w:rPr>
          <w:sz w:val="24"/>
          <w:szCs w:val="24"/>
        </w:rPr>
      </w:pPr>
    </w:p>
    <w:p w:rsidR="00D46821" w:rsidRDefault="00D46821">
      <w:pPr>
        <w:rPr>
          <w:rFonts w:hint="eastAsia"/>
          <w:lang w:eastAsia="zh-CN"/>
        </w:rPr>
      </w:pPr>
    </w:p>
    <w:sectPr w:rsidR="00D46821">
      <w:headerReference w:type="default" r:id="rId8"/>
      <w:footerReference w:type="default" r:id="rId9"/>
      <w:pgSz w:w="11910" w:h="16840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222F" w:rsidRDefault="00F1222F">
      <w:r>
        <w:separator/>
      </w:r>
    </w:p>
  </w:endnote>
  <w:endnote w:type="continuationSeparator" w:id="0">
    <w:p w:rsidR="00F1222F" w:rsidRDefault="00F12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28D6946-2C68-408A-810C-3493A1534AF2}"/>
    <w:embedBold r:id="rId2" w:fontKey="{4E844D75-6197-4351-A56B-9D5DBEB62FE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49B3647-065A-479F-B680-EC50A8438D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84F51F5-E0A7-485C-9671-72550C20D8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6821" w:rsidRDefault="00F1222F">
    <w:pP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6350</wp:posOffset>
          </wp:positionV>
          <wp:extent cx="600075" cy="191770"/>
          <wp:effectExtent l="0" t="0" r="0" b="0"/>
          <wp:wrapSquare wrapText="bothSides"/>
          <wp:docPr id="202369132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3691325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191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850900</wp:posOffset>
          </wp:positionH>
          <wp:positionV relativeFrom="paragraph">
            <wp:posOffset>164465</wp:posOffset>
          </wp:positionV>
          <wp:extent cx="1231265" cy="384175"/>
          <wp:effectExtent l="0" t="0" r="0" b="0"/>
          <wp:wrapSquare wrapText="bothSides"/>
          <wp:docPr id="202369133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3691331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26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2644140</wp:posOffset>
          </wp:positionH>
          <wp:positionV relativeFrom="paragraph">
            <wp:posOffset>0</wp:posOffset>
          </wp:positionV>
          <wp:extent cx="419100" cy="241935"/>
          <wp:effectExtent l="0" t="0" r="0" b="0"/>
          <wp:wrapSquare wrapText="bothSides"/>
          <wp:docPr id="2023691330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3691330" name="image7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241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3139440</wp:posOffset>
          </wp:positionH>
          <wp:positionV relativeFrom="paragraph">
            <wp:posOffset>184785</wp:posOffset>
          </wp:positionV>
          <wp:extent cx="542290" cy="384175"/>
          <wp:effectExtent l="0" t="0" r="0" b="0"/>
          <wp:wrapSquare wrapText="bothSides"/>
          <wp:docPr id="202369132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3691329" name="image6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3910965</wp:posOffset>
          </wp:positionH>
          <wp:positionV relativeFrom="paragraph">
            <wp:posOffset>188595</wp:posOffset>
          </wp:positionV>
          <wp:extent cx="914400" cy="353695"/>
          <wp:effectExtent l="0" t="0" r="0" b="0"/>
          <wp:wrapSquare wrapText="bothSides"/>
          <wp:docPr id="20236913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3691327" name="image1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5006340</wp:posOffset>
          </wp:positionH>
          <wp:positionV relativeFrom="paragraph">
            <wp:posOffset>194310</wp:posOffset>
          </wp:positionV>
          <wp:extent cx="756285" cy="335280"/>
          <wp:effectExtent l="0" t="0" r="0" b="0"/>
          <wp:wrapSquare wrapText="bothSides"/>
          <wp:docPr id="202369132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3691328" name="image4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222F" w:rsidRDefault="00F1222F">
      <w:r>
        <w:separator/>
      </w:r>
    </w:p>
  </w:footnote>
  <w:footnote w:type="continuationSeparator" w:id="0">
    <w:p w:rsidR="00F1222F" w:rsidRDefault="00F122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6821" w:rsidRDefault="00F1222F">
    <w:pP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253105" cy="1610360"/>
          <wp:effectExtent l="0" t="0" r="0" b="0"/>
          <wp:docPr id="2023691326" name="image2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3691326" name="image2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3253105" cy="1610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821"/>
    <w:rsid w:val="00CF7737"/>
    <w:rsid w:val="00D46821"/>
    <w:rsid w:val="00F1222F"/>
    <w:rsid w:val="4C34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475AF"/>
  <w15:docId w15:val="{7DB9A67E-7D41-47F7-AE6B-E72E3EDF6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heading 2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uiPriority="99" w:unhideWhenUsed="1"/>
    <w:lsdException w:name="header" w:uiPriority="99" w:unhideWhenUsed="1"/>
    <w:lsdException w:name="footer" w:uiPriority="99" w:unhideWhenUsed="1"/>
    <w:lsdException w:name="caption" w:semiHidden="1" w:unhideWhenUsed="1" w:qFormat="1"/>
    <w:lsdException w:name="annotation reference" w:semiHidden="1" w:uiPriority="99" w:unhideWhenUsed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widowControl w:val="0"/>
    </w:pPr>
    <w:rPr>
      <w:sz w:val="22"/>
      <w:szCs w:val="22"/>
      <w:lang w:val="zh-CN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Pr>
      <w:color w:val="0000FF"/>
      <w:u w:val="single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paragraph" w:styleId="Ttulo">
    <w:name w:val="Title"/>
    <w:basedOn w:val="Normal"/>
    <w:next w:val="Normal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CabealhoChar">
    <w:name w:val="Cabeçalho Char"/>
    <w:basedOn w:val="Fontepargpadro"/>
    <w:link w:val="Cabealho"/>
    <w:uiPriority w:val="99"/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basedOn w:val="Fontepargpadro"/>
    <w:link w:val="Rodap"/>
    <w:uiPriority w:val="99"/>
    <w:rPr>
      <w:rFonts w:ascii="Times New Roman" w:eastAsia="Times New Roman" w:hAnsi="Times New Roman" w:cs="Times New Roman"/>
      <w:lang w:val="pt-PT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table" w:customStyle="1" w:styleId="Style26">
    <w:name w:val="_Style 26"/>
    <w:basedOn w:val="TableNormal0"/>
    <w:tblPr/>
  </w:style>
  <w:style w:type="table" w:customStyle="1" w:styleId="Style27">
    <w:name w:val="_Style 27"/>
    <w:basedOn w:val="TableNormal0"/>
    <w:tblPr/>
  </w:style>
  <w:style w:type="table" w:customStyle="1" w:styleId="Style29">
    <w:name w:val="_Style 29"/>
    <w:basedOn w:val="TableNormal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7ixjj0E5AofglqQygIkxAFowoQ==">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2485</Words>
  <Characters>13419</Characters>
  <Application>Microsoft Office Word</Application>
  <DocSecurity>0</DocSecurity>
  <Lines>111</Lines>
  <Paragraphs>31</Paragraphs>
  <ScaleCrop>false</ScaleCrop>
  <Company/>
  <LinksUpToDate>false</LinksUpToDate>
  <CharactersWithSpaces>15873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Lísias Faria</dc:creator>
  <cp:lastModifiedBy>PROF.IONARA</cp:lastModifiedBy>
  <cp:revision>2</cp:revision>
  <dcterms:created xsi:type="dcterms:W3CDTF">2025-11-29T21:49:00Z</dcterms:created>
  <dcterms:modified xsi:type="dcterms:W3CDTF">2025-12-03T16:53:00Z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2023-08-30T00:00:00Z</vt:filetime>
  </property>
  <property fmtid="{D5CDD505-2E9C-101B-9397-08002B2CF9AE}" pid="5" name="KSOProductBuildVer">
    <vt:lpwstr>1046-12.2.0.23155</vt:lpwstr>
  </property>
  <property fmtid="{D5CDD505-2E9C-101B-9397-08002B2CF9AE}" pid="6" name="ICV">
    <vt:lpwstr>41E00EE3DB2940C19530FF28779C0690_12</vt:lpwstr>
  </property>
</Properties>
</file>