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C7" w:rsidRDefault="002D59C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PERFIL EPIDEMIOLÓGICO DOS CASOS DE DOENÇA DIARREICA AGUDA (DDA) NO MUNICÍPIO DE PARNAÍBA/PI ENTRE OS ANOS DE 2013 E O PRIMEIRO SEMESTRE DE 2019.</w:t>
      </w:r>
    </w:p>
    <w:p w:rsidR="002D59C7" w:rsidRDefault="002D59C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Vitoriano Lima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Guilherme Araújo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Célia Barros de Sousa Marques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Ariellen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Martins Guerra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Antônio Victor de Oliveira Machado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Thiago de Souza Lopes Araújo².</w:t>
      </w:r>
    </w:p>
    <w:p w:rsidR="002D59C7" w:rsidRDefault="00767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¹Discente do Curso de Medicina da Faculdade de Ciências Humanas, Exatas e da Saúde do Piauí/ Instituto de Educação Superior do Vale do Parnaíba (FAHESP/IESVAP).</w:t>
      </w:r>
    </w:p>
    <w:p w:rsidR="002D59C7" w:rsidRDefault="007674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²Docente do Curso de Medi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cina da Faculdade de Ciências Humanas, Exatas e da Saúde do Piauí/ Instituto de Educação Superior do Vale do Parnaíba (FAHESP/IESVAP).</w:t>
      </w:r>
    </w:p>
    <w:p w:rsidR="002D59C7" w:rsidRDefault="002D5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C7" w:rsidRDefault="00767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Área temática: Investigação de problemas de saúde coletiva.</w:t>
      </w:r>
    </w:p>
    <w:p w:rsidR="002D59C7" w:rsidRDefault="00767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do autor: yamavitoriano@hotmail.com.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</w:t>
      </w:r>
      <w:r>
        <w:rPr>
          <w:rFonts w:ascii="Times New Roman" w:eastAsia="Times New Roman" w:hAnsi="Times New Roman" w:cs="Times New Roman"/>
          <w:sz w:val="24"/>
          <w:szCs w:val="24"/>
        </w:rPr>
        <w:t>cordo com a Organização Mundial da Saúde (OMS), a diarreia é definida pela ocorrência de três ou mais evacuações amolecidas ou líquidas ao dia, podendo apresentar-se de forma aguda ou crônica (SOCIEDADE BRASILEIRA DE PEDIATRIA, 2017). Considerada um proble</w:t>
      </w:r>
      <w:r>
        <w:rPr>
          <w:rFonts w:ascii="Times New Roman" w:eastAsia="Times New Roman" w:hAnsi="Times New Roman" w:cs="Times New Roman"/>
          <w:sz w:val="24"/>
          <w:szCs w:val="24"/>
        </w:rPr>
        <w:t>ma de grande relevância epidemiológica no mundo, as doenças diarreicas constituem a sétima maior causa de mortalidade infantil (FRANÇA et al., 2017), principalmente nos países em desenvolvimento ou emergentes, sendo responsáveis pelo acometimento a nível m</w:t>
      </w:r>
      <w:r>
        <w:rPr>
          <w:rFonts w:ascii="Times New Roman" w:eastAsia="Times New Roman" w:hAnsi="Times New Roman" w:cs="Times New Roman"/>
          <w:sz w:val="24"/>
          <w:szCs w:val="24"/>
        </w:rPr>
        <w:t>undial de aproximadamente 1,3 bilhões de crianças abaixo de cinco anos e 4 milhões de mortes anualmente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ARAÚJO et al., 2010). </w:t>
      </w:r>
      <w:r>
        <w:rPr>
          <w:rFonts w:ascii="Times New Roman" w:eastAsia="Times New Roman" w:hAnsi="Times New Roman" w:cs="Times New Roman"/>
          <w:sz w:val="24"/>
          <w:szCs w:val="24"/>
        </w:rPr>
        <w:t>Segundo dados disponibilizados pelo Ministério da Saúde, entre os anos de 2007 a 2018, foram notificados a nível nacional o equiv</w:t>
      </w:r>
      <w:r>
        <w:rPr>
          <w:rFonts w:ascii="Times New Roman" w:eastAsia="Times New Roman" w:hAnsi="Times New Roman" w:cs="Times New Roman"/>
          <w:sz w:val="24"/>
          <w:szCs w:val="24"/>
        </w:rPr>
        <w:t>alente a 49.129.738 casos de Doença Diarreica Aguda (DDA), sendo a região nordeste responsável por 15.230.307 dos casos. No estado do Piauí, esse número chegou a 1.154.358, com Parnaíba registrando o montante de 52.253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MINISTÉRIO DA SAÚDE, 2019).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origem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gastroenterites é multifatorial e envolve agentes infecciosos de diversos níveis de patogenicidade, como bactérias, vírus, parasitas e fungos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BARBOSA, 2019</w:t>
      </w:r>
      <w:r>
        <w:rPr>
          <w:rFonts w:ascii="Times New Roman" w:eastAsia="Times New Roman" w:hAnsi="Times New Roman" w:cs="Times New Roman"/>
          <w:sz w:val="24"/>
          <w:szCs w:val="24"/>
        </w:rPr>
        <w:t>), apresentando como principal meio de infecção o consumo e a utilização de água e alimentos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ntaminados (SIRTOLI;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COMARELLA,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2018). Baixas condições socioeconômicas e nutricionais, imaturidade imunológica, consumo de água não tratada, saneamento básico desfavorável e hábitos higiênicos não satisfatórios atuam como fatores de risco para a manifesta</w:t>
      </w:r>
      <w:r>
        <w:rPr>
          <w:rFonts w:ascii="Times New Roman" w:eastAsia="Times New Roman" w:hAnsi="Times New Roman" w:cs="Times New Roman"/>
          <w:sz w:val="24"/>
          <w:szCs w:val="24"/>
        </w:rPr>
        <w:t>ção do quadro (IMADA et al., 2016). A diarreia normalmente vem acompanhada de dor abdominal, febre e vômito, podendo em alguns casos, verificar-se muco e sangue nas fezes. As complicações surgem em decorrência da desidratação acentuada e do desequilíbrio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idroeletrolítico, frequentemente correlacionados ao tratamento sucedido de forma inadequada, o que pode resultar em óbito, especialmente na presença de desnutrição.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episódios diarreicos repetidos, por sua vez, podem ocasionar desnutrição crônica, com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tardo do desenvolvimento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estatoponderal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intelectual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GUIMARÃES et al., 2012). Apesar de existirem tratamentos disponíveis, estes ainda não são tão específicos para diarreia, dessa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forma, a patologia leva a um maior número de óbitos em crianças, quando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mparados a AIDS (Síndrome da Imunodeficiência Adquirida), a malária e o sarampo juntos, segundo relatório do Fundo das Nações Unidas para a Infância (UNICEF) e OMS (UNICEF; W.H.O, 2009).</w:t>
      </w:r>
    </w:p>
    <w:p w:rsidR="0059191C" w:rsidRDefault="0059191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OBJETIVO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 objetivo do presente estudo é traçar o perfil epidemiológico dos casos de DDA no município de Parnaíba/PI, entre os anos de 2013 e o primeiro semestre de 2019.</w:t>
      </w:r>
    </w:p>
    <w:p w:rsidR="0059191C" w:rsidRDefault="005919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realizado um estudo transversal, retrospectivo, dos casos de DDA que acorrera</w:t>
      </w:r>
      <w:r>
        <w:rPr>
          <w:rFonts w:ascii="Times New Roman" w:eastAsia="Times New Roman" w:hAnsi="Times New Roman" w:cs="Times New Roman"/>
          <w:sz w:val="24"/>
          <w:szCs w:val="24"/>
        </w:rPr>
        <w:t>m entre os anos de 2013 e o primeiro semestre de 2019, no município de Parnaíba/PI. Os dados foram disponibilizados pela Secretária de Vigilância em Saúde do referido  munícipio e organizados em tabelas e gráficos utilizando os programas Excel e Word, resp</w:t>
      </w:r>
      <w:r>
        <w:rPr>
          <w:rFonts w:ascii="Times New Roman" w:eastAsia="Times New Roman" w:hAnsi="Times New Roman" w:cs="Times New Roman"/>
          <w:sz w:val="24"/>
          <w:szCs w:val="24"/>
        </w:rPr>
        <w:t>ectivamente, de acordo com as variáveis: número de casos por ano (2013 ao primeiro semestre de 2019), faixa etária (&lt;1, 1-4, 5-9 e 10 +) e plano de tratamento (A: prescrição de líquidos caseiros no domicílio; B: administração de soro de reidratação oral so</w:t>
      </w:r>
      <w:r>
        <w:rPr>
          <w:rFonts w:ascii="Times New Roman" w:eastAsia="Times New Roman" w:hAnsi="Times New Roman" w:cs="Times New Roman"/>
          <w:sz w:val="24"/>
          <w:szCs w:val="24"/>
        </w:rPr>
        <w:t>b supervisão médica e C: terapia de reidratação por via parenteral), expressas em frequência absoluta. Foram excluídos os casos que não foram notificados pelo órgão responsável. Para complementação e atualização dos dados, a fim de realizar uma análise com</w:t>
      </w:r>
      <w:r>
        <w:rPr>
          <w:rFonts w:ascii="Times New Roman" w:eastAsia="Times New Roman" w:hAnsi="Times New Roman" w:cs="Times New Roman"/>
          <w:sz w:val="24"/>
          <w:szCs w:val="24"/>
        </w:rPr>
        <w:t>parativa, foram solicitados o envio via e-mail do número de notificações registradas pelo Ministério da Saúde, conforme as regiões brasileiras.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Considerada uma problemática de grande relevância epidemiológica, a DDA é caracterizada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pelo acometimento gastrointestinal que se manifesta pela ocorrência de múltiplas evacuações de consistência amolecida ou líquida nas últimas 24 horas. Oriunda de diversos fatores, apresenta como principal fonte de infecção, a ingestão e utilização de água </w:t>
      </w:r>
      <w:r>
        <w:rPr>
          <w:rFonts w:ascii="Times New Roman" w:eastAsia="Times New Roman" w:hAnsi="Times New Roman" w:cs="Times New Roman"/>
          <w:sz w:val="24"/>
          <w:szCs w:val="24"/>
        </w:rPr>
        <w:t>e alimentos contaminados (SIRTOLI; COMARELLA, 2018), sofrendo influência das baixas condições socioeconômicas e nutricionais, imaturidade do sistema imunológico, saneamento básico desfavorável e maus hábitos higiênicos (IMADA et al., 2016). Um estudo reali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Checkley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Colaboradores (2004) em uma comunidade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periurbana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desfavorecida do Peru, evidenciou que crianças jovens expostas a condições precárias de saneamento, tendo em vista, a fonte de água, a localização do reservatório e o destino dos esgotos</w:t>
      </w:r>
      <w:r>
        <w:rPr>
          <w:rFonts w:ascii="Times New Roman" w:eastAsia="Times New Roman" w:hAnsi="Times New Roman" w:cs="Times New Roman"/>
          <w:sz w:val="24"/>
          <w:szCs w:val="24"/>
        </w:rPr>
        <w:t>, apresentaram 54% mais eventos de diarreia do que crianças que não foram expostas (CHECKLEY et al., 2004).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presente trabalho, foi traçado o perfil epidemiológico dos casos de DDA no município de Parnaíba/PI, entre os anos de 2013 e o primeiro semestre </w:t>
      </w:r>
      <w:r>
        <w:rPr>
          <w:rFonts w:ascii="Times New Roman" w:eastAsia="Times New Roman" w:hAnsi="Times New Roman" w:cs="Times New Roman"/>
          <w:sz w:val="24"/>
          <w:szCs w:val="24"/>
        </w:rPr>
        <w:t>de 2019. O maior número de notificações registradas foi verificado no ano de 2013, enquanto que o menor número de casos foi visualizado no ano 2017. Vale atentar-se para os resultados registrados no primeiro semestre de 2019, cujo os dados aproximaram-se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número de casos registrados em todo o ano de 2018, como mostrado na Figura 1.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Figura 1: Casos de DDA entre os anos 2013 ao primeiro semestre de 2019 em Parnaíba/PI.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5081</wp:posOffset>
            </wp:positionH>
            <wp:positionV relativeFrom="paragraph">
              <wp:posOffset>0</wp:posOffset>
            </wp:positionV>
            <wp:extent cx="5438775" cy="2619375"/>
            <wp:effectExtent l="0" t="0" r="9525" b="9525"/>
            <wp:wrapTopAndBottom distT="0" dist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 fato pode justificar-se pela associação ao período chuvoso, tendo em vista que,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egundo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Façanha e Pinheiro (2005) a elevação dos índices de contaminação bacteriana de águas de poços do lençol freático superficial está intimamente relacionada com as chuvas. Tal diminuição da qualidade da água, correlaciona-se ao escoamento das águas da chuva t</w:t>
      </w:r>
      <w:r>
        <w:rPr>
          <w:rFonts w:ascii="Times New Roman" w:eastAsia="Times New Roman" w:hAnsi="Times New Roman" w:cs="Times New Roman"/>
          <w:sz w:val="24"/>
          <w:szCs w:val="24"/>
        </w:rPr>
        <w:t>ransportando dejetos de origem humana e animal. O consumo dessa água não tratada aumentaria a frequência de diarreias em época pluvial (FAÇANHA; PINHEIRO, 2005).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avaliação dos casos de DDA por ano, de acordo com a faixa etária, </w:t>
      </w:r>
      <w:r>
        <w:rPr>
          <w:rFonts w:ascii="Times New Roman" w:eastAsia="Times New Roman" w:hAnsi="Times New Roman" w:cs="Times New Roman"/>
          <w:sz w:val="24"/>
          <w:szCs w:val="24"/>
        </w:rPr>
        <w:t>foi observado que indiví</w:t>
      </w:r>
      <w:r>
        <w:rPr>
          <w:rFonts w:ascii="Times New Roman" w:eastAsia="Times New Roman" w:hAnsi="Times New Roman" w:cs="Times New Roman"/>
          <w:sz w:val="24"/>
          <w:szCs w:val="24"/>
        </w:rPr>
        <w:t>duos acima de 10 anos foram os mais acometidos, situação semelhantemente encontrada a nível nacional, com base nos dados do governo (MINISTÉRIO DA SAÚDE, 2019). Crianças com idade entre 1 a 4 anos compreenderam a segunda faixa etária mais acometida. As fai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xas etárias &lt; 1 e 5 a 9 anos apresentaram variações de colocação quanto aos diferentes anos, com a faixa etária &lt; 1 apresentando-se maior entre os anos de 2013 a 2017, e a faixa etária 5 a 9 assumindo essa posição nos anos 2018 e 2019 (Figura 2).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5716</wp:posOffset>
            </wp:positionH>
            <wp:positionV relativeFrom="paragraph">
              <wp:posOffset>1647190</wp:posOffset>
            </wp:positionV>
            <wp:extent cx="5410200" cy="2362200"/>
            <wp:effectExtent l="0" t="0" r="0" b="0"/>
            <wp:wrapTopAndBottom distT="0" dist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Figura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2: Casos de DDA entre os anos 2013 ao primeiro semestre de 2019 em Parnaíba/PI, segundo faixa etária.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implicações da DDA ocorrem em virtude do quadro de desidratação intensa e consequente desequilíbrio hidroeletrolítico, constantemente relacionados ao tratamento efetuado de maneira inapropriada, podendo suceder em óbito, sobretudo na presença de desnutr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ição (GUIMARÃES et al., 2012).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verificação dos casos de DDA por ano, de acordo com o plano de tratamento, foi demostrado que nos anos 2013 e 2014 o padrão de tratamento preferencialmente utilizado seguia a respectiva ordem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B, segundo número de uti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lização. No entanto, a partir do ano de 2015 esse padrão foi modificado, revelando aumento significativo no número de casos tratados com o plano C. Na Figura 3 é possível visualizar que entre os anos de 2015 ao primeiro semestre de 2019, a principal opção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terapêutica utilizada foi o plano C, seguido do plano A e do plano B. Ideia contraria ao que se esperava, uma vez que, a </w:t>
      </w:r>
      <w:r>
        <w:rPr>
          <w:rFonts w:ascii="Times New Roman" w:eastAsia="Times New Roman" w:hAnsi="Times New Roman" w:cs="Times New Roman"/>
          <w:sz w:val="24"/>
          <w:szCs w:val="24"/>
        </w:rPr>
        <w:t>terapia de reidratação por via parenteral (C) trata-se de um modelo mais complexo em comparação com a prescrição de líquidos caseiros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domicílio (A) e administração de soro de reidratação oral sob supervisão médica (B), preconizados pela OMS como uma alternativa eficiente de combate à desidratação leve e moderada (BRANDT et al., 2015).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2872105</wp:posOffset>
            </wp:positionV>
            <wp:extent cx="5378450" cy="2762250"/>
            <wp:effectExtent l="0" t="0" r="12700" b="0"/>
            <wp:wrapTopAndBottom distT="0" dist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3: Casos de DDA entre os anos 2013 ao prim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eiro semestre de 2019 em Parnaíba/PI, segundo plano de tratamento.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Araújo e Colaboradores (2010), a equipe profissional de saúde opta pela internação ao invés do tratamento ambulatorial em casos onde os pacientes residem em locais afastados,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em zonas rurais dos municípios e/ou apresentam baixa escolaridade, tomando como base, a possibilidade da não adesão às recomendações e com o objetivo de minimizar possíveis danos e complicações futuras a saúde do indivíduo (ARAÚJO et al., 2010).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CLUSÃO: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observado, a DDA acomete um número elevado de pacientes, </w:t>
      </w:r>
      <w:r>
        <w:rPr>
          <w:rFonts w:ascii="Times New Roman" w:eastAsia="Times New Roman" w:hAnsi="Times New Roman" w:cs="Times New Roman"/>
          <w:sz w:val="24"/>
          <w:szCs w:val="24"/>
        </w:rPr>
        <w:t>estando associada à fatores socioeconômicos, sanitários e ambientais, com maior incidência em períodos chuvosos. No presente estudo, demonstrou-se que o maior número de notificações reg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istradas foi verificado no ano de 2013. Evidenciou-se também que a faixa etária mais acometida foi acima de 10 anos e o plano de tratamento de maior utilização, a partir de 2015, foi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 plano 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Portanto faz-se necessário aperfeiçoar o acesso à informação t</w:t>
      </w:r>
      <w:r>
        <w:rPr>
          <w:rFonts w:ascii="Times New Roman" w:eastAsia="Times New Roman" w:hAnsi="Times New Roman" w:cs="Times New Roman"/>
          <w:sz w:val="24"/>
          <w:szCs w:val="24"/>
        </w:rPr>
        <w:t>anto da população como da comunidade científica, visando diagnósticos precoces que possibilitem um melhor manejo terapêutico, a fim de minimizar complicações.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Diarreia,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Epidemiologia, Terapêutica.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9C7" w:rsidRDefault="007674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ARAÚJO, T. M. E. D.; DANTAS, J. M.; CARVALHO, C. E. F.; COSTA, M. A. D. O. Surto de diarreia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rotavírus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no município de Bom Jesus (PI).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 v. 15, p. 1039-1046, 2010.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BARBOSA, A. Microrganismos Associados Às Doenças Transmitidas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or Alimentos (DTA’S), Impactos Da Saúde Do Manipulador De Alimentos: Revisão De Literatura.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Revista Saúde em Foco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n. 11, p. 22 –41, 2019.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BRANDT, K. G.; DE CASTRO ANTUNES, M. M.; DA SILVA, G. A.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diarrhea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evidence‐based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Jornal de Pedi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atria (Versão em Português)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 v. 91, n.6, p. S36-S43, 2015.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CHECKLEY, W.; GILMAN, R.; BLACK, R. E.; EPSTEIN, L. D.; STERLING, C. R.; MOULTON, L.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Peruvian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peri-urban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Lancet</w:t>
      </w:r>
      <w:r>
        <w:rPr>
          <w:rFonts w:ascii="Times New Roman" w:eastAsia="Times New Roman" w:hAnsi="Times New Roman" w:cs="Times New Roman"/>
          <w:sz w:val="24"/>
          <w:szCs w:val="24"/>
        </w:rPr>
        <w:t>, v. 3</w:t>
      </w:r>
      <w:r>
        <w:rPr>
          <w:rFonts w:ascii="Times New Roman" w:eastAsia="Times New Roman" w:hAnsi="Times New Roman" w:cs="Times New Roman"/>
          <w:sz w:val="24"/>
          <w:szCs w:val="24"/>
        </w:rPr>
        <w:t>63, n. 9403, p. 112-118, 2004.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FAÇANHA, M. C.; PINHEIRO, A. C. Comportamento das doenças diarreicas agudas em serviços de saúde de Fortaleza, Ceará, Brasil, entre 1996 e 2001.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de saúde pública,</w:t>
      </w:r>
      <w:r>
        <w:rPr>
          <w:rFonts w:ascii="Times New Roman" w:eastAsia="Times New Roman" w:hAnsi="Times New Roman" w:cs="Times New Roman"/>
          <w:sz w:val="24"/>
          <w:szCs w:val="24"/>
        </w:rPr>
        <w:t> v. 21, n. 1, p. 49-54, 2005.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FRANÇA, E. B.; LANSKY, S</w:t>
      </w:r>
      <w:r>
        <w:rPr>
          <w:rFonts w:ascii="Times New Roman" w:eastAsia="Times New Roman" w:hAnsi="Times New Roman" w:cs="Times New Roman"/>
          <w:sz w:val="24"/>
          <w:szCs w:val="24"/>
        </w:rPr>
        <w:t>.; REGO, M. A. S.; MALTA, D. C.; FRANÇA, J. S.; TEIXEIRA, R.; MOONEY, M. Principais causas da mortalidade na infância no Brasil, em 1990 e 2015: estimativas do estudo de Carga Global de Doença.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epidemiologia</w:t>
      </w:r>
      <w:r>
        <w:rPr>
          <w:rFonts w:ascii="Times New Roman" w:eastAsia="Times New Roman" w:hAnsi="Times New Roman" w:cs="Times New Roman"/>
          <w:sz w:val="24"/>
          <w:szCs w:val="24"/>
        </w:rPr>
        <w:t>, v. 20, p. 46-60, 2017.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IMARÃES, D. L. C.; CAMPOS, H.; DANMVOLF, A.; DE OLIVEIRA, K. B. Prevalência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Rotavírus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Crianças De Uma Creche De Sarandi-PR.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Biosaúde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14, n. 1, p. 16-25, 2012.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IMADA, K. S.; DE ARAÚJO, T. S.; MUNIZ, P. T.; DE PÁDUA, V. L. Fatores socioeconômicos, higiênicos e de saneamento na redução de diarreia na Amazônia.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de Saúde Pública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50, p. 77-77, 2016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MINISTÉRIO DA SAÚDE. Dados de doenças diarreicas agudas (D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DA). Disponível em: http://www.saude.gov.br/saude-de-a-z/doencas-diarreicas-agudas/43216-dados. Acesso em 16 de setembro de 2019.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SIRTOLI, D. B.; COMARELLA, L. O papel da vigilância sanitária na prevenção das doenças transmitidas por alimentos (DTA).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sta Saúde e Desenvolvimento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12, n. 10, p. 197-209, 2018.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SOCIEDADE BRASILEIRA DE PEDIATRIA: DEPARTAMENTO CIENTÍFICO DE GASTROENTEROLOGIA.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Diarreia aguda: diagnóstico e tratamento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Guia Prático de Atualização, n 1, p. 1-15, 2017. </w:t>
      </w:r>
    </w:p>
    <w:p w:rsidR="002D59C7" w:rsidRDefault="007674E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UNICEF/WHO.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Diarrhoea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still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York: UNICEF</w:t>
      </w:r>
      <w:r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2D59C7" w:rsidRDefault="002D59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D59C7">
      <w:headerReference w:type="default" r:id="rId9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F" w:rsidRDefault="007674EF">
      <w:pPr>
        <w:spacing w:after="0" w:line="240" w:lineRule="auto"/>
      </w:pPr>
      <w:r>
        <w:separator/>
      </w:r>
    </w:p>
  </w:endnote>
  <w:endnote w:type="continuationSeparator" w:id="0">
    <w:p w:rsidR="007674EF" w:rsidRDefault="0076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F" w:rsidRDefault="007674EF">
      <w:pPr>
        <w:spacing w:after="0" w:line="240" w:lineRule="auto"/>
      </w:pPr>
      <w:r>
        <w:separator/>
      </w:r>
    </w:p>
  </w:footnote>
  <w:footnote w:type="continuationSeparator" w:id="0">
    <w:p w:rsidR="007674EF" w:rsidRDefault="0076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C7" w:rsidRDefault="007674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86750" cy="943376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C7"/>
    <w:rsid w:val="002D59C7"/>
    <w:rsid w:val="0059191C"/>
    <w:rsid w:val="007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6F52"/>
  <w15:docId w15:val="{59E20FBA-ACD8-490F-A6D6-D792C426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7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E0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949"/>
  </w:style>
  <w:style w:type="paragraph" w:styleId="Rodap">
    <w:name w:val="footer"/>
    <w:basedOn w:val="Normal"/>
    <w:link w:val="RodapChar"/>
    <w:uiPriority w:val="99"/>
    <w:unhideWhenUsed/>
    <w:rsid w:val="00BE0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949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51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5168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E7CB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EB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741265266535209E-2"/>
          <c:y val="0.11764065855404437"/>
          <c:w val="0.86465006745709938"/>
          <c:h val="0.66842632401011215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 Casos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Planilha1!$B$2:$B$8</c:f>
              <c:numCache>
                <c:formatCode>General</c:formatCode>
                <c:ptCount val="7"/>
                <c:pt idx="0">
                  <c:v>4875</c:v>
                </c:pt>
                <c:pt idx="1">
                  <c:v>4225</c:v>
                </c:pt>
                <c:pt idx="2">
                  <c:v>2746</c:v>
                </c:pt>
                <c:pt idx="3">
                  <c:v>3227</c:v>
                </c:pt>
                <c:pt idx="4">
                  <c:v>2475</c:v>
                </c:pt>
                <c:pt idx="5">
                  <c:v>4591</c:v>
                </c:pt>
                <c:pt idx="6">
                  <c:v>4576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8F-4626-9D85-B49A80C07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304576"/>
        <c:axId val="159948800"/>
      </c:lineChart>
      <c:catAx>
        <c:axId val="14530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9948800"/>
        <c:crosses val="autoZero"/>
        <c:auto val="1"/>
        <c:lblAlgn val="ctr"/>
        <c:lblOffset val="100"/>
        <c:noMultiLvlLbl val="0"/>
      </c:catAx>
      <c:valAx>
        <c:axId val="15994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530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608358142511323E-2"/>
          <c:y val="0.12811420712632327"/>
          <c:w val="0.91199280301976382"/>
          <c:h val="0.64505099224220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&lt; 1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Planilha1!$B$2:$B$8</c:f>
              <c:numCache>
                <c:formatCode>General</c:formatCode>
                <c:ptCount val="7"/>
                <c:pt idx="0">
                  <c:v>710</c:v>
                </c:pt>
                <c:pt idx="1">
                  <c:v>513</c:v>
                </c:pt>
                <c:pt idx="2">
                  <c:v>393</c:v>
                </c:pt>
                <c:pt idx="3">
                  <c:v>408</c:v>
                </c:pt>
                <c:pt idx="4">
                  <c:v>315</c:v>
                </c:pt>
                <c:pt idx="5">
                  <c:v>417</c:v>
                </c:pt>
                <c:pt idx="6">
                  <c:v>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76-452E-ACB6-5A496403557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1 a 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Planilha1!$C$2:$C$8</c:f>
              <c:numCache>
                <c:formatCode>General</c:formatCode>
                <c:ptCount val="7"/>
                <c:pt idx="0">
                  <c:v>1471</c:v>
                </c:pt>
                <c:pt idx="1">
                  <c:v>1118</c:v>
                </c:pt>
                <c:pt idx="2">
                  <c:v>769</c:v>
                </c:pt>
                <c:pt idx="3">
                  <c:v>870</c:v>
                </c:pt>
                <c:pt idx="4">
                  <c:v>659</c:v>
                </c:pt>
                <c:pt idx="5">
                  <c:v>977</c:v>
                </c:pt>
                <c:pt idx="6">
                  <c:v>1170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76-452E-ACB6-5A496403557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5 a 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Planilha1!$D$2:$D$8</c:f>
              <c:numCache>
                <c:formatCode>General</c:formatCode>
                <c:ptCount val="7"/>
                <c:pt idx="0">
                  <c:v>439</c:v>
                </c:pt>
                <c:pt idx="1">
                  <c:v>444</c:v>
                </c:pt>
                <c:pt idx="2">
                  <c:v>255</c:v>
                </c:pt>
                <c:pt idx="3">
                  <c:v>309</c:v>
                </c:pt>
                <c:pt idx="4">
                  <c:v>185</c:v>
                </c:pt>
                <c:pt idx="5">
                  <c:v>506</c:v>
                </c:pt>
                <c:pt idx="6">
                  <c:v>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76-452E-ACB6-5A4964035570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10 +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Planilha1!$E$2:$E$8</c:f>
              <c:numCache>
                <c:formatCode>General</c:formatCode>
                <c:ptCount val="7"/>
                <c:pt idx="0">
                  <c:v>2245</c:v>
                </c:pt>
                <c:pt idx="1">
                  <c:v>2081</c:v>
                </c:pt>
                <c:pt idx="2">
                  <c:v>1324</c:v>
                </c:pt>
                <c:pt idx="3">
                  <c:v>1640</c:v>
                </c:pt>
                <c:pt idx="4">
                  <c:v>1316</c:v>
                </c:pt>
                <c:pt idx="5">
                  <c:v>2691</c:v>
                </c:pt>
                <c:pt idx="6">
                  <c:v>2560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76-452E-ACB6-5A4964035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065536"/>
        <c:axId val="159950528"/>
      </c:barChart>
      <c:catAx>
        <c:axId val="16006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9950528"/>
        <c:crosses val="autoZero"/>
        <c:auto val="1"/>
        <c:lblAlgn val="ctr"/>
        <c:lblOffset val="100"/>
        <c:noMultiLvlLbl val="0"/>
      </c:catAx>
      <c:valAx>
        <c:axId val="15995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06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204352555104152E-2"/>
          <c:y val="0.11904498144628473"/>
          <c:w val="0.88047156309323549"/>
          <c:h val="0.64694408959196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Planilha1!$B$2:$B$8</c:f>
              <c:numCache>
                <c:formatCode>General</c:formatCode>
                <c:ptCount val="7"/>
                <c:pt idx="0">
                  <c:v>2214</c:v>
                </c:pt>
                <c:pt idx="1">
                  <c:v>1688</c:v>
                </c:pt>
                <c:pt idx="2">
                  <c:v>1561</c:v>
                </c:pt>
                <c:pt idx="3">
                  <c:v>1521</c:v>
                </c:pt>
                <c:pt idx="4">
                  <c:v>1720</c:v>
                </c:pt>
                <c:pt idx="5">
                  <c:v>3160</c:v>
                </c:pt>
                <c:pt idx="6">
                  <c:v>1536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1-4904-8E98-FF859E7B757F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Planilha1!$C$2:$C$8</c:f>
              <c:numCache>
                <c:formatCode>General</c:formatCode>
                <c:ptCount val="7"/>
                <c:pt idx="0">
                  <c:v>69</c:v>
                </c:pt>
                <c:pt idx="1">
                  <c:v>134</c:v>
                </c:pt>
                <c:pt idx="2">
                  <c:v>101</c:v>
                </c:pt>
                <c:pt idx="3">
                  <c:v>311</c:v>
                </c:pt>
                <c:pt idx="4">
                  <c:v>40</c:v>
                </c:pt>
                <c:pt idx="5">
                  <c:v>62</c:v>
                </c:pt>
                <c:pt idx="6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F1-4904-8E98-FF859E7B757F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2019.1</c:v>
                </c:pt>
              </c:strCache>
            </c:strRef>
          </c:cat>
          <c:val>
            <c:numRef>
              <c:f>Planilha1!$D$2:$D$8</c:f>
              <c:numCache>
                <c:formatCode>General</c:formatCode>
                <c:ptCount val="7"/>
                <c:pt idx="0">
                  <c:v>2588</c:v>
                </c:pt>
                <c:pt idx="1">
                  <c:v>2403</c:v>
                </c:pt>
                <c:pt idx="2">
                  <c:v>1084</c:v>
                </c:pt>
                <c:pt idx="3">
                  <c:v>1395</c:v>
                </c:pt>
                <c:pt idx="4">
                  <c:v>715</c:v>
                </c:pt>
                <c:pt idx="5">
                  <c:v>1369</c:v>
                </c:pt>
                <c:pt idx="6">
                  <c:v>1536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F1-4904-8E98-FF859E7B7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0384384"/>
        <c:axId val="159952256"/>
      </c:barChart>
      <c:catAx>
        <c:axId val="170384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9952256"/>
        <c:crosses val="autoZero"/>
        <c:auto val="1"/>
        <c:lblAlgn val="ctr"/>
        <c:lblOffset val="100"/>
        <c:noMultiLvlLbl val="0"/>
      </c:catAx>
      <c:valAx>
        <c:axId val="159952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038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10161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 Vitoriano Lima</dc:creator>
  <cp:lastModifiedBy>Yure Vitoriano Lima</cp:lastModifiedBy>
  <cp:revision>2</cp:revision>
  <dcterms:created xsi:type="dcterms:W3CDTF">2019-10-25T18:06:00Z</dcterms:created>
  <dcterms:modified xsi:type="dcterms:W3CDTF">2019-10-25T18:06:00Z</dcterms:modified>
</cp:coreProperties>
</file>