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69D" w:rsidRDefault="002B5776">
      <w:pPr>
        <w:pStyle w:val="Ttulo"/>
        <w:ind w:firstLine="75"/>
      </w:pPr>
      <w:r>
        <w:t>Do Colapso Ambiental à Fisiopatologia Humana: uma Revisão Integrativa sobre a Transferência Trófica de Microplásticos</w:t>
      </w:r>
    </w:p>
    <w:p w:rsidR="00AC769D" w:rsidRDefault="002B5776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bookmarkStart w:id="0" w:name="kf7p02coh9b4" w:colFirst="0" w:colLast="0"/>
      <w:bookmarkEnd w:id="0"/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Lucas Barros de Araujo, 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Otniel Alencar Bandeira, 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Aline Franco da Rocha,</w:t>
      </w:r>
      <w:r>
        <w:rPr>
          <w:sz w:val="24"/>
          <w:szCs w:val="24"/>
          <w:vertAlign w:val="superscript"/>
        </w:rPr>
        <w:t xml:space="preserve"> 4</w:t>
      </w:r>
      <w:r>
        <w:rPr>
          <w:sz w:val="24"/>
          <w:szCs w:val="24"/>
        </w:rPr>
        <w:t>Weber da Silva Robazza,</w:t>
      </w:r>
      <w:r>
        <w:rPr>
          <w:sz w:val="24"/>
          <w:szCs w:val="24"/>
          <w:vertAlign w:val="superscript"/>
        </w:rPr>
        <w:t xml:space="preserve"> 5</w:t>
      </w:r>
      <w:r w:rsidR="001D77E6" w:rsidRPr="001D77E6">
        <w:rPr>
          <w:sz w:val="24"/>
          <w:szCs w:val="24"/>
        </w:rPr>
        <w:t>Joana D’ arc Miguel da Silva</w:t>
      </w:r>
      <w:r w:rsidR="001D77E6">
        <w:rPr>
          <w:sz w:val="24"/>
          <w:szCs w:val="24"/>
        </w:rPr>
        <w:t xml:space="preserve">, </w:t>
      </w:r>
      <w:r w:rsidR="001D77E6" w:rsidRPr="001D77E6"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>Maria Lúcia do Carmo Cruz Robazzi</w:t>
      </w:r>
    </w:p>
    <w:p w:rsidR="001D77E6" w:rsidRPr="001D77E6" w:rsidRDefault="001D77E6" w:rsidP="001D77E6"/>
    <w:p w:rsidR="00AC769D" w:rsidRPr="001D77E6" w:rsidRDefault="002B5776">
      <w:pPr>
        <w:spacing w:line="228" w:lineRule="auto"/>
        <w:ind w:left="77" w:right="209"/>
        <w:jc w:val="center"/>
        <w:rPr>
          <w:i/>
          <w:iCs/>
          <w:sz w:val="24"/>
          <w:szCs w:val="24"/>
        </w:rPr>
      </w:pPr>
      <w:r w:rsidRPr="001D77E6">
        <w:rPr>
          <w:i/>
          <w:iCs/>
          <w:sz w:val="24"/>
          <w:szCs w:val="24"/>
          <w:vertAlign w:val="superscript"/>
        </w:rPr>
        <w:t>1</w:t>
      </w:r>
      <w:r w:rsidRPr="001D77E6">
        <w:rPr>
          <w:i/>
          <w:iCs/>
          <w:sz w:val="24"/>
          <w:szCs w:val="24"/>
        </w:rPr>
        <w:t xml:space="preserve">EERP - Universidade de São Paulo, e-mail: lucasbarrosdearaujo@usp.br; </w:t>
      </w:r>
      <w:r w:rsidRPr="001D77E6">
        <w:rPr>
          <w:i/>
          <w:iCs/>
          <w:sz w:val="24"/>
          <w:szCs w:val="24"/>
          <w:vertAlign w:val="superscript"/>
        </w:rPr>
        <w:t>2</w:t>
      </w:r>
      <w:r w:rsidRPr="001D77E6">
        <w:rPr>
          <w:i/>
          <w:iCs/>
          <w:sz w:val="24"/>
          <w:szCs w:val="24"/>
        </w:rPr>
        <w:t xml:space="preserve">EERP - Universidade de São Paulo, e-mail: otnielalencar@gmail.com; </w:t>
      </w:r>
      <w:r w:rsidRPr="001D77E6">
        <w:rPr>
          <w:i/>
          <w:iCs/>
          <w:sz w:val="24"/>
          <w:szCs w:val="24"/>
          <w:vertAlign w:val="superscript"/>
        </w:rPr>
        <w:t>3</w:t>
      </w:r>
      <w:r w:rsidRPr="001D77E6">
        <w:rPr>
          <w:i/>
          <w:iCs/>
          <w:sz w:val="24"/>
          <w:szCs w:val="24"/>
        </w:rPr>
        <w:t>EERP - Universidade de São Paulo</w:t>
      </w:r>
      <w:r w:rsidRPr="001D77E6">
        <w:rPr>
          <w:i/>
          <w:iCs/>
          <w:sz w:val="24"/>
          <w:szCs w:val="24"/>
          <w:highlight w:val="yellow"/>
        </w:rPr>
        <w:t>, e-mail: alineafr@uel.br</w:t>
      </w:r>
      <w:r w:rsidRPr="001D77E6">
        <w:rPr>
          <w:i/>
          <w:iCs/>
          <w:sz w:val="24"/>
          <w:szCs w:val="24"/>
        </w:rPr>
        <w:t xml:space="preserve">; </w:t>
      </w:r>
      <w:r w:rsidRPr="001D77E6">
        <w:rPr>
          <w:bCs/>
          <w:sz w:val="24"/>
          <w:szCs w:val="24"/>
          <w:vertAlign w:val="superscript"/>
        </w:rPr>
        <w:t>4</w:t>
      </w:r>
      <w:r w:rsidRPr="001D77E6">
        <w:rPr>
          <w:i/>
          <w:iCs/>
          <w:sz w:val="24"/>
          <w:szCs w:val="24"/>
        </w:rPr>
        <w:t>UDESC- Universidade Estadual de Santa Catarina, e-mail</w:t>
      </w:r>
      <w:r w:rsidRPr="001D77E6">
        <w:rPr>
          <w:i/>
          <w:iCs/>
          <w:sz w:val="24"/>
          <w:szCs w:val="24"/>
        </w:rPr>
        <w:t xml:space="preserve">: weber.robazzi@udesc.br; </w:t>
      </w:r>
      <w:r w:rsidRPr="001D77E6">
        <w:rPr>
          <w:bCs/>
          <w:sz w:val="24"/>
          <w:szCs w:val="24"/>
          <w:vertAlign w:val="superscript"/>
        </w:rPr>
        <w:t>5</w:t>
      </w:r>
      <w:r w:rsidR="001D77E6" w:rsidRPr="001D77E6">
        <w:rPr>
          <w:bCs/>
          <w:i/>
          <w:sz w:val="24"/>
          <w:szCs w:val="24"/>
        </w:rPr>
        <w:t>Universidade</w:t>
      </w:r>
      <w:r w:rsidR="001D77E6" w:rsidRPr="001D77E6">
        <w:rPr>
          <w:bCs/>
          <w:sz w:val="24"/>
          <w:szCs w:val="24"/>
          <w:vertAlign w:val="superscript"/>
        </w:rPr>
        <w:t xml:space="preserve"> </w:t>
      </w:r>
      <w:r w:rsidR="001D77E6" w:rsidRPr="001D77E6">
        <w:rPr>
          <w:i/>
          <w:iCs/>
          <w:sz w:val="24"/>
          <w:szCs w:val="24"/>
        </w:rPr>
        <w:t xml:space="preserve">Federal da Paraíba, e-mail: enferdarc@gmail.com; </w:t>
      </w:r>
      <w:r w:rsidR="001D77E6" w:rsidRPr="001D77E6">
        <w:rPr>
          <w:i/>
          <w:iCs/>
          <w:sz w:val="24"/>
          <w:szCs w:val="24"/>
          <w:vertAlign w:val="superscript"/>
        </w:rPr>
        <w:t>6</w:t>
      </w:r>
      <w:r w:rsidRPr="001D77E6">
        <w:rPr>
          <w:i/>
          <w:iCs/>
          <w:sz w:val="24"/>
          <w:szCs w:val="24"/>
        </w:rPr>
        <w:t>EERP</w:t>
      </w:r>
      <w:r w:rsidRPr="001D77E6">
        <w:rPr>
          <w:i/>
          <w:iCs/>
          <w:sz w:val="24"/>
          <w:szCs w:val="24"/>
        </w:rPr>
        <w:t xml:space="preserve"> - Universidade de São Paulo, e-mail: avrmlccr@eerp.usp.br</w:t>
      </w:r>
    </w:p>
    <w:p w:rsidR="00AC769D" w:rsidRDefault="00AC769D">
      <w:pPr>
        <w:spacing w:line="228" w:lineRule="auto"/>
        <w:ind w:left="77" w:right="209"/>
        <w:jc w:val="center"/>
        <w:rPr>
          <w:i/>
          <w:iCs/>
          <w:sz w:val="24"/>
          <w:szCs w:val="24"/>
        </w:rPr>
      </w:pPr>
    </w:p>
    <w:p w:rsidR="00AC769D" w:rsidRDefault="002B5776">
      <w:pPr>
        <w:spacing w:line="228" w:lineRule="auto"/>
        <w:ind w:left="77" w:right="209"/>
        <w:jc w:val="right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Educação Ambiental e Saúde </w:t>
      </w:r>
    </w:p>
    <w:p w:rsidR="00AC769D" w:rsidRDefault="002B5776">
      <w:pPr>
        <w:spacing w:line="228" w:lineRule="auto"/>
        <w:ind w:left="77" w:right="209"/>
        <w:jc w:val="right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Saúde pública e sustentabilidade.</w:t>
      </w:r>
    </w:p>
    <w:p w:rsidR="00AC769D" w:rsidRDefault="00AC769D">
      <w:pPr>
        <w:spacing w:line="228" w:lineRule="auto"/>
        <w:ind w:left="77" w:right="209"/>
        <w:jc w:val="right"/>
        <w:rPr>
          <w:i/>
          <w:iCs/>
          <w:sz w:val="24"/>
          <w:szCs w:val="24"/>
        </w:rPr>
      </w:pPr>
    </w:p>
    <w:p w:rsidR="00AC769D" w:rsidRDefault="002B5776">
      <w:pPr>
        <w:spacing w:line="228" w:lineRule="auto"/>
        <w:ind w:left="77" w:right="2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Resumo</w:t>
      </w:r>
    </w:p>
    <w:p w:rsidR="00AC769D" w:rsidRDefault="002B5776">
      <w:pPr>
        <w:ind w:left="0" w:right="209"/>
        <w:rPr>
          <w:sz w:val="24"/>
          <w:szCs w:val="24"/>
        </w:rPr>
      </w:pPr>
      <w:r>
        <w:rPr>
          <w:sz w:val="24"/>
          <w:szCs w:val="24"/>
        </w:rPr>
        <w:t>A poluição ambiental por microplásticos e sua consequente infiltração na cadeia alimentar repr</w:t>
      </w:r>
      <w:r>
        <w:rPr>
          <w:sz w:val="24"/>
          <w:szCs w:val="24"/>
        </w:rPr>
        <w:t>esentam um desafio emergente</w:t>
      </w:r>
      <w:r w:rsidR="00155421" w:rsidRPr="0090042D">
        <w:rPr>
          <w:sz w:val="24"/>
          <w:szCs w:val="24"/>
        </w:rPr>
        <w:t>;</w:t>
      </w:r>
      <w:r>
        <w:rPr>
          <w:sz w:val="24"/>
          <w:szCs w:val="24"/>
        </w:rPr>
        <w:t xml:space="preserve"> assim, urge a necessidade de monitorar de forma abrangente a via de exposição dietética pelos impactos multifacetados desses compostos na saúde pública</w:t>
      </w:r>
      <w:r w:rsidRPr="0090042D">
        <w:rPr>
          <w:sz w:val="24"/>
          <w:szCs w:val="24"/>
        </w:rPr>
        <w:t xml:space="preserve">. </w:t>
      </w:r>
      <w:r w:rsidR="00155421" w:rsidRPr="0090042D">
        <w:rPr>
          <w:sz w:val="24"/>
          <w:szCs w:val="24"/>
        </w:rPr>
        <w:t>O</w:t>
      </w:r>
      <w:r>
        <w:rPr>
          <w:sz w:val="24"/>
          <w:szCs w:val="24"/>
        </w:rPr>
        <w:t xml:space="preserve"> objetivo do presente estudo foi sistematizar o conhecimento acerca dos impactos gerados pela transferência trófica de microplásticos na saúde humana por meio da cadeia alimentar. Trata-se de uma revisão integrativa da literatura, orientada pelas diretrize</w:t>
      </w:r>
      <w:r>
        <w:rPr>
          <w:sz w:val="24"/>
          <w:szCs w:val="24"/>
        </w:rPr>
        <w:t>s</w:t>
      </w:r>
      <w:r w:rsidR="00155421">
        <w:rPr>
          <w:sz w:val="24"/>
          <w:szCs w:val="24"/>
        </w:rPr>
        <w:t xml:space="preserve"> do </w:t>
      </w:r>
      <w:r w:rsidR="00155421" w:rsidRPr="0090042D">
        <w:rPr>
          <w:i/>
          <w:iCs/>
          <w:sz w:val="24"/>
          <w:szCs w:val="24"/>
        </w:rPr>
        <w:t>Preferred Reporting Items for Systematic Reviews and Meta-Analyses</w:t>
      </w:r>
      <w:r w:rsidR="00155421" w:rsidRPr="0090042D">
        <w:rPr>
          <w:sz w:val="24"/>
          <w:szCs w:val="24"/>
        </w:rPr>
        <w:t xml:space="preserve"> (</w:t>
      </w:r>
      <w:r w:rsidRPr="0090042D">
        <w:rPr>
          <w:sz w:val="24"/>
          <w:szCs w:val="24"/>
        </w:rPr>
        <w:t>PRISMA</w:t>
      </w:r>
      <w:r w:rsidR="00155421" w:rsidRPr="0090042D">
        <w:rPr>
          <w:sz w:val="24"/>
          <w:szCs w:val="24"/>
        </w:rPr>
        <w:t>)</w:t>
      </w:r>
      <w:r w:rsidRPr="0090042D">
        <w:rPr>
          <w:sz w:val="24"/>
          <w:szCs w:val="24"/>
        </w:rPr>
        <w:t>. As</w:t>
      </w:r>
      <w:r>
        <w:rPr>
          <w:sz w:val="24"/>
          <w:szCs w:val="24"/>
        </w:rPr>
        <w:t xml:space="preserve"> buscas ocorreram em julho de 2026 nas bases BVS, PubMed, Scopus e Periódicos Capes, selecionando-se 15 artigos primários. Os resultados evidenciam que polímeros como polie</w:t>
      </w:r>
      <w:r>
        <w:rPr>
          <w:sz w:val="24"/>
          <w:szCs w:val="24"/>
        </w:rPr>
        <w:t>tileno tereftalato (PET) e polietileno (PE)  são ubíquos em pescados, produtos agrícolas e água envasada. A transposição de barreiras fisiológicas por essas partículas deflagra citotoxicidade, desregulação endócrina e, primordialmente, severo estresse oxid</w:t>
      </w:r>
      <w:r>
        <w:rPr>
          <w:sz w:val="24"/>
          <w:szCs w:val="24"/>
        </w:rPr>
        <w:t>ativo celular. Esse desequilíbrio induz respostas inflamatórias crônicas e potencial genotóxico. Conclui-se que a transferência trófica constitui uma via consolidada de exposição humana. Embora o risco clínico agudo seja atualmente subestimado, os danos in</w:t>
      </w:r>
      <w:r>
        <w:rPr>
          <w:sz w:val="24"/>
          <w:szCs w:val="24"/>
        </w:rPr>
        <w:t>tracelulares mapeados configuram uma ameaça biológica real em longo prazo, tornando imperativa a adoção de protocolos rigorosos de biomonitoramento dietético.</w:t>
      </w:r>
    </w:p>
    <w:p w:rsidR="00AC769D" w:rsidRDefault="002B5776" w:rsidP="001D77E6">
      <w:pPr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>
        <w:rPr>
          <w:sz w:val="24"/>
          <w:szCs w:val="24"/>
        </w:rPr>
        <w:t>Cadeia Alimentar; Ecotoxicologia; Medição de Risco; Meio Ambiente e Saúde Pública</w:t>
      </w:r>
      <w:r>
        <w:rPr>
          <w:sz w:val="24"/>
          <w:szCs w:val="24"/>
        </w:rPr>
        <w:t>; Microplásticos.</w:t>
      </w:r>
    </w:p>
    <w:p w:rsidR="00AC769D" w:rsidRDefault="002B5776">
      <w:pPr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Introdução</w:t>
      </w:r>
    </w:p>
    <w:p w:rsidR="00AC769D" w:rsidRDefault="002B5776">
      <w:pPr>
        <w:pBdr>
          <w:top w:val="nil"/>
          <w:left w:val="nil"/>
          <w:bottom w:val="nil"/>
          <w:right w:val="nil"/>
          <w:between w:val="nil"/>
        </w:pBdr>
        <w:spacing w:before="1"/>
        <w:ind w:left="0" w:firstLine="720"/>
        <w:rPr>
          <w:sz w:val="24"/>
          <w:szCs w:val="24"/>
        </w:rPr>
      </w:pPr>
      <w:r>
        <w:rPr>
          <w:sz w:val="24"/>
          <w:szCs w:val="24"/>
        </w:rPr>
        <w:t>A poluição ambiental por contaminantes emergentes, como os microplásticos (MPS), constitui um desafio crítico para a segurança alimentar global. O descarte inadequado e a degradação contínua de materiais sintéticos permitem que</w:t>
      </w:r>
      <w:r>
        <w:rPr>
          <w:sz w:val="24"/>
          <w:szCs w:val="24"/>
        </w:rPr>
        <w:t xml:space="preserve"> essas micropartículas infiltrem-se nos ecossistemas terrestres e aquáticos, inserindo-se diretamente nas cadeias tróficas e alcançando o metabolismo humano por meio do consumo alimentar  (Dagdelen; Turkyilmaz, Esenbuga; 2025).</w:t>
      </w:r>
      <w:r w:rsidR="00125616">
        <w:rPr>
          <w:sz w:val="24"/>
          <w:szCs w:val="24"/>
        </w:rPr>
        <w:t xml:space="preserve"> </w:t>
      </w:r>
      <w:r>
        <w:rPr>
          <w:sz w:val="24"/>
          <w:szCs w:val="24"/>
        </w:rPr>
        <w:t>A presença ubíqua desses pol</w:t>
      </w:r>
      <w:r>
        <w:rPr>
          <w:sz w:val="24"/>
          <w:szCs w:val="24"/>
        </w:rPr>
        <w:t>uentes é documentada em diversas matrizes alimentares de alto consumo, como hortaliças, frutas e vegetais, que quando cultivados em áreas sob pressão antrópica, acumulam concentrações significativas de MPS oriundos da água de irrigação, do solo e do uso ex</w:t>
      </w:r>
      <w:r>
        <w:rPr>
          <w:sz w:val="24"/>
          <w:szCs w:val="24"/>
        </w:rPr>
        <w:t xml:space="preserve">tensivo de embalagens plásticas (Giri </w:t>
      </w:r>
      <w:r>
        <w:rPr>
          <w:i/>
          <w:iCs/>
          <w:sz w:val="24"/>
          <w:szCs w:val="24"/>
        </w:rPr>
        <w:t>et al.</w:t>
      </w:r>
      <w:r>
        <w:rPr>
          <w:sz w:val="24"/>
          <w:szCs w:val="24"/>
        </w:rPr>
        <w:t>, 2024).</w:t>
      </w:r>
    </w:p>
    <w:p w:rsidR="00AC769D" w:rsidRDefault="002B5776">
      <w:pPr>
        <w:pBdr>
          <w:top w:val="nil"/>
          <w:left w:val="nil"/>
          <w:bottom w:val="nil"/>
          <w:right w:val="nil"/>
          <w:between w:val="nil"/>
        </w:pBdr>
        <w:spacing w:before="1"/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Paralelamente, em ambientes aquáticos, espécimes selvagens e de aquicultura, incluindo peixes de rio, robalos e camarões, apresentam alta incidência de contaminação por MPS. </w:t>
      </w:r>
      <w:r w:rsidR="00125616" w:rsidRPr="0090042D">
        <w:rPr>
          <w:sz w:val="24"/>
          <w:szCs w:val="24"/>
        </w:rPr>
        <w:t>P</w:t>
      </w:r>
      <w:r>
        <w:rPr>
          <w:sz w:val="24"/>
          <w:szCs w:val="24"/>
        </w:rPr>
        <w:t>artículas plásticas, predomi</w:t>
      </w:r>
      <w:r>
        <w:rPr>
          <w:sz w:val="24"/>
          <w:szCs w:val="24"/>
        </w:rPr>
        <w:t xml:space="preserve">nantemente em forma de fibras e fragmentos constituídos por polímeros como </w:t>
      </w:r>
      <w:r w:rsidRPr="0090042D">
        <w:rPr>
          <w:sz w:val="24"/>
          <w:szCs w:val="24"/>
        </w:rPr>
        <w:t>polietileno tereftalato (PET), polietileno (PE)</w:t>
      </w:r>
      <w:r w:rsidR="0090042D" w:rsidRPr="0090042D">
        <w:rPr>
          <w:sz w:val="24"/>
          <w:szCs w:val="24"/>
        </w:rPr>
        <w:t xml:space="preserve">, polipropileno (PP) </w:t>
      </w:r>
      <w:r w:rsidRPr="0090042D">
        <w:rPr>
          <w:sz w:val="24"/>
          <w:szCs w:val="24"/>
        </w:rPr>
        <w:t xml:space="preserve"> e cloreto de polivinila (PVC</w:t>
      </w:r>
      <w:r w:rsidRPr="0090042D">
        <w:rPr>
          <w:sz w:val="24"/>
          <w:szCs w:val="24"/>
        </w:rPr>
        <w:t>),</w:t>
      </w:r>
      <w:r>
        <w:rPr>
          <w:sz w:val="24"/>
          <w:szCs w:val="24"/>
        </w:rPr>
        <w:t xml:space="preserve"> alojam-se não apenas no trato gastrointestinal, mas também nos tecidos musculares comestíveis desse</w:t>
      </w:r>
      <w:r>
        <w:rPr>
          <w:sz w:val="24"/>
          <w:szCs w:val="24"/>
        </w:rPr>
        <w:t xml:space="preserve">s animais marinhos e de água doce (Matias </w:t>
      </w:r>
      <w:r>
        <w:rPr>
          <w:i/>
          <w:iCs/>
          <w:sz w:val="24"/>
          <w:szCs w:val="24"/>
        </w:rPr>
        <w:t>et al.</w:t>
      </w:r>
      <w:r>
        <w:rPr>
          <w:sz w:val="24"/>
          <w:szCs w:val="24"/>
        </w:rPr>
        <w:t>, 2024; Gao</w:t>
      </w:r>
      <w:r>
        <w:t xml:space="preserve">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>.,</w:t>
      </w:r>
      <w:r>
        <w:t xml:space="preserve"> 2025</w:t>
      </w:r>
      <w:r>
        <w:rPr>
          <w:sz w:val="24"/>
          <w:szCs w:val="24"/>
        </w:rPr>
        <w:t>)</w:t>
      </w:r>
      <w:r w:rsidR="006B4E70">
        <w:rPr>
          <w:sz w:val="24"/>
          <w:szCs w:val="24"/>
        </w:rPr>
        <w:t xml:space="preserve">, </w:t>
      </w:r>
      <w:r w:rsidR="006B4E70" w:rsidRPr="0090042D">
        <w:rPr>
          <w:sz w:val="24"/>
          <w:szCs w:val="24"/>
        </w:rPr>
        <w:t>o que significa que poderão estar presentes nos humanos que se alimentam desses animais</w:t>
      </w:r>
      <w:r w:rsidRPr="0090042D">
        <w:rPr>
          <w:sz w:val="24"/>
          <w:szCs w:val="24"/>
        </w:rPr>
        <w:t>.</w:t>
      </w:r>
    </w:p>
    <w:p w:rsidR="00AC769D" w:rsidRDefault="002B5776">
      <w:pPr>
        <w:pBdr>
          <w:top w:val="nil"/>
          <w:left w:val="nil"/>
          <w:bottom w:val="nil"/>
          <w:right w:val="nil"/>
          <w:between w:val="nil"/>
        </w:pBdr>
        <w:spacing w:before="1"/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Assim, urge a necessidade de monitorar de forma abrangente a via de exposição dietética </w:t>
      </w:r>
      <w:r>
        <w:rPr>
          <w:sz w:val="24"/>
          <w:szCs w:val="24"/>
        </w:rPr>
        <w:t>pelos impactos multifacetados desses compostos na saúde pública. Nesse sentido, o objetivo do presente estudo foi sistematizar o conhecimento acerca dos impactos gerados pela transferência trófica de MPS na saúde humana por meio da cadeia alimentar.</w:t>
      </w:r>
    </w:p>
    <w:p w:rsidR="00AC769D" w:rsidRDefault="00AC769D">
      <w:pPr>
        <w:pBdr>
          <w:top w:val="nil"/>
          <w:left w:val="nil"/>
          <w:bottom w:val="nil"/>
          <w:right w:val="nil"/>
          <w:between w:val="nil"/>
        </w:pBdr>
        <w:spacing w:before="1"/>
        <w:ind w:left="0" w:firstLine="720"/>
        <w:rPr>
          <w:sz w:val="24"/>
          <w:szCs w:val="24"/>
        </w:rPr>
      </w:pPr>
    </w:p>
    <w:p w:rsidR="00AC769D" w:rsidRDefault="002B5776">
      <w:pPr>
        <w:pBdr>
          <w:top w:val="nil"/>
          <w:left w:val="nil"/>
          <w:bottom w:val="nil"/>
          <w:right w:val="nil"/>
          <w:between w:val="nil"/>
        </w:pBdr>
        <w:spacing w:before="1"/>
        <w:ind w:left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Metod</w:t>
      </w:r>
      <w:r>
        <w:rPr>
          <w:b/>
          <w:bCs/>
          <w:color w:val="000000"/>
          <w:sz w:val="28"/>
          <w:szCs w:val="28"/>
        </w:rPr>
        <w:t>ologia</w:t>
      </w:r>
    </w:p>
    <w:p w:rsidR="00AC769D" w:rsidRDefault="002B5776" w:rsidP="00125616">
      <w:pPr>
        <w:ind w:left="0" w:firstLine="720"/>
        <w:rPr>
          <w:color w:val="000000"/>
          <w:sz w:val="24"/>
          <w:szCs w:val="24"/>
        </w:rPr>
      </w:pPr>
      <w:r>
        <w:rPr>
          <w:sz w:val="24"/>
          <w:szCs w:val="24"/>
        </w:rPr>
        <w:t>Trata-se de uma revisão integrativa de literatura, delineada em seis etapas rigorosas para a síntese do conhecimento (Mendes; Silveira; Galvão, 2019</w:t>
      </w:r>
      <w:r w:rsidRPr="0090042D">
        <w:rPr>
          <w:sz w:val="24"/>
          <w:szCs w:val="24"/>
        </w:rPr>
        <w:t>)</w:t>
      </w:r>
      <w:r w:rsidR="006B71B8" w:rsidRPr="0090042D">
        <w:rPr>
          <w:sz w:val="24"/>
          <w:szCs w:val="24"/>
        </w:rPr>
        <w:t xml:space="preserve">, </w:t>
      </w:r>
      <w:r w:rsidRPr="0090042D">
        <w:rPr>
          <w:sz w:val="24"/>
          <w:szCs w:val="24"/>
        </w:rPr>
        <w:t>tipo</w:t>
      </w:r>
      <w:r>
        <w:rPr>
          <w:sz w:val="24"/>
          <w:szCs w:val="24"/>
        </w:rPr>
        <w:t xml:space="preserve"> de estudo </w:t>
      </w:r>
      <w:r w:rsidR="006B71B8">
        <w:rPr>
          <w:sz w:val="24"/>
          <w:szCs w:val="24"/>
        </w:rPr>
        <w:t xml:space="preserve">que </w:t>
      </w:r>
      <w:r>
        <w:rPr>
          <w:sz w:val="24"/>
          <w:szCs w:val="24"/>
        </w:rPr>
        <w:t>permite correlacionar os resultados obtidos pelos autores e assim relatar os im</w:t>
      </w:r>
      <w:r>
        <w:rPr>
          <w:sz w:val="24"/>
          <w:szCs w:val="24"/>
        </w:rPr>
        <w:t xml:space="preserve">pactos da transferência trófica de MPS. A redação </w:t>
      </w:r>
      <w:r w:rsidRPr="0090042D">
        <w:rPr>
          <w:sz w:val="24"/>
          <w:szCs w:val="24"/>
        </w:rPr>
        <w:t>d</w:t>
      </w:r>
      <w:r w:rsidR="006B71B8" w:rsidRPr="0090042D">
        <w:rPr>
          <w:sz w:val="24"/>
          <w:szCs w:val="24"/>
        </w:rPr>
        <w:t>esse texto</w:t>
      </w:r>
      <w:r w:rsidRPr="0090042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seguiu as recomendações </w:t>
      </w:r>
      <w:r w:rsidRPr="0090042D">
        <w:rPr>
          <w:sz w:val="24"/>
          <w:szCs w:val="24"/>
        </w:rPr>
        <w:t xml:space="preserve">do </w:t>
      </w:r>
      <w:r w:rsidRPr="0090042D">
        <w:rPr>
          <w:i/>
          <w:iCs/>
          <w:sz w:val="24"/>
          <w:szCs w:val="24"/>
        </w:rPr>
        <w:t>Preferred Reporting Items for Systematic Reviews and Meta-Analyses</w:t>
      </w:r>
      <w:r>
        <w:rPr>
          <w:sz w:val="24"/>
          <w:szCs w:val="24"/>
        </w:rPr>
        <w:t xml:space="preserve"> (PRISMA) (Page </w:t>
      </w:r>
      <w:r>
        <w:rPr>
          <w:i/>
          <w:iCs/>
          <w:sz w:val="24"/>
          <w:szCs w:val="24"/>
        </w:rPr>
        <w:t>et al.</w:t>
      </w:r>
      <w:r>
        <w:rPr>
          <w:sz w:val="24"/>
          <w:szCs w:val="24"/>
        </w:rPr>
        <w:t>, 2022)</w:t>
      </w:r>
      <w:r w:rsidR="00125616">
        <w:rPr>
          <w:sz w:val="24"/>
          <w:szCs w:val="24"/>
        </w:rPr>
        <w:t xml:space="preserve">. </w:t>
      </w:r>
      <w:r>
        <w:rPr>
          <w:sz w:val="24"/>
          <w:szCs w:val="24"/>
        </w:rPr>
        <w:t>A questão norteadora foi construída com base na estratégia PI</w:t>
      </w:r>
      <w:r>
        <w:rPr>
          <w:sz w:val="24"/>
          <w:szCs w:val="24"/>
        </w:rPr>
        <w:t>CO (População, Interesse, Comparação - esse elemento não foi utilizado, pois não se pretende realizar nenhuma comparação -  e Desfecho): "Quais são os impactos gerados pela transferência trófica de MPS (Interesse) na saúde humana (População) por meio da ca</w:t>
      </w:r>
      <w:r>
        <w:rPr>
          <w:sz w:val="24"/>
          <w:szCs w:val="24"/>
        </w:rPr>
        <w:t>deia alimentar (Desfecho)?".</w:t>
      </w:r>
    </w:p>
    <w:p w:rsidR="00AC769D" w:rsidRDefault="002B5776">
      <w:pPr>
        <w:pBdr>
          <w:top w:val="nil"/>
          <w:left w:val="nil"/>
          <w:bottom w:val="nil"/>
          <w:right w:val="nil"/>
          <w:between w:val="nil"/>
        </w:pBdr>
        <w:spacing w:before="1"/>
        <w:ind w:left="0" w:firstLine="720"/>
        <w:rPr>
          <w:sz w:val="24"/>
          <w:szCs w:val="24"/>
        </w:rPr>
      </w:pPr>
      <w:r w:rsidRPr="0090042D">
        <w:rPr>
          <w:sz w:val="24"/>
          <w:szCs w:val="24"/>
        </w:rPr>
        <w:lastRenderedPageBreak/>
        <w:t xml:space="preserve">As buscas foram conduzidas em julho de 2026 nas bases </w:t>
      </w:r>
      <w:r w:rsidR="006B71B8" w:rsidRPr="0090042D">
        <w:rPr>
          <w:sz w:val="24"/>
          <w:szCs w:val="24"/>
        </w:rPr>
        <w:t>Biblioteca Virtual em Saúde (</w:t>
      </w:r>
      <w:r w:rsidRPr="0090042D">
        <w:rPr>
          <w:sz w:val="24"/>
          <w:szCs w:val="24"/>
        </w:rPr>
        <w:t>BVS</w:t>
      </w:r>
      <w:r w:rsidR="006B71B8" w:rsidRPr="0090042D">
        <w:rPr>
          <w:sz w:val="24"/>
          <w:szCs w:val="24"/>
        </w:rPr>
        <w:t>)</w:t>
      </w:r>
      <w:r w:rsidRPr="0090042D">
        <w:rPr>
          <w:sz w:val="24"/>
          <w:szCs w:val="24"/>
        </w:rPr>
        <w:t xml:space="preserve">, </w:t>
      </w:r>
      <w:r w:rsidR="006D7713" w:rsidRPr="0090042D">
        <w:rPr>
          <w:sz w:val="24"/>
          <w:szCs w:val="24"/>
        </w:rPr>
        <w:t xml:space="preserve">Scopus (da editora Elsevier), </w:t>
      </w:r>
      <w:r w:rsidR="00E22684" w:rsidRPr="0090042D">
        <w:rPr>
          <w:sz w:val="24"/>
          <w:szCs w:val="24"/>
        </w:rPr>
        <w:t xml:space="preserve">pelo recurso </w:t>
      </w:r>
      <w:r w:rsidRPr="0090042D">
        <w:rPr>
          <w:sz w:val="24"/>
          <w:szCs w:val="24"/>
        </w:rPr>
        <w:t>PubMed</w:t>
      </w:r>
      <w:r w:rsidR="00E22684" w:rsidRPr="0090042D">
        <w:rPr>
          <w:sz w:val="24"/>
          <w:szCs w:val="24"/>
        </w:rPr>
        <w:t xml:space="preserve"> da </w:t>
      </w:r>
      <w:r w:rsidR="00E22684" w:rsidRPr="0090042D">
        <w:rPr>
          <w:i/>
          <w:sz w:val="24"/>
          <w:szCs w:val="24"/>
        </w:rPr>
        <w:t>Medical Literature Analysis and Retrieval System Line/Online</w:t>
      </w:r>
      <w:r w:rsidR="00E22684" w:rsidRPr="0090042D">
        <w:rPr>
          <w:sz w:val="24"/>
          <w:szCs w:val="24"/>
        </w:rPr>
        <w:t xml:space="preserve"> (</w:t>
      </w:r>
      <w:r w:rsidRPr="0090042D">
        <w:rPr>
          <w:sz w:val="24"/>
          <w:szCs w:val="24"/>
        </w:rPr>
        <w:t>MEDLINE</w:t>
      </w:r>
      <w:r w:rsidR="00E22684" w:rsidRPr="0090042D">
        <w:rPr>
          <w:sz w:val="24"/>
          <w:szCs w:val="24"/>
        </w:rPr>
        <w:t>)</w:t>
      </w:r>
      <w:r w:rsidRPr="0090042D">
        <w:rPr>
          <w:sz w:val="24"/>
          <w:szCs w:val="24"/>
        </w:rPr>
        <w:t xml:space="preserve"> </w:t>
      </w:r>
      <w:r w:rsidRPr="0090042D">
        <w:rPr>
          <w:sz w:val="24"/>
          <w:szCs w:val="24"/>
        </w:rPr>
        <w:t xml:space="preserve">e </w:t>
      </w:r>
      <w:r w:rsidR="006D7713" w:rsidRPr="0090042D">
        <w:rPr>
          <w:sz w:val="24"/>
          <w:szCs w:val="24"/>
        </w:rPr>
        <w:t xml:space="preserve">no Portal de Periódicos CAPES. </w:t>
      </w:r>
      <w:r w:rsidRPr="0090042D">
        <w:rPr>
          <w:sz w:val="24"/>
          <w:szCs w:val="24"/>
        </w:rPr>
        <w:t xml:space="preserve">A estratégia metodológica combinou descritores controlados </w:t>
      </w:r>
      <w:r w:rsidRPr="0090042D">
        <w:rPr>
          <w:i/>
          <w:iCs/>
          <w:sz w:val="24"/>
          <w:szCs w:val="24"/>
        </w:rPr>
        <w:t>Humans; Microplastics; Food</w:t>
      </w:r>
      <w:r>
        <w:rPr>
          <w:i/>
          <w:iCs/>
          <w:sz w:val="24"/>
          <w:szCs w:val="24"/>
        </w:rPr>
        <w:t xml:space="preserve"> Chain; Risk Assessment</w:t>
      </w:r>
      <w:r>
        <w:rPr>
          <w:sz w:val="24"/>
          <w:szCs w:val="24"/>
        </w:rPr>
        <w:t xml:space="preserve"> e seus sinônimos, articulados por operadores booleanos. A equação estrutural de busca foi desenvolvida com suporte do modelo de</w:t>
      </w:r>
      <w:r>
        <w:rPr>
          <w:sz w:val="24"/>
          <w:szCs w:val="24"/>
        </w:rPr>
        <w:t xml:space="preserve"> linguagem Gemini 3.1 Pro, sendo integralmente validada por revisão manual dos pesquisadores e, posteriormente, adaptada às especificidades sintáticas de cada base de dados.</w:t>
      </w:r>
    </w:p>
    <w:p w:rsidR="00AC769D" w:rsidRDefault="002B5776">
      <w:pPr>
        <w:pBdr>
          <w:top w:val="nil"/>
          <w:left w:val="nil"/>
          <w:bottom w:val="nil"/>
          <w:right w:val="nil"/>
          <w:between w:val="nil"/>
        </w:pBdr>
        <w:spacing w:before="1"/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Para os critérios de inclusão, foram considerados os artigos </w:t>
      </w:r>
      <w:r w:rsidRPr="0090042D">
        <w:rPr>
          <w:sz w:val="24"/>
          <w:szCs w:val="24"/>
        </w:rPr>
        <w:t>primários entre 2021</w:t>
      </w:r>
      <w:r w:rsidR="00125616" w:rsidRPr="0090042D">
        <w:rPr>
          <w:sz w:val="24"/>
          <w:szCs w:val="24"/>
        </w:rPr>
        <w:t>-</w:t>
      </w:r>
      <w:r w:rsidRPr="0090042D">
        <w:rPr>
          <w:sz w:val="24"/>
          <w:szCs w:val="24"/>
        </w:rPr>
        <w:t xml:space="preserve">2026, disponíveis na íntegra, gratuitos e </w:t>
      </w:r>
      <w:r w:rsidRPr="0090042D">
        <w:rPr>
          <w:i/>
          <w:iCs/>
          <w:sz w:val="24"/>
          <w:szCs w:val="24"/>
        </w:rPr>
        <w:t>online</w:t>
      </w:r>
      <w:r w:rsidRPr="0090042D">
        <w:rPr>
          <w:sz w:val="24"/>
          <w:szCs w:val="24"/>
        </w:rPr>
        <w:t xml:space="preserve">, nos idiomas português, inglês ou espanhol, que abordassem a transferência trófica de MPS e seus efeitos na saúde. </w:t>
      </w:r>
      <w:r w:rsidR="00001939" w:rsidRPr="0090042D">
        <w:rPr>
          <w:sz w:val="24"/>
          <w:szCs w:val="24"/>
        </w:rPr>
        <w:t>Foram excluidos:</w:t>
      </w:r>
      <w:r w:rsidRPr="0090042D">
        <w:rPr>
          <w:sz w:val="24"/>
          <w:szCs w:val="24"/>
        </w:rPr>
        <w:t xml:space="preserve"> revisões de literatura, textos incompletos, estudos com dados secundários, </w:t>
      </w:r>
      <w:r w:rsidRPr="0090042D">
        <w:rPr>
          <w:sz w:val="24"/>
          <w:szCs w:val="24"/>
        </w:rPr>
        <w:t xml:space="preserve">artigos de opinião, editoriais, </w:t>
      </w:r>
      <w:r w:rsidR="00D045E1" w:rsidRPr="0090042D">
        <w:rPr>
          <w:sz w:val="24"/>
          <w:szCs w:val="24"/>
        </w:rPr>
        <w:t>textos</w:t>
      </w:r>
      <w:r w:rsidR="00D045E1">
        <w:rPr>
          <w:sz w:val="24"/>
          <w:szCs w:val="24"/>
        </w:rPr>
        <w:t xml:space="preserve"> </w:t>
      </w:r>
      <w:r>
        <w:rPr>
          <w:sz w:val="24"/>
          <w:szCs w:val="24"/>
        </w:rPr>
        <w:t>duplicados nas bases de dados, bem como literatura cinzenta (teses, dissertações e resumos em anais de eventos).</w:t>
      </w:r>
    </w:p>
    <w:p w:rsidR="00AC769D" w:rsidRDefault="002B5776" w:rsidP="00851D08">
      <w:pPr>
        <w:pBdr>
          <w:top w:val="nil"/>
          <w:left w:val="nil"/>
          <w:bottom w:val="nil"/>
          <w:right w:val="nil"/>
          <w:between w:val="nil"/>
        </w:pBdr>
        <w:spacing w:before="1"/>
        <w:ind w:left="0" w:firstLine="720"/>
        <w:rPr>
          <w:sz w:val="24"/>
          <w:szCs w:val="24"/>
        </w:rPr>
      </w:pPr>
      <w:r w:rsidRPr="0090042D">
        <w:rPr>
          <w:sz w:val="24"/>
          <w:szCs w:val="24"/>
        </w:rPr>
        <w:t xml:space="preserve">Os artigos encontrados foram exportados para o </w:t>
      </w:r>
      <w:r w:rsidR="00851D08" w:rsidRPr="0090042D">
        <w:rPr>
          <w:sz w:val="24"/>
          <w:szCs w:val="24"/>
        </w:rPr>
        <w:t>programa Rayyan QCRI (</w:t>
      </w:r>
      <w:r w:rsidR="00851D08" w:rsidRPr="0090042D">
        <w:rPr>
          <w:i/>
          <w:sz w:val="24"/>
          <w:szCs w:val="24"/>
        </w:rPr>
        <w:t>Qatar Computing Research Institute</w:t>
      </w:r>
      <w:r w:rsidR="00851D08" w:rsidRPr="0090042D">
        <w:rPr>
          <w:sz w:val="24"/>
          <w:szCs w:val="24"/>
        </w:rPr>
        <w:t xml:space="preserve">), </w:t>
      </w:r>
      <w:r w:rsidRPr="0090042D">
        <w:rPr>
          <w:sz w:val="24"/>
          <w:szCs w:val="24"/>
        </w:rPr>
        <w:t>no qual foi realizad</w:t>
      </w:r>
      <w:r>
        <w:rPr>
          <w:sz w:val="24"/>
          <w:szCs w:val="24"/>
        </w:rPr>
        <w:t>a a identificação automática  e remoção manual de estudos duplicados. Em seguida, foi realizada uma triagem independente entre os revisores, garantindo a mitigação de vieses de seleção.</w:t>
      </w:r>
      <w:r w:rsidR="00851D08" w:rsidRPr="00851D08">
        <w:t xml:space="preserve"> </w:t>
      </w:r>
    </w:p>
    <w:p w:rsidR="00AC769D" w:rsidRDefault="002B5776">
      <w:pPr>
        <w:pBdr>
          <w:top w:val="nil"/>
          <w:left w:val="nil"/>
          <w:bottom w:val="nil"/>
          <w:right w:val="nil"/>
          <w:between w:val="nil"/>
        </w:pBdr>
        <w:spacing w:before="1"/>
        <w:ind w:left="0" w:firstLine="720"/>
        <w:rPr>
          <w:sz w:val="24"/>
          <w:szCs w:val="24"/>
        </w:rPr>
      </w:pPr>
      <w:r>
        <w:rPr>
          <w:sz w:val="24"/>
          <w:szCs w:val="24"/>
        </w:rPr>
        <w:t>Para a extração dos dados, f</w:t>
      </w:r>
      <w:r>
        <w:rPr>
          <w:sz w:val="24"/>
          <w:szCs w:val="24"/>
        </w:rPr>
        <w:t xml:space="preserve">oi elaborado um formulário padronizado pelos autores. Esta etapa foi assistida pela inteligência artificial generativa NotebookLM. Enfatiza-se que o uso da ferramenta teve caráter auxiliar, e todas as informações sintetizadas foram rigorosamente testadas, </w:t>
      </w:r>
      <w:r>
        <w:rPr>
          <w:sz w:val="24"/>
          <w:szCs w:val="24"/>
        </w:rPr>
        <w:t xml:space="preserve">conferidas e validadas pelos autores antes da redação final da revisão. </w:t>
      </w:r>
    </w:p>
    <w:p w:rsidR="001D2264" w:rsidRDefault="001D2264">
      <w:pPr>
        <w:pBdr>
          <w:top w:val="nil"/>
          <w:left w:val="nil"/>
          <w:bottom w:val="nil"/>
          <w:right w:val="nil"/>
          <w:between w:val="nil"/>
        </w:pBdr>
        <w:spacing w:before="1"/>
        <w:ind w:left="0"/>
        <w:rPr>
          <w:b/>
          <w:bCs/>
          <w:color w:val="000000"/>
          <w:sz w:val="28"/>
          <w:szCs w:val="28"/>
        </w:rPr>
      </w:pPr>
    </w:p>
    <w:p w:rsidR="00AC769D" w:rsidRDefault="002B5776">
      <w:pPr>
        <w:pBdr>
          <w:top w:val="nil"/>
          <w:left w:val="nil"/>
          <w:bottom w:val="nil"/>
          <w:right w:val="nil"/>
          <w:between w:val="nil"/>
        </w:pBdr>
        <w:spacing w:before="1"/>
        <w:ind w:left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Resultados e Discussão</w:t>
      </w:r>
    </w:p>
    <w:p w:rsidR="00AC769D" w:rsidRDefault="002B5776">
      <w:pPr>
        <w:spacing w:after="160"/>
        <w:ind w:left="0" w:firstLine="720"/>
        <w:rPr>
          <w:sz w:val="24"/>
          <w:szCs w:val="24"/>
        </w:rPr>
      </w:pPr>
      <w:r w:rsidRPr="0090042D">
        <w:rPr>
          <w:sz w:val="24"/>
          <w:szCs w:val="24"/>
        </w:rPr>
        <w:t>A busca inicial nas bases de dados resultou em 1353</w:t>
      </w:r>
      <w:r w:rsidR="00C17EAD" w:rsidRPr="0090042D">
        <w:rPr>
          <w:sz w:val="24"/>
          <w:szCs w:val="24"/>
        </w:rPr>
        <w:t xml:space="preserve"> artigos.</w:t>
      </w:r>
      <w:r w:rsidRPr="0090042D">
        <w:rPr>
          <w:sz w:val="24"/>
          <w:szCs w:val="24"/>
        </w:rPr>
        <w:t xml:space="preserve"> Ao final do processo de seleção foram incluídos 15</w:t>
      </w:r>
      <w:r w:rsidR="00C17EAD" w:rsidRPr="0090042D">
        <w:rPr>
          <w:sz w:val="24"/>
          <w:szCs w:val="24"/>
        </w:rPr>
        <w:t>,</w:t>
      </w:r>
      <w:r w:rsidRPr="0090042D">
        <w:rPr>
          <w:sz w:val="24"/>
          <w:szCs w:val="24"/>
        </w:rPr>
        <w:t xml:space="preserve"> </w:t>
      </w:r>
      <w:r w:rsidR="00C17EAD" w:rsidRPr="0090042D">
        <w:rPr>
          <w:sz w:val="24"/>
          <w:szCs w:val="24"/>
        </w:rPr>
        <w:t xml:space="preserve">que atenderam </w:t>
      </w:r>
      <w:r w:rsidRPr="0090042D">
        <w:rPr>
          <w:sz w:val="24"/>
          <w:szCs w:val="24"/>
        </w:rPr>
        <w:t>aos critérios de inclusão e resp</w:t>
      </w:r>
      <w:r w:rsidRPr="0090042D">
        <w:rPr>
          <w:sz w:val="24"/>
          <w:szCs w:val="24"/>
        </w:rPr>
        <w:t xml:space="preserve">onderem à questão norteadora. Quanto ao ano de publicação, observou-se uma maior concentração de </w:t>
      </w:r>
      <w:r w:rsidR="00C17EAD" w:rsidRPr="0090042D">
        <w:rPr>
          <w:sz w:val="24"/>
          <w:szCs w:val="24"/>
        </w:rPr>
        <w:t xml:space="preserve">publicações </w:t>
      </w:r>
      <w:r w:rsidRPr="0090042D">
        <w:rPr>
          <w:sz w:val="24"/>
          <w:szCs w:val="24"/>
        </w:rPr>
        <w:t>nos</w:t>
      </w:r>
      <w:r>
        <w:rPr>
          <w:sz w:val="24"/>
          <w:szCs w:val="24"/>
        </w:rPr>
        <w:t xml:space="preserve"> anos de 2025 (33,3%) e 2023 (26,7%), com as demais distribuídas entre 2026 (13,3%), 2022 (13,3%), 2024 (6,7%) e 2021 (6,7%). Em relação ao deli</w:t>
      </w:r>
      <w:r>
        <w:rPr>
          <w:sz w:val="24"/>
          <w:szCs w:val="24"/>
        </w:rPr>
        <w:t xml:space="preserve">neamento metodológico, predominaram os estudos transversais (46,7%) e ensaios experimentais estruturados em modelos </w:t>
      </w:r>
      <w:r>
        <w:rPr>
          <w:i/>
          <w:iCs/>
          <w:sz w:val="24"/>
          <w:szCs w:val="24"/>
        </w:rPr>
        <w:t>in vivo</w:t>
      </w:r>
      <w:r>
        <w:rPr>
          <w:sz w:val="24"/>
          <w:szCs w:val="24"/>
        </w:rPr>
        <w:t xml:space="preserve"> e </w:t>
      </w:r>
      <w:r>
        <w:rPr>
          <w:i/>
          <w:iCs/>
          <w:sz w:val="24"/>
          <w:szCs w:val="24"/>
        </w:rPr>
        <w:t>in vitro</w:t>
      </w:r>
      <w:r>
        <w:rPr>
          <w:sz w:val="24"/>
          <w:szCs w:val="24"/>
        </w:rPr>
        <w:t xml:space="preserve"> (46,7%); os estudos de caso, de campo e laboratório, fecham o escopo do presente trabalho representando 6,7% do total. </w:t>
      </w:r>
    </w:p>
    <w:p w:rsidR="00BD7234" w:rsidRPr="0090042D" w:rsidRDefault="002B5776" w:rsidP="00125616">
      <w:pPr>
        <w:spacing w:after="160"/>
        <w:ind w:left="0"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>D</w:t>
      </w:r>
      <w:r>
        <w:rPr>
          <w:sz w:val="24"/>
          <w:szCs w:val="24"/>
        </w:rPr>
        <w:t xml:space="preserve">iferentes polímeros MPS entram em alimentos aquáticos e terrestres, penetram em tecidos comestíveis </w:t>
      </w:r>
      <w:r w:rsidRPr="0090042D">
        <w:rPr>
          <w:sz w:val="24"/>
          <w:szCs w:val="24"/>
        </w:rPr>
        <w:t>e chegam a</w:t>
      </w:r>
      <w:r w:rsidR="00C17EAD" w:rsidRPr="0090042D">
        <w:rPr>
          <w:sz w:val="24"/>
          <w:szCs w:val="24"/>
        </w:rPr>
        <w:t>os</w:t>
      </w:r>
      <w:r w:rsidRPr="0090042D">
        <w:rPr>
          <w:sz w:val="24"/>
          <w:szCs w:val="24"/>
        </w:rPr>
        <w:t xml:space="preserve"> peixes, moluscos, crustáceos, frutas e hortaliças, sustentando a via dietética para humanos (Zhang </w:t>
      </w:r>
      <w:r w:rsidRPr="0090042D">
        <w:rPr>
          <w:i/>
          <w:iCs/>
          <w:sz w:val="24"/>
          <w:szCs w:val="24"/>
        </w:rPr>
        <w:t>et al</w:t>
      </w:r>
      <w:r w:rsidRPr="0090042D">
        <w:rPr>
          <w:sz w:val="24"/>
          <w:szCs w:val="24"/>
        </w:rPr>
        <w:t>., 2026; Aydin et al., 2023).</w:t>
      </w:r>
      <w:r w:rsidR="00125616" w:rsidRPr="0090042D">
        <w:rPr>
          <w:sz w:val="24"/>
          <w:szCs w:val="24"/>
        </w:rPr>
        <w:t xml:space="preserve"> </w:t>
      </w:r>
    </w:p>
    <w:p w:rsidR="00AC769D" w:rsidRDefault="00C17EAD" w:rsidP="00BD7234">
      <w:pPr>
        <w:spacing w:after="160"/>
        <w:ind w:left="0" w:firstLine="720"/>
        <w:rPr>
          <w:sz w:val="24"/>
          <w:szCs w:val="24"/>
        </w:rPr>
      </w:pPr>
      <w:r w:rsidRPr="0090042D">
        <w:rPr>
          <w:sz w:val="24"/>
          <w:szCs w:val="24"/>
        </w:rPr>
        <w:t>Nos estudos, foram identificados o PET como o polímero plástico mais recorrente em organismos aquáticos e alimentos, enquanto o PE e o PP</w:t>
      </w:r>
      <w:r w:rsidR="0090042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foram identificados repetidamente em peixes, moluscos, camarões e vegetais. Eles aparecem sobretudo no trato gastrointestinal e em tecidos de consumo, como músculos e brânquias, bem como em organismos inteiros e partes comestíveis de vegetais (Gao </w:t>
      </w:r>
      <w:r>
        <w:rPr>
          <w:i/>
          <w:iCs/>
          <w:sz w:val="24"/>
          <w:szCs w:val="24"/>
        </w:rPr>
        <w:t>et al.,</w:t>
      </w:r>
      <w:r>
        <w:rPr>
          <w:sz w:val="24"/>
          <w:szCs w:val="24"/>
        </w:rPr>
        <w:t xml:space="preserve"> 2025; Aydin </w:t>
      </w:r>
      <w:r>
        <w:rPr>
          <w:i/>
          <w:iCs/>
          <w:sz w:val="24"/>
          <w:szCs w:val="24"/>
        </w:rPr>
        <w:t>et al.,</w:t>
      </w:r>
      <w:r>
        <w:rPr>
          <w:sz w:val="24"/>
          <w:szCs w:val="24"/>
        </w:rPr>
        <w:t xml:space="preserve"> 2023).</w:t>
      </w:r>
      <w:r w:rsidR="00BD72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transferência desses polímeros para o organismo humano ocorre de forma multifatorial, envolvendo processos biológicos e antropogênicos. No que se refere às vias de exposição dietética, a literatura detalha as seguintes vias principais: a) consumo de pescados e mariscos; b) produtos agrícolas; c) água e bebidas (Ciucă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., 2025; Aydın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>., 2023).</w:t>
      </w:r>
      <w:r w:rsidR="00BD72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Uma vez ingeridos, partículas de tamanhos específicos conseguem transpor barreiras fisiológicas críticas e interagem com o sistema biológico por meio de mecanismos físicos e químicos complexos envolvendo desde danos celulares locais até disfunções sistêmicas crônicas (Roslan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., 2024). </w:t>
      </w:r>
    </w:p>
    <w:p w:rsidR="00AC769D" w:rsidRDefault="00BD7234">
      <w:pPr>
        <w:pBdr>
          <w:top w:val="nil"/>
          <w:left w:val="nil"/>
          <w:bottom w:val="nil"/>
          <w:right w:val="nil"/>
          <w:between w:val="nil"/>
        </w:pBdr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Determinadas partículas extraídas de bivalves possuem atividade hemolítica, sugerindo danos diretos às células sanguíneas (Zeng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., 2025; Roslan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., 2024). Em nível sistêmico, destaca-se o estresse oxidativo como um desfecho central, resultando na formação de Espécies Reativas ao Oxigênio (ROS) que podem levar aos danos no </w:t>
      </w:r>
      <w:r w:rsidR="00992A7A" w:rsidRPr="0090042D">
        <w:rPr>
          <w:i/>
          <w:iCs/>
          <w:sz w:val="24"/>
          <w:szCs w:val="24"/>
        </w:rPr>
        <w:t xml:space="preserve">Deoxyribonucleic Acid </w:t>
      </w:r>
      <w:r w:rsidR="00992A7A" w:rsidRPr="0090042D">
        <w:rPr>
          <w:sz w:val="24"/>
          <w:szCs w:val="24"/>
        </w:rPr>
        <w:t>(</w:t>
      </w:r>
      <w:r w:rsidRPr="0090042D">
        <w:rPr>
          <w:sz w:val="24"/>
          <w:szCs w:val="24"/>
        </w:rPr>
        <w:t>DNA</w:t>
      </w:r>
      <w:r w:rsidR="00992A7A" w:rsidRPr="0090042D">
        <w:rPr>
          <w:sz w:val="24"/>
          <w:szCs w:val="24"/>
        </w:rPr>
        <w:t>)</w:t>
      </w:r>
      <w:r w:rsidRPr="0090042D">
        <w:rPr>
          <w:sz w:val="24"/>
          <w:szCs w:val="24"/>
        </w:rPr>
        <w:t>, desregulação</w:t>
      </w:r>
      <w:r>
        <w:rPr>
          <w:sz w:val="24"/>
          <w:szCs w:val="24"/>
        </w:rPr>
        <w:t xml:space="preserve"> endócrina, respostas inflamatórias e  aumento do risco de câncer (Bwala.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., 2026; Ciucă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., 2025). </w:t>
      </w:r>
    </w:p>
    <w:p w:rsidR="00125616" w:rsidRDefault="002B5776">
      <w:pPr>
        <w:pBdr>
          <w:top w:val="nil"/>
          <w:left w:val="nil"/>
          <w:bottom w:val="nil"/>
          <w:right w:val="nil"/>
          <w:between w:val="nil"/>
        </w:pBdr>
        <w:ind w:left="0" w:firstLine="720"/>
        <w:rPr>
          <w:sz w:val="24"/>
          <w:szCs w:val="24"/>
        </w:rPr>
      </w:pPr>
      <w:r>
        <w:rPr>
          <w:sz w:val="24"/>
          <w:szCs w:val="24"/>
        </w:rPr>
        <w:t>A exposição humana pela dieta é plausível e mensurável, no entanto, alguns estudos classificam o risco direto como baixo</w:t>
      </w:r>
      <w:r>
        <w:rPr>
          <w:sz w:val="24"/>
          <w:szCs w:val="24"/>
        </w:rPr>
        <w:t xml:space="preserve"> ou incerto (Anwar </w:t>
      </w:r>
      <w:r>
        <w:rPr>
          <w:i/>
          <w:iCs/>
          <w:sz w:val="24"/>
          <w:szCs w:val="24"/>
        </w:rPr>
        <w:t>et al.,</w:t>
      </w:r>
      <w:r>
        <w:rPr>
          <w:sz w:val="24"/>
          <w:szCs w:val="24"/>
        </w:rPr>
        <w:t xml:space="preserve"> 2025; Bwala </w:t>
      </w:r>
      <w:r>
        <w:rPr>
          <w:i/>
          <w:iCs/>
          <w:sz w:val="24"/>
          <w:szCs w:val="24"/>
        </w:rPr>
        <w:t>et al.,</w:t>
      </w:r>
      <w:r>
        <w:rPr>
          <w:sz w:val="24"/>
          <w:szCs w:val="24"/>
        </w:rPr>
        <w:t xml:space="preserve"> 2026). Acresce-se que os métodos de detecção das micropartículas em humanos vêm se aperfeiçoando. Revisão e meta-análise recente indicam que métodos automatizados modernos detectam concentrações de MPS em órgã</w:t>
      </w:r>
      <w:r>
        <w:rPr>
          <w:sz w:val="24"/>
          <w:szCs w:val="24"/>
        </w:rPr>
        <w:t xml:space="preserve">os humanos até 70 vezes maiores que métodos manuais antigos. Isso sugere que a carga corporal foi subestimada e que técnicas automatizadas são essenciais para avaliações de risco toxicológico mais precisas (Scotton </w:t>
      </w:r>
      <w:r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>.,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2026).</w:t>
      </w:r>
      <w:r w:rsidR="00772957">
        <w:rPr>
          <w:sz w:val="24"/>
          <w:szCs w:val="24"/>
        </w:rPr>
        <w:t xml:space="preserve"> </w:t>
      </w:r>
      <w:r w:rsidR="00BD7234" w:rsidRPr="0090042D">
        <w:rPr>
          <w:sz w:val="24"/>
          <w:szCs w:val="24"/>
        </w:rPr>
        <w:t>Em e</w:t>
      </w:r>
      <w:r w:rsidR="00772957" w:rsidRPr="0090042D">
        <w:rPr>
          <w:sz w:val="24"/>
          <w:szCs w:val="24"/>
        </w:rPr>
        <w:t xml:space="preserve">studo sobre o consumo humano de MPS </w:t>
      </w:r>
      <w:r w:rsidR="00BD7234" w:rsidRPr="0090042D">
        <w:rPr>
          <w:sz w:val="24"/>
          <w:szCs w:val="24"/>
        </w:rPr>
        <w:t xml:space="preserve">em </w:t>
      </w:r>
      <w:r w:rsidR="00772957" w:rsidRPr="0090042D">
        <w:rPr>
          <w:sz w:val="24"/>
          <w:szCs w:val="24"/>
        </w:rPr>
        <w:t xml:space="preserve">alimentos marinhos, </w:t>
      </w:r>
      <w:r w:rsidR="00BD7234" w:rsidRPr="0090042D">
        <w:rPr>
          <w:sz w:val="24"/>
          <w:szCs w:val="24"/>
        </w:rPr>
        <w:t>foi destacada</w:t>
      </w:r>
      <w:r w:rsidR="00772957" w:rsidRPr="0090042D">
        <w:rPr>
          <w:sz w:val="24"/>
          <w:szCs w:val="24"/>
        </w:rPr>
        <w:t xml:space="preserve"> a relação entre a exposição humana</w:t>
      </w:r>
      <w:r w:rsidR="00410853" w:rsidRPr="0090042D">
        <w:rPr>
          <w:sz w:val="24"/>
          <w:szCs w:val="24"/>
        </w:rPr>
        <w:t xml:space="preserve"> com danos à saúde </w:t>
      </w:r>
      <w:r w:rsidR="00772957" w:rsidRPr="0090042D">
        <w:rPr>
          <w:sz w:val="24"/>
          <w:szCs w:val="24"/>
        </w:rPr>
        <w:t>e a contaminação por MPS presentes nestes alimentos</w:t>
      </w:r>
      <w:r w:rsidR="0036440B" w:rsidRPr="0090042D">
        <w:rPr>
          <w:sz w:val="24"/>
          <w:szCs w:val="24"/>
        </w:rPr>
        <w:t>.</w:t>
      </w:r>
      <w:r w:rsidR="00772957" w:rsidRPr="0090042D">
        <w:rPr>
          <w:sz w:val="24"/>
          <w:szCs w:val="24"/>
        </w:rPr>
        <w:t xml:space="preserve"> Recomend</w:t>
      </w:r>
      <w:r w:rsidR="00BD7234" w:rsidRPr="0090042D">
        <w:rPr>
          <w:sz w:val="24"/>
          <w:szCs w:val="24"/>
        </w:rPr>
        <w:t>ou-se</w:t>
      </w:r>
      <w:r w:rsidR="00772957" w:rsidRPr="0090042D">
        <w:rPr>
          <w:sz w:val="24"/>
          <w:szCs w:val="24"/>
        </w:rPr>
        <w:t xml:space="preserve"> a criação de políticas públicas voltadas à </w:t>
      </w:r>
      <w:r w:rsidR="00772957" w:rsidRPr="0090042D">
        <w:rPr>
          <w:sz w:val="24"/>
          <w:szCs w:val="24"/>
        </w:rPr>
        <w:lastRenderedPageBreak/>
        <w:t xml:space="preserve">prevenção da poluição da água, bem como </w:t>
      </w:r>
      <w:r w:rsidR="00125616" w:rsidRPr="0090042D">
        <w:rPr>
          <w:sz w:val="24"/>
          <w:szCs w:val="24"/>
        </w:rPr>
        <w:t>orientações adequadas</w:t>
      </w:r>
      <w:r w:rsidR="00772957" w:rsidRPr="0090042D">
        <w:rPr>
          <w:sz w:val="24"/>
          <w:szCs w:val="24"/>
        </w:rPr>
        <w:t xml:space="preserve"> sobre os danos que </w:t>
      </w:r>
      <w:r w:rsidR="0036440B" w:rsidRPr="0090042D">
        <w:rPr>
          <w:sz w:val="24"/>
          <w:szCs w:val="24"/>
        </w:rPr>
        <w:t xml:space="preserve">os </w:t>
      </w:r>
      <w:r w:rsidR="00772957" w:rsidRPr="0090042D">
        <w:rPr>
          <w:sz w:val="24"/>
          <w:szCs w:val="24"/>
        </w:rPr>
        <w:t>MPS podem causar</w:t>
      </w:r>
      <w:r w:rsidR="0090042D">
        <w:rPr>
          <w:sz w:val="24"/>
          <w:szCs w:val="24"/>
        </w:rPr>
        <w:t xml:space="preserve"> (Lima </w:t>
      </w:r>
      <w:r w:rsidR="0090042D">
        <w:rPr>
          <w:i/>
          <w:sz w:val="24"/>
          <w:szCs w:val="24"/>
        </w:rPr>
        <w:t>et al.</w:t>
      </w:r>
      <w:r w:rsidR="0090042D">
        <w:rPr>
          <w:sz w:val="24"/>
          <w:szCs w:val="24"/>
        </w:rPr>
        <w:t>, 2025)</w:t>
      </w:r>
      <w:r w:rsidR="00772957" w:rsidRPr="0090042D">
        <w:rPr>
          <w:sz w:val="24"/>
          <w:szCs w:val="24"/>
        </w:rPr>
        <w:t xml:space="preserve">. </w:t>
      </w:r>
      <w:r w:rsidR="00125616" w:rsidRPr="0090042D">
        <w:rPr>
          <w:sz w:val="24"/>
          <w:szCs w:val="24"/>
        </w:rPr>
        <w:t>Em relação ao presente texto, e</w:t>
      </w:r>
      <w:r w:rsidR="00772957" w:rsidRPr="0090042D">
        <w:rPr>
          <w:sz w:val="24"/>
          <w:szCs w:val="24"/>
        </w:rPr>
        <w:t>spera-se que</w:t>
      </w:r>
      <w:r w:rsidR="00772957" w:rsidRPr="00772957">
        <w:rPr>
          <w:sz w:val="24"/>
          <w:szCs w:val="24"/>
        </w:rPr>
        <w:t xml:space="preserve"> </w:t>
      </w:r>
      <w:r w:rsidR="00125616">
        <w:rPr>
          <w:sz w:val="24"/>
          <w:szCs w:val="24"/>
        </w:rPr>
        <w:t xml:space="preserve">também </w:t>
      </w:r>
      <w:r w:rsidR="00772957" w:rsidRPr="00772957">
        <w:rPr>
          <w:sz w:val="24"/>
          <w:szCs w:val="24"/>
        </w:rPr>
        <w:t>possa alertar os profissionais de saúde para que ofereçam assistência e orientação aos usuários dos serviços de saúde sobre este tema.</w:t>
      </w:r>
      <w:r w:rsidR="00125616">
        <w:rPr>
          <w:sz w:val="24"/>
          <w:szCs w:val="24"/>
        </w:rPr>
        <w:t xml:space="preserve"> </w:t>
      </w:r>
    </w:p>
    <w:p w:rsidR="00AC769D" w:rsidRDefault="002B5776">
      <w:pPr>
        <w:pBdr>
          <w:top w:val="nil"/>
          <w:left w:val="nil"/>
          <w:bottom w:val="nil"/>
          <w:right w:val="nil"/>
          <w:between w:val="nil"/>
        </w:pBdr>
        <w:ind w:left="0" w:firstLine="720"/>
        <w:rPr>
          <w:sz w:val="24"/>
          <w:szCs w:val="24"/>
        </w:rPr>
      </w:pPr>
      <w:r>
        <w:rPr>
          <w:sz w:val="24"/>
          <w:szCs w:val="24"/>
        </w:rPr>
        <w:t>Então, a ausência de um risco clínico imediato não deve ser interpretada como uma autorização para a inércia; pelo contrário, a persistência e a natureza não degradável desses contaminantes na cadeia alimentar exigem um método de detecção pr</w:t>
      </w:r>
      <w:r>
        <w:rPr>
          <w:sz w:val="24"/>
          <w:szCs w:val="24"/>
        </w:rPr>
        <w:t>eciso, um monitoramento sanitário contínuo e rigoroso para garantir a segurança alimentar a longo prazo e proteger populações que possam ter hábitos de consumo mais elevados</w:t>
      </w:r>
    </w:p>
    <w:p w:rsidR="001D2264" w:rsidRDefault="001D2264">
      <w:pPr>
        <w:pBdr>
          <w:top w:val="nil"/>
          <w:left w:val="nil"/>
          <w:bottom w:val="nil"/>
          <w:right w:val="nil"/>
          <w:between w:val="nil"/>
        </w:pBdr>
        <w:ind w:left="0"/>
        <w:rPr>
          <w:b/>
          <w:bCs/>
          <w:color w:val="000000"/>
          <w:sz w:val="28"/>
          <w:szCs w:val="28"/>
        </w:rPr>
      </w:pPr>
    </w:p>
    <w:p w:rsidR="00AC769D" w:rsidRDefault="002B5776">
      <w:pPr>
        <w:pBdr>
          <w:top w:val="nil"/>
          <w:left w:val="nil"/>
          <w:bottom w:val="nil"/>
          <w:right w:val="nil"/>
          <w:between w:val="nil"/>
        </w:pBdr>
        <w:ind w:left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Conclusão</w:t>
      </w:r>
    </w:p>
    <w:p w:rsidR="00AC769D" w:rsidRDefault="002B5776">
      <w:pPr>
        <w:pBdr>
          <w:top w:val="nil"/>
          <w:left w:val="nil"/>
          <w:bottom w:val="nil"/>
          <w:right w:val="nil"/>
          <w:between w:val="nil"/>
        </w:pBdr>
        <w:ind w:left="0" w:firstLine="720"/>
        <w:rPr>
          <w:sz w:val="24"/>
          <w:szCs w:val="24"/>
        </w:rPr>
      </w:pPr>
      <w:r>
        <w:rPr>
          <w:sz w:val="24"/>
          <w:szCs w:val="24"/>
        </w:rPr>
        <w:t xml:space="preserve">A transferência trófica de MPS constitui uma via consolidada de exposição humana, impulsionada pela contaminação progressiva da cadeia alimentar. </w:t>
      </w:r>
      <w:r w:rsidR="00BD7234" w:rsidRPr="0090042D">
        <w:rPr>
          <w:sz w:val="24"/>
          <w:szCs w:val="24"/>
        </w:rPr>
        <w:t>Quanto</w:t>
      </w:r>
      <w:r>
        <w:rPr>
          <w:sz w:val="24"/>
          <w:szCs w:val="24"/>
        </w:rPr>
        <w:t xml:space="preserve"> aos impactos gerados na saúde humana, infere-se que a ingestão dessas partículas e dos aditivos químico</w:t>
      </w:r>
      <w:r>
        <w:rPr>
          <w:sz w:val="24"/>
          <w:szCs w:val="24"/>
        </w:rPr>
        <w:t xml:space="preserve">s a elas associados supera barreiras fisiológicas críticas, resultando em toxicidade celular. Dessa forma, embora o risco clínico agudo seja estimado como baixo na atualidade, os achados toxicológicos revelaram que a exposição crônica e cumulativa a esses </w:t>
      </w:r>
      <w:r>
        <w:rPr>
          <w:sz w:val="24"/>
          <w:szCs w:val="24"/>
        </w:rPr>
        <w:t>contaminantes via dieta configura uma ameaça biológica real e de longo prazo, tornando imprescindível o monitoramento rigoroso da segurança dos alimentos.</w:t>
      </w:r>
    </w:p>
    <w:p w:rsidR="00AC769D" w:rsidRDefault="00AC769D">
      <w:pPr>
        <w:pBdr>
          <w:top w:val="nil"/>
          <w:left w:val="nil"/>
          <w:bottom w:val="nil"/>
          <w:right w:val="nil"/>
          <w:between w:val="nil"/>
        </w:pBdr>
        <w:ind w:left="0" w:firstLine="720"/>
        <w:rPr>
          <w:sz w:val="24"/>
          <w:szCs w:val="24"/>
        </w:rPr>
      </w:pPr>
    </w:p>
    <w:p w:rsidR="00AC769D" w:rsidRDefault="002B5776">
      <w:pPr>
        <w:pBdr>
          <w:top w:val="nil"/>
          <w:left w:val="nil"/>
          <w:bottom w:val="nil"/>
          <w:right w:val="nil"/>
          <w:between w:val="nil"/>
        </w:pBdr>
        <w:ind w:left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Agradecimentos</w:t>
      </w:r>
    </w:p>
    <w:p w:rsidR="00AC769D" w:rsidRDefault="002B5776">
      <w:pPr>
        <w:pBdr>
          <w:top w:val="nil"/>
          <w:left w:val="nil"/>
          <w:bottom w:val="nil"/>
          <w:right w:val="nil"/>
          <w:between w:val="nil"/>
        </w:pBdr>
        <w:ind w:lef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sz w:val="24"/>
          <w:szCs w:val="24"/>
        </w:rPr>
        <w:t>O presente trabalho foi realizado com apoio da Fundação de Amparo à Pesquisa do Esta</w:t>
      </w:r>
      <w:r>
        <w:rPr>
          <w:sz w:val="24"/>
          <w:szCs w:val="24"/>
        </w:rPr>
        <w:t>do de São Paulo (FAPESP), Brasil. Processo nº 2025/28850-5.</w:t>
      </w:r>
    </w:p>
    <w:p w:rsidR="00AC769D" w:rsidRDefault="00AC769D">
      <w:pPr>
        <w:pBdr>
          <w:top w:val="nil"/>
          <w:left w:val="nil"/>
          <w:bottom w:val="nil"/>
          <w:right w:val="nil"/>
          <w:between w:val="nil"/>
        </w:pBdr>
        <w:ind w:left="0"/>
        <w:rPr>
          <w:color w:val="000000"/>
          <w:sz w:val="24"/>
          <w:szCs w:val="24"/>
        </w:rPr>
      </w:pPr>
    </w:p>
    <w:p w:rsidR="00AC769D" w:rsidRDefault="002B5776">
      <w:pPr>
        <w:pBdr>
          <w:top w:val="nil"/>
          <w:left w:val="nil"/>
          <w:bottom w:val="nil"/>
          <w:right w:val="nil"/>
          <w:between w:val="nil"/>
        </w:pBdr>
        <w:ind w:left="0"/>
        <w:rPr>
          <w:color w:val="000000"/>
          <w:sz w:val="24"/>
          <w:szCs w:val="24"/>
        </w:rPr>
      </w:pPr>
      <w:r>
        <w:rPr>
          <w:b/>
          <w:bCs/>
          <w:color w:val="000000"/>
          <w:sz w:val="28"/>
          <w:szCs w:val="28"/>
        </w:rPr>
        <w:t>Referências</w:t>
      </w:r>
    </w:p>
    <w:p w:rsidR="00AC769D" w:rsidRPr="008D277B" w:rsidRDefault="002B5776">
      <w:pPr>
        <w:spacing w:line="240" w:lineRule="auto"/>
        <w:ind w:left="0"/>
        <w:jc w:val="left"/>
        <w:rPr>
          <w:spacing w:val="-14"/>
          <w:sz w:val="24"/>
          <w:szCs w:val="24"/>
        </w:rPr>
      </w:pPr>
      <w:r w:rsidRPr="008D277B">
        <w:rPr>
          <w:spacing w:val="-14"/>
          <w:position w:val="1"/>
          <w:sz w:val="24"/>
          <w:szCs w:val="24"/>
        </w:rPr>
        <w:t xml:space="preserve">ANWAR, Khairil </w:t>
      </w:r>
      <w:r w:rsidRPr="008D277B">
        <w:rPr>
          <w:i/>
          <w:iCs/>
          <w:spacing w:val="-14"/>
          <w:position w:val="1"/>
          <w:sz w:val="24"/>
          <w:szCs w:val="24"/>
        </w:rPr>
        <w:t>et al</w:t>
      </w:r>
      <w:r w:rsidRPr="008D277B">
        <w:rPr>
          <w:spacing w:val="-14"/>
          <w:position w:val="1"/>
          <w:sz w:val="24"/>
          <w:szCs w:val="24"/>
        </w:rPr>
        <w:t>. Ecological and health risks of microplastic contamination in edible fish from the Musi River Palembang, Indonesia</w:t>
      </w:r>
      <w:r w:rsidRPr="008D277B">
        <w:rPr>
          <w:spacing w:val="-14"/>
          <w:sz w:val="24"/>
          <w:szCs w:val="24"/>
        </w:rPr>
        <w:t xml:space="preserve">. </w:t>
      </w:r>
      <w:r w:rsidRPr="008D277B">
        <w:rPr>
          <w:b/>
          <w:bCs/>
          <w:spacing w:val="-14"/>
          <w:sz w:val="24"/>
          <w:szCs w:val="24"/>
        </w:rPr>
        <w:t>Journal of Ecological Engineering</w:t>
      </w:r>
      <w:r w:rsidRPr="008D277B">
        <w:rPr>
          <w:spacing w:val="-14"/>
          <w:sz w:val="24"/>
          <w:szCs w:val="24"/>
        </w:rPr>
        <w:t>, v. 26, n. 1</w:t>
      </w:r>
      <w:r w:rsidRPr="008D277B">
        <w:rPr>
          <w:spacing w:val="-14"/>
          <w:sz w:val="24"/>
          <w:szCs w:val="24"/>
        </w:rPr>
        <w:t>0, p. 211-226, 2025. DOI: https://doi.org/10.12911/22998993/205822.</w:t>
      </w:r>
    </w:p>
    <w:p w:rsidR="00AC769D" w:rsidRPr="008D277B" w:rsidRDefault="00AC769D">
      <w:pPr>
        <w:spacing w:line="240" w:lineRule="auto"/>
        <w:ind w:left="0"/>
        <w:jc w:val="left"/>
        <w:rPr>
          <w:spacing w:val="-14"/>
          <w:sz w:val="24"/>
          <w:szCs w:val="24"/>
        </w:rPr>
      </w:pPr>
    </w:p>
    <w:p w:rsidR="00AC769D" w:rsidRPr="008D277B" w:rsidRDefault="002B5776">
      <w:pPr>
        <w:spacing w:line="240" w:lineRule="auto"/>
        <w:ind w:left="0"/>
        <w:jc w:val="left"/>
        <w:rPr>
          <w:spacing w:val="-14"/>
          <w:sz w:val="24"/>
          <w:szCs w:val="24"/>
        </w:rPr>
      </w:pPr>
      <w:r w:rsidRPr="008D277B">
        <w:rPr>
          <w:spacing w:val="-14"/>
          <w:sz w:val="24"/>
          <w:szCs w:val="24"/>
        </w:rPr>
        <w:t xml:space="preserve">AYDIN, Rana Berfin </w:t>
      </w:r>
      <w:r w:rsidRPr="008D277B">
        <w:rPr>
          <w:i/>
          <w:iCs/>
          <w:spacing w:val="-14"/>
          <w:sz w:val="24"/>
          <w:szCs w:val="24"/>
        </w:rPr>
        <w:t>et al</w:t>
      </w:r>
      <w:r w:rsidRPr="008D277B">
        <w:rPr>
          <w:spacing w:val="-14"/>
          <w:sz w:val="24"/>
          <w:szCs w:val="24"/>
        </w:rPr>
        <w:t xml:space="preserve">. Occurrence of Microplastics in Most Consumed Fruits and Vegetables from Turkey and Public Risk Assessment for Consumers. </w:t>
      </w:r>
      <w:r w:rsidRPr="008D277B">
        <w:rPr>
          <w:b/>
          <w:bCs/>
          <w:spacing w:val="-14"/>
          <w:sz w:val="24"/>
          <w:szCs w:val="24"/>
        </w:rPr>
        <w:t>Life</w:t>
      </w:r>
      <w:r w:rsidRPr="008D277B">
        <w:rPr>
          <w:spacing w:val="-14"/>
          <w:sz w:val="24"/>
          <w:szCs w:val="24"/>
        </w:rPr>
        <w:t xml:space="preserve">, v. 13, n. 1686, 2023. DOI: </w:t>
      </w:r>
      <w:r w:rsidRPr="008D277B">
        <w:rPr>
          <w:spacing w:val="-14"/>
          <w:sz w:val="24"/>
          <w:szCs w:val="24"/>
        </w:rPr>
        <w:t>https://doi.org/10.3390/life13081686.</w:t>
      </w:r>
    </w:p>
    <w:p w:rsidR="00AC769D" w:rsidRPr="008D277B" w:rsidRDefault="00AC769D">
      <w:pPr>
        <w:spacing w:line="240" w:lineRule="auto"/>
        <w:ind w:left="0"/>
        <w:jc w:val="left"/>
        <w:rPr>
          <w:spacing w:val="-14"/>
          <w:sz w:val="24"/>
          <w:szCs w:val="24"/>
        </w:rPr>
      </w:pPr>
    </w:p>
    <w:p w:rsidR="00AC769D" w:rsidRPr="008D277B" w:rsidRDefault="002B5776">
      <w:pPr>
        <w:spacing w:line="240" w:lineRule="auto"/>
        <w:ind w:left="0"/>
        <w:jc w:val="left"/>
        <w:rPr>
          <w:spacing w:val="-14"/>
          <w:sz w:val="24"/>
          <w:szCs w:val="24"/>
        </w:rPr>
      </w:pPr>
      <w:r w:rsidRPr="008D277B">
        <w:rPr>
          <w:spacing w:val="-14"/>
          <w:sz w:val="24"/>
          <w:szCs w:val="24"/>
        </w:rPr>
        <w:t xml:space="preserve">BWALA, Mathias Nzitiri </w:t>
      </w:r>
      <w:r w:rsidRPr="008D277B">
        <w:rPr>
          <w:i/>
          <w:iCs/>
          <w:spacing w:val="-14"/>
          <w:sz w:val="24"/>
          <w:szCs w:val="24"/>
        </w:rPr>
        <w:t>et al</w:t>
      </w:r>
      <w:r w:rsidRPr="008D277B">
        <w:rPr>
          <w:spacing w:val="-14"/>
          <w:sz w:val="24"/>
          <w:szCs w:val="24"/>
        </w:rPr>
        <w:t>. Human Health Risk Assessment from the Ingestion of Clarias gariepinus (Burchell, 1822) and Oreochromis niloticus (Linnaeus, 1758) Contaminated with Micro-(Nano) Plastics (MNPs) from River</w:t>
      </w:r>
      <w:r w:rsidRPr="008D277B">
        <w:rPr>
          <w:spacing w:val="-14"/>
          <w:sz w:val="24"/>
          <w:szCs w:val="24"/>
        </w:rPr>
        <w:t xml:space="preserve"> Ngadda, Borno State – Nigeria. </w:t>
      </w:r>
      <w:r w:rsidRPr="008D277B">
        <w:rPr>
          <w:b/>
          <w:bCs/>
          <w:spacing w:val="-14"/>
          <w:sz w:val="24"/>
          <w:szCs w:val="24"/>
        </w:rPr>
        <w:t xml:space="preserve">Journal of Environmental Health and Sustainable </w:t>
      </w:r>
      <w:r w:rsidRPr="008D277B">
        <w:rPr>
          <w:b/>
          <w:bCs/>
          <w:spacing w:val="-14"/>
          <w:sz w:val="24"/>
          <w:szCs w:val="24"/>
        </w:rPr>
        <w:lastRenderedPageBreak/>
        <w:t>Development</w:t>
      </w:r>
      <w:r w:rsidRPr="008D277B">
        <w:rPr>
          <w:spacing w:val="-14"/>
          <w:sz w:val="24"/>
          <w:szCs w:val="24"/>
        </w:rPr>
        <w:t>, 2026. DOI:</w:t>
      </w:r>
      <w:r w:rsidR="001D2264">
        <w:rPr>
          <w:spacing w:val="-14"/>
          <w:sz w:val="24"/>
          <w:szCs w:val="24"/>
        </w:rPr>
        <w:t xml:space="preserve"> </w:t>
      </w:r>
      <w:r w:rsidRPr="008D277B">
        <w:rPr>
          <w:spacing w:val="-14"/>
          <w:sz w:val="24"/>
          <w:szCs w:val="24"/>
        </w:rPr>
        <w:t>https://doi.org/10.18502/jehsd.v11i1.21167</w:t>
      </w:r>
    </w:p>
    <w:p w:rsidR="00AC769D" w:rsidRPr="008D277B" w:rsidRDefault="00AC769D">
      <w:pPr>
        <w:spacing w:line="240" w:lineRule="auto"/>
        <w:ind w:left="0"/>
        <w:jc w:val="left"/>
        <w:rPr>
          <w:spacing w:val="-14"/>
          <w:sz w:val="24"/>
          <w:szCs w:val="24"/>
        </w:rPr>
      </w:pPr>
    </w:p>
    <w:p w:rsidR="00AC769D" w:rsidRPr="008D277B" w:rsidRDefault="002B5776">
      <w:pPr>
        <w:spacing w:line="240" w:lineRule="auto"/>
        <w:ind w:left="0"/>
        <w:jc w:val="left"/>
        <w:rPr>
          <w:spacing w:val="-14"/>
          <w:sz w:val="24"/>
          <w:szCs w:val="24"/>
        </w:rPr>
      </w:pPr>
      <w:r w:rsidRPr="008D277B">
        <w:rPr>
          <w:spacing w:val="-14"/>
          <w:sz w:val="24"/>
          <w:szCs w:val="24"/>
        </w:rPr>
        <w:t xml:space="preserve">CIUCĂ, Andreea-Mădălina </w:t>
      </w:r>
      <w:r w:rsidRPr="008D277B">
        <w:rPr>
          <w:i/>
          <w:iCs/>
          <w:spacing w:val="-14"/>
          <w:sz w:val="24"/>
          <w:szCs w:val="24"/>
        </w:rPr>
        <w:t>et al</w:t>
      </w:r>
      <w:r w:rsidRPr="008D277B">
        <w:rPr>
          <w:spacing w:val="-14"/>
          <w:sz w:val="24"/>
          <w:szCs w:val="24"/>
        </w:rPr>
        <w:t>. Microplastic Accumulation in Commercially Important Black Sea Fish and Shell</w:t>
      </w:r>
      <w:r w:rsidRPr="008D277B">
        <w:rPr>
          <w:spacing w:val="-14"/>
          <w:sz w:val="24"/>
          <w:szCs w:val="24"/>
        </w:rPr>
        <w:t xml:space="preserve">fish: European Sprat (Sprattus sprattus), Mussels (Mytilus galloprovincialis) and Rapa Whelks (Rapana venosa). </w:t>
      </w:r>
      <w:r w:rsidRPr="008D277B">
        <w:rPr>
          <w:b/>
          <w:bCs/>
          <w:spacing w:val="-14"/>
          <w:sz w:val="24"/>
          <w:szCs w:val="24"/>
        </w:rPr>
        <w:t>Sustainability</w:t>
      </w:r>
      <w:r w:rsidRPr="008D277B">
        <w:rPr>
          <w:spacing w:val="-14"/>
          <w:sz w:val="24"/>
          <w:szCs w:val="24"/>
        </w:rPr>
        <w:t>, v. 17, n. 11006, 2025. DOI: https://doi.org/10.3390/su172411006.</w:t>
      </w:r>
    </w:p>
    <w:p w:rsidR="00AC769D" w:rsidRPr="008D277B" w:rsidRDefault="00AC769D">
      <w:pPr>
        <w:spacing w:line="240" w:lineRule="auto"/>
        <w:ind w:left="0"/>
        <w:jc w:val="left"/>
        <w:rPr>
          <w:spacing w:val="-14"/>
          <w:sz w:val="24"/>
          <w:szCs w:val="24"/>
        </w:rPr>
      </w:pPr>
    </w:p>
    <w:p w:rsidR="00AC769D" w:rsidRPr="008D277B" w:rsidRDefault="002B5776">
      <w:pPr>
        <w:spacing w:line="240" w:lineRule="auto"/>
        <w:ind w:left="0"/>
        <w:jc w:val="left"/>
        <w:rPr>
          <w:spacing w:val="-14"/>
          <w:sz w:val="24"/>
          <w:szCs w:val="24"/>
        </w:rPr>
      </w:pPr>
      <w:r w:rsidRPr="008D277B">
        <w:rPr>
          <w:spacing w:val="-14"/>
          <w:sz w:val="24"/>
          <w:szCs w:val="24"/>
        </w:rPr>
        <w:t xml:space="preserve">DAGDELEN, Ulku; TURKYILMAZ, Dogan; ESENBUGA, Nurinisa. Describing the Accumulation, Concentration, and Amplification Effects of MPs Through the Food Chain. </w:t>
      </w:r>
      <w:r w:rsidRPr="008D277B">
        <w:rPr>
          <w:b/>
          <w:bCs/>
          <w:spacing w:val="-14"/>
          <w:sz w:val="24"/>
          <w:szCs w:val="24"/>
        </w:rPr>
        <w:t>Current Nutrition &amp; Food Science</w:t>
      </w:r>
      <w:r w:rsidRPr="008D277B">
        <w:rPr>
          <w:spacing w:val="-14"/>
          <w:sz w:val="24"/>
          <w:szCs w:val="24"/>
        </w:rPr>
        <w:t>, v. 21, p. 430-440, 2025. DOI: https://doi.org/10.2174/011573401332</w:t>
      </w:r>
      <w:r w:rsidRPr="008D277B">
        <w:rPr>
          <w:spacing w:val="-14"/>
          <w:sz w:val="24"/>
          <w:szCs w:val="24"/>
        </w:rPr>
        <w:t>1875240913043337.</w:t>
      </w:r>
    </w:p>
    <w:p w:rsidR="00AC769D" w:rsidRPr="008D277B" w:rsidRDefault="00AC769D">
      <w:pPr>
        <w:spacing w:line="240" w:lineRule="auto"/>
        <w:ind w:left="0"/>
        <w:jc w:val="left"/>
        <w:rPr>
          <w:spacing w:val="-14"/>
          <w:sz w:val="24"/>
          <w:szCs w:val="24"/>
        </w:rPr>
      </w:pPr>
    </w:p>
    <w:p w:rsidR="00AC769D" w:rsidRPr="008D277B" w:rsidRDefault="002B5776">
      <w:pPr>
        <w:spacing w:line="240" w:lineRule="auto"/>
        <w:ind w:left="0"/>
        <w:jc w:val="left"/>
        <w:rPr>
          <w:spacing w:val="-14"/>
          <w:sz w:val="24"/>
          <w:szCs w:val="24"/>
        </w:rPr>
      </w:pPr>
      <w:r w:rsidRPr="008D277B">
        <w:rPr>
          <w:spacing w:val="-14"/>
          <w:sz w:val="24"/>
          <w:szCs w:val="24"/>
        </w:rPr>
        <w:t xml:space="preserve">GAO, Chunmei </w:t>
      </w:r>
      <w:r w:rsidRPr="008D277B">
        <w:rPr>
          <w:i/>
          <w:iCs/>
          <w:spacing w:val="-14"/>
          <w:sz w:val="24"/>
          <w:szCs w:val="24"/>
        </w:rPr>
        <w:t>et al</w:t>
      </w:r>
      <w:r w:rsidRPr="008D277B">
        <w:rPr>
          <w:spacing w:val="-14"/>
          <w:sz w:val="24"/>
          <w:szCs w:val="24"/>
        </w:rPr>
        <w:t xml:space="preserve">. Distribution Patterns and Human Exposure Risks of Microplastics in Dominant Wild Edible Shrimp: A Case Study of Haizhou Bay Marine Ranch. </w:t>
      </w:r>
      <w:r w:rsidRPr="008D277B">
        <w:rPr>
          <w:b/>
          <w:bCs/>
          <w:spacing w:val="-14"/>
          <w:sz w:val="24"/>
          <w:szCs w:val="24"/>
        </w:rPr>
        <w:t>Water</w:t>
      </w:r>
      <w:r w:rsidRPr="008D277B">
        <w:rPr>
          <w:spacing w:val="-14"/>
          <w:sz w:val="24"/>
          <w:szCs w:val="24"/>
        </w:rPr>
        <w:t>, v. 17, n. 1495, 2025. DOI: https://doi.org/10.3390/w17101495.</w:t>
      </w:r>
    </w:p>
    <w:p w:rsidR="00AC769D" w:rsidRPr="008D277B" w:rsidRDefault="00AC769D">
      <w:pPr>
        <w:spacing w:line="240" w:lineRule="auto"/>
        <w:ind w:left="0"/>
        <w:jc w:val="left"/>
        <w:rPr>
          <w:spacing w:val="-14"/>
          <w:sz w:val="24"/>
          <w:szCs w:val="24"/>
        </w:rPr>
      </w:pPr>
    </w:p>
    <w:p w:rsidR="00AC769D" w:rsidRPr="008D277B" w:rsidRDefault="002B5776">
      <w:pPr>
        <w:spacing w:line="240" w:lineRule="auto"/>
        <w:ind w:left="0"/>
        <w:jc w:val="left"/>
        <w:rPr>
          <w:spacing w:val="-14"/>
          <w:sz w:val="24"/>
          <w:szCs w:val="24"/>
        </w:rPr>
      </w:pPr>
      <w:r w:rsidRPr="008D277B">
        <w:rPr>
          <w:spacing w:val="-14"/>
          <w:sz w:val="24"/>
          <w:szCs w:val="24"/>
        </w:rPr>
        <w:t>GIRI, Suj</w:t>
      </w:r>
      <w:r w:rsidRPr="008D277B">
        <w:rPr>
          <w:spacing w:val="-14"/>
          <w:sz w:val="24"/>
          <w:szCs w:val="24"/>
        </w:rPr>
        <w:t xml:space="preserve">an </w:t>
      </w:r>
      <w:r w:rsidRPr="008D277B">
        <w:rPr>
          <w:i/>
          <w:iCs/>
          <w:spacing w:val="-14"/>
          <w:sz w:val="24"/>
          <w:szCs w:val="24"/>
        </w:rPr>
        <w:t>et al</w:t>
      </w:r>
      <w:r w:rsidRPr="008D277B">
        <w:rPr>
          <w:spacing w:val="-14"/>
          <w:sz w:val="24"/>
          <w:szCs w:val="24"/>
        </w:rPr>
        <w:t xml:space="preserve">. Contaminação por microplásticos em produtos alimentícios: ocorrência, técnicas analíticas e potenciais impactos na saúde humana. </w:t>
      </w:r>
      <w:r w:rsidRPr="008D277B">
        <w:rPr>
          <w:b/>
          <w:bCs/>
          <w:spacing w:val="-14"/>
          <w:sz w:val="24"/>
          <w:szCs w:val="24"/>
        </w:rPr>
        <w:t>Current Research in Biotechnology</w:t>
      </w:r>
      <w:r w:rsidRPr="008D277B">
        <w:rPr>
          <w:spacing w:val="-14"/>
          <w:sz w:val="24"/>
          <w:szCs w:val="24"/>
        </w:rPr>
        <w:t>, 2024. DOI: https://doi.org/10.1016/j.crbiot.2024.100190.</w:t>
      </w:r>
    </w:p>
    <w:p w:rsidR="00AC769D" w:rsidRDefault="00AC769D">
      <w:pPr>
        <w:spacing w:line="240" w:lineRule="auto"/>
        <w:ind w:left="0"/>
        <w:jc w:val="left"/>
        <w:rPr>
          <w:spacing w:val="-14"/>
          <w:sz w:val="24"/>
          <w:szCs w:val="24"/>
        </w:rPr>
      </w:pPr>
    </w:p>
    <w:p w:rsidR="0090042D" w:rsidRDefault="0090042D">
      <w:pPr>
        <w:spacing w:line="240" w:lineRule="auto"/>
        <w:ind w:left="0"/>
        <w:jc w:val="left"/>
      </w:pPr>
      <w:r>
        <w:t xml:space="preserve">LIMA, P. H. S. de </w:t>
      </w:r>
      <w:r w:rsidRPr="0090042D">
        <w:rPr>
          <w:i/>
        </w:rPr>
        <w:t>et al</w:t>
      </w:r>
      <w:r>
        <w:t xml:space="preserve">. Sustainable Development Goals and microplastics in seafood: a theoretical-reflective study. </w:t>
      </w:r>
      <w:r w:rsidRPr="001D2264">
        <w:rPr>
          <w:b/>
        </w:rPr>
        <w:t>Revista Brasileira de Enfermagem</w:t>
      </w:r>
      <w:r>
        <w:t xml:space="preserve">, v. 78, e20240408, 2025. DOI: </w:t>
      </w:r>
      <w:r w:rsidRPr="0090042D">
        <w:t>https://doi.org/10.1590/0034-7167-2024-0408</w:t>
      </w:r>
      <w:r>
        <w:t>.</w:t>
      </w:r>
    </w:p>
    <w:p w:rsidR="0090042D" w:rsidRPr="008D277B" w:rsidRDefault="0090042D">
      <w:pPr>
        <w:spacing w:line="240" w:lineRule="auto"/>
        <w:ind w:left="0"/>
        <w:jc w:val="left"/>
        <w:rPr>
          <w:spacing w:val="-14"/>
          <w:sz w:val="24"/>
          <w:szCs w:val="24"/>
        </w:rPr>
      </w:pPr>
    </w:p>
    <w:p w:rsidR="00AC769D" w:rsidRPr="008D277B" w:rsidRDefault="002B5776">
      <w:pPr>
        <w:spacing w:line="240" w:lineRule="auto"/>
        <w:ind w:left="0"/>
        <w:jc w:val="left"/>
        <w:rPr>
          <w:spacing w:val="-14"/>
          <w:sz w:val="24"/>
          <w:szCs w:val="24"/>
        </w:rPr>
      </w:pPr>
      <w:r w:rsidRPr="008D277B">
        <w:rPr>
          <w:spacing w:val="-14"/>
          <w:sz w:val="24"/>
          <w:szCs w:val="24"/>
        </w:rPr>
        <w:t xml:space="preserve">MATIAS, Ricardo S. </w:t>
      </w:r>
      <w:r w:rsidRPr="008D277B">
        <w:rPr>
          <w:i/>
          <w:iCs/>
          <w:spacing w:val="-14"/>
          <w:sz w:val="24"/>
          <w:szCs w:val="24"/>
        </w:rPr>
        <w:t>et al</w:t>
      </w:r>
      <w:r w:rsidRPr="008D277B">
        <w:rPr>
          <w:spacing w:val="-14"/>
          <w:sz w:val="24"/>
          <w:szCs w:val="24"/>
        </w:rPr>
        <w:t xml:space="preserve">. Occurrence of microplastics and metals in European seabass produced in different aquaculture systems: Implications for human exposure, risk, and food safety. </w:t>
      </w:r>
      <w:r w:rsidRPr="008D277B">
        <w:rPr>
          <w:b/>
          <w:bCs/>
          <w:spacing w:val="-14"/>
          <w:sz w:val="24"/>
          <w:szCs w:val="24"/>
        </w:rPr>
        <w:t>Science of The Total Environment</w:t>
      </w:r>
      <w:r w:rsidRPr="008D277B">
        <w:rPr>
          <w:spacing w:val="-14"/>
          <w:sz w:val="24"/>
          <w:szCs w:val="24"/>
        </w:rPr>
        <w:t>, v. 929, 172535, 2024. DOI: https://doi.org/10.1016/j.scitotenv</w:t>
      </w:r>
      <w:r w:rsidRPr="008D277B">
        <w:rPr>
          <w:spacing w:val="-14"/>
          <w:sz w:val="24"/>
          <w:szCs w:val="24"/>
        </w:rPr>
        <w:t xml:space="preserve">.2024.172535.  </w:t>
      </w:r>
    </w:p>
    <w:p w:rsidR="00AC769D" w:rsidRPr="008D277B" w:rsidRDefault="00AC769D">
      <w:pPr>
        <w:spacing w:line="240" w:lineRule="auto"/>
        <w:ind w:left="0"/>
        <w:jc w:val="left"/>
        <w:rPr>
          <w:spacing w:val="-14"/>
          <w:sz w:val="24"/>
          <w:szCs w:val="24"/>
        </w:rPr>
      </w:pPr>
    </w:p>
    <w:p w:rsidR="00AC769D" w:rsidRPr="008D277B" w:rsidRDefault="002B5776">
      <w:pPr>
        <w:spacing w:line="240" w:lineRule="auto"/>
        <w:ind w:left="0"/>
        <w:jc w:val="left"/>
        <w:rPr>
          <w:spacing w:val="-14"/>
          <w:sz w:val="24"/>
          <w:szCs w:val="24"/>
        </w:rPr>
      </w:pPr>
      <w:r w:rsidRPr="008D277B">
        <w:rPr>
          <w:spacing w:val="-14"/>
          <w:sz w:val="24"/>
          <w:szCs w:val="24"/>
        </w:rPr>
        <w:t xml:space="preserve">MENDES, Karina Dal Sasso; SILVEIRA, Renata Cristina de Campos Pereira; GALVÃO, Cristina Maria. Uso de gerenciador de referências bibliográficas na seleção dos estudos primários em revisão integrativa. </w:t>
      </w:r>
      <w:r w:rsidRPr="008D277B">
        <w:rPr>
          <w:b/>
          <w:bCs/>
          <w:spacing w:val="-14"/>
          <w:sz w:val="24"/>
          <w:szCs w:val="24"/>
        </w:rPr>
        <w:t>Texto &amp; Contexto Enfermagem</w:t>
      </w:r>
      <w:r w:rsidRPr="008D277B">
        <w:rPr>
          <w:spacing w:val="-14"/>
          <w:sz w:val="24"/>
          <w:szCs w:val="24"/>
        </w:rPr>
        <w:t>, v. 28, e2</w:t>
      </w:r>
      <w:r w:rsidRPr="008D277B">
        <w:rPr>
          <w:spacing w:val="-14"/>
          <w:sz w:val="24"/>
          <w:szCs w:val="24"/>
        </w:rPr>
        <w:t>0170204, 2019. DOI: https://doi.org/10.1590/1980-265X-TCE-2017-0204.</w:t>
      </w:r>
    </w:p>
    <w:p w:rsidR="00AC769D" w:rsidRPr="008D277B" w:rsidRDefault="00AC769D">
      <w:pPr>
        <w:spacing w:line="240" w:lineRule="auto"/>
        <w:ind w:left="0"/>
        <w:jc w:val="left"/>
        <w:rPr>
          <w:spacing w:val="-14"/>
          <w:sz w:val="24"/>
          <w:szCs w:val="24"/>
        </w:rPr>
      </w:pPr>
    </w:p>
    <w:p w:rsidR="00AC769D" w:rsidRPr="008D277B" w:rsidRDefault="002B5776">
      <w:pPr>
        <w:spacing w:line="240" w:lineRule="auto"/>
        <w:ind w:left="0"/>
        <w:jc w:val="left"/>
        <w:rPr>
          <w:spacing w:val="-14"/>
          <w:sz w:val="24"/>
          <w:szCs w:val="24"/>
        </w:rPr>
      </w:pPr>
      <w:r w:rsidRPr="008D277B">
        <w:rPr>
          <w:spacing w:val="-14"/>
          <w:sz w:val="24"/>
          <w:szCs w:val="24"/>
        </w:rPr>
        <w:t xml:space="preserve">PAGE, Matthew J. </w:t>
      </w:r>
      <w:r w:rsidRPr="008D277B">
        <w:rPr>
          <w:i/>
          <w:iCs/>
          <w:spacing w:val="-14"/>
          <w:sz w:val="24"/>
          <w:szCs w:val="24"/>
        </w:rPr>
        <w:t>et al</w:t>
      </w:r>
      <w:r w:rsidRPr="008D277B">
        <w:rPr>
          <w:spacing w:val="-14"/>
          <w:sz w:val="24"/>
          <w:szCs w:val="24"/>
        </w:rPr>
        <w:t xml:space="preserve">. A declaração PRISMA 2020: diretriz atualizada para relatar revisões sistemáticas. </w:t>
      </w:r>
      <w:r w:rsidRPr="008D277B">
        <w:rPr>
          <w:b/>
          <w:bCs/>
          <w:spacing w:val="-14"/>
          <w:sz w:val="24"/>
          <w:szCs w:val="24"/>
        </w:rPr>
        <w:t>Epidemiologia e Serviços de Saúde</w:t>
      </w:r>
      <w:r w:rsidRPr="008D277B">
        <w:rPr>
          <w:spacing w:val="-14"/>
          <w:sz w:val="24"/>
          <w:szCs w:val="24"/>
        </w:rPr>
        <w:t>, v. 31, n. 2, e2022107, 2022. DOI: https://doi</w:t>
      </w:r>
      <w:r w:rsidRPr="008D277B">
        <w:rPr>
          <w:spacing w:val="-14"/>
          <w:sz w:val="24"/>
          <w:szCs w:val="24"/>
        </w:rPr>
        <w:t>.org/10.1590/S1679-49742022000200033.</w:t>
      </w:r>
    </w:p>
    <w:p w:rsidR="00AC769D" w:rsidRPr="008D277B" w:rsidRDefault="00AC769D">
      <w:pPr>
        <w:spacing w:line="240" w:lineRule="auto"/>
        <w:ind w:left="0"/>
        <w:jc w:val="left"/>
        <w:rPr>
          <w:spacing w:val="-14"/>
          <w:sz w:val="24"/>
          <w:szCs w:val="24"/>
        </w:rPr>
      </w:pPr>
    </w:p>
    <w:p w:rsidR="00AC769D" w:rsidRPr="008D277B" w:rsidRDefault="002B5776">
      <w:pPr>
        <w:spacing w:line="240" w:lineRule="auto"/>
        <w:ind w:left="0"/>
        <w:jc w:val="left"/>
        <w:rPr>
          <w:spacing w:val="-14"/>
          <w:sz w:val="24"/>
          <w:szCs w:val="24"/>
        </w:rPr>
      </w:pPr>
      <w:r w:rsidRPr="008D277B">
        <w:rPr>
          <w:spacing w:val="-14"/>
          <w:sz w:val="24"/>
          <w:szCs w:val="24"/>
        </w:rPr>
        <w:t xml:space="preserve">ROSLAN, Nur Sakinah </w:t>
      </w:r>
      <w:r w:rsidRPr="008D277B">
        <w:rPr>
          <w:i/>
          <w:iCs/>
          <w:spacing w:val="-14"/>
          <w:sz w:val="24"/>
          <w:szCs w:val="24"/>
        </w:rPr>
        <w:t>et al</w:t>
      </w:r>
      <w:r w:rsidRPr="008D277B">
        <w:rPr>
          <w:spacing w:val="-14"/>
          <w:sz w:val="24"/>
          <w:szCs w:val="24"/>
        </w:rPr>
        <w:t xml:space="preserve">. Detection of microplastics in human tissues and organs: A scoping review. </w:t>
      </w:r>
      <w:r w:rsidRPr="008D277B">
        <w:rPr>
          <w:b/>
          <w:bCs/>
          <w:spacing w:val="-14"/>
          <w:sz w:val="24"/>
          <w:szCs w:val="24"/>
        </w:rPr>
        <w:t>Journal of Global Health</w:t>
      </w:r>
      <w:r w:rsidRPr="008D277B">
        <w:rPr>
          <w:spacing w:val="-14"/>
          <w:sz w:val="24"/>
          <w:szCs w:val="24"/>
        </w:rPr>
        <w:t>, v. 14, 04179, 2024. DOI: https://doi.org/10.7189/jogh.14.04179.</w:t>
      </w:r>
    </w:p>
    <w:p w:rsidR="00AC769D" w:rsidRPr="008D277B" w:rsidRDefault="00AC769D">
      <w:pPr>
        <w:spacing w:line="240" w:lineRule="auto"/>
        <w:ind w:left="0"/>
        <w:jc w:val="left"/>
        <w:rPr>
          <w:spacing w:val="-14"/>
          <w:sz w:val="24"/>
          <w:szCs w:val="24"/>
        </w:rPr>
      </w:pPr>
    </w:p>
    <w:p w:rsidR="00AC769D" w:rsidRPr="008D277B" w:rsidRDefault="002B5776">
      <w:pPr>
        <w:spacing w:line="240" w:lineRule="auto"/>
        <w:ind w:left="0"/>
        <w:jc w:val="left"/>
        <w:rPr>
          <w:spacing w:val="-14"/>
          <w:sz w:val="24"/>
          <w:szCs w:val="24"/>
        </w:rPr>
      </w:pPr>
      <w:r w:rsidRPr="008D277B">
        <w:rPr>
          <w:spacing w:val="-14"/>
          <w:sz w:val="24"/>
          <w:szCs w:val="24"/>
        </w:rPr>
        <w:t xml:space="preserve">SCOTTON, Jaque Willian </w:t>
      </w:r>
      <w:r w:rsidRPr="008D277B">
        <w:rPr>
          <w:i/>
          <w:iCs/>
          <w:spacing w:val="-14"/>
          <w:sz w:val="24"/>
          <w:szCs w:val="24"/>
        </w:rPr>
        <w:t>et</w:t>
      </w:r>
      <w:r w:rsidRPr="008D277B">
        <w:rPr>
          <w:i/>
          <w:iCs/>
          <w:spacing w:val="-14"/>
          <w:sz w:val="24"/>
          <w:szCs w:val="24"/>
        </w:rPr>
        <w:t xml:space="preserve"> al</w:t>
      </w:r>
      <w:r w:rsidRPr="008D277B">
        <w:rPr>
          <w:spacing w:val="-14"/>
          <w:sz w:val="24"/>
          <w:szCs w:val="24"/>
        </w:rPr>
        <w:t xml:space="preserve">. The invisible burden: A meta-analysis of methodological evolutions and the reassessment of microplastic concentrations in human tissues. </w:t>
      </w:r>
      <w:r w:rsidRPr="008D277B">
        <w:rPr>
          <w:b/>
          <w:bCs/>
          <w:spacing w:val="-14"/>
          <w:sz w:val="24"/>
          <w:szCs w:val="24"/>
        </w:rPr>
        <w:t>Environmental Pollution</w:t>
      </w:r>
      <w:r w:rsidRPr="008D277B">
        <w:rPr>
          <w:spacing w:val="-14"/>
          <w:sz w:val="24"/>
          <w:szCs w:val="24"/>
        </w:rPr>
        <w:t>, v. 400, 128298, 2026. DOI: https://doi.org/10.1016/j.envpol.2026.128298.</w:t>
      </w:r>
    </w:p>
    <w:p w:rsidR="00AC769D" w:rsidRPr="008D277B" w:rsidRDefault="00AC769D">
      <w:pPr>
        <w:spacing w:line="240" w:lineRule="auto"/>
        <w:ind w:left="0"/>
        <w:jc w:val="left"/>
        <w:rPr>
          <w:spacing w:val="-14"/>
          <w:sz w:val="24"/>
          <w:szCs w:val="24"/>
        </w:rPr>
      </w:pPr>
    </w:p>
    <w:p w:rsidR="00AC769D" w:rsidRPr="008D277B" w:rsidRDefault="002B5776">
      <w:pPr>
        <w:spacing w:line="240" w:lineRule="auto"/>
        <w:ind w:left="0"/>
        <w:jc w:val="left"/>
        <w:rPr>
          <w:spacing w:val="-14"/>
          <w:sz w:val="24"/>
          <w:szCs w:val="24"/>
        </w:rPr>
      </w:pPr>
      <w:r w:rsidRPr="008D277B">
        <w:rPr>
          <w:spacing w:val="-14"/>
          <w:sz w:val="24"/>
          <w:szCs w:val="24"/>
        </w:rPr>
        <w:t xml:space="preserve">ZENG, Jie </w:t>
      </w:r>
      <w:r w:rsidRPr="008D277B">
        <w:rPr>
          <w:i/>
          <w:iCs/>
          <w:spacing w:val="-14"/>
          <w:sz w:val="24"/>
          <w:szCs w:val="24"/>
        </w:rPr>
        <w:t>et al</w:t>
      </w:r>
      <w:r w:rsidRPr="008D277B">
        <w:rPr>
          <w:spacing w:val="-14"/>
          <w:sz w:val="24"/>
          <w:szCs w:val="24"/>
        </w:rPr>
        <w:t>. A study of the occurrence and potential risks of microplastics in fish and shellfish of Hong Kong.</w:t>
      </w:r>
      <w:r w:rsidRPr="008D277B">
        <w:rPr>
          <w:b/>
          <w:bCs/>
          <w:spacing w:val="-14"/>
          <w:sz w:val="24"/>
          <w:szCs w:val="24"/>
        </w:rPr>
        <w:t xml:space="preserve"> Marine Environmental Research</w:t>
      </w:r>
      <w:r w:rsidRPr="008D277B">
        <w:rPr>
          <w:spacing w:val="-14"/>
          <w:sz w:val="24"/>
          <w:szCs w:val="24"/>
        </w:rPr>
        <w:t>, v. 212, 107549, 2025. DOI: https://doi.org/10.1016/j.marenvres.2025.107549</w:t>
      </w:r>
    </w:p>
    <w:p w:rsidR="00AC769D" w:rsidRPr="008D277B" w:rsidRDefault="00AC769D">
      <w:pPr>
        <w:spacing w:line="240" w:lineRule="auto"/>
        <w:ind w:left="0"/>
        <w:jc w:val="left"/>
        <w:rPr>
          <w:spacing w:val="-14"/>
          <w:sz w:val="24"/>
          <w:szCs w:val="24"/>
        </w:rPr>
      </w:pPr>
    </w:p>
    <w:p w:rsidR="00AC769D" w:rsidRPr="008D277B" w:rsidRDefault="002B5776">
      <w:pPr>
        <w:spacing w:line="240" w:lineRule="auto"/>
        <w:ind w:left="0"/>
        <w:jc w:val="left"/>
        <w:rPr>
          <w:spacing w:val="-14"/>
          <w:sz w:val="24"/>
          <w:szCs w:val="24"/>
        </w:rPr>
      </w:pPr>
      <w:r w:rsidRPr="008D277B">
        <w:rPr>
          <w:spacing w:val="-14"/>
          <w:sz w:val="24"/>
          <w:szCs w:val="24"/>
        </w:rPr>
        <w:t>ZHANG, Guoliang</w:t>
      </w:r>
      <w:r w:rsidRPr="008D277B">
        <w:rPr>
          <w:i/>
          <w:iCs/>
          <w:spacing w:val="-14"/>
          <w:sz w:val="24"/>
          <w:szCs w:val="24"/>
        </w:rPr>
        <w:t xml:space="preserve"> et al</w:t>
      </w:r>
      <w:r w:rsidRPr="008D277B">
        <w:rPr>
          <w:spacing w:val="-14"/>
          <w:sz w:val="24"/>
          <w:szCs w:val="24"/>
        </w:rPr>
        <w:t xml:space="preserve">. Bioaccumulation, trophic </w:t>
      </w:r>
      <w:r w:rsidRPr="008D277B">
        <w:rPr>
          <w:spacing w:val="-14"/>
          <w:sz w:val="24"/>
          <w:szCs w:val="24"/>
        </w:rPr>
        <w:t xml:space="preserve">transfer, and health risk assessment of microplastics in the food web of Wuliangsuhai Lake, China: Higher risk for children. </w:t>
      </w:r>
      <w:r w:rsidRPr="008D277B">
        <w:rPr>
          <w:b/>
          <w:bCs/>
          <w:spacing w:val="-14"/>
          <w:sz w:val="24"/>
          <w:szCs w:val="24"/>
        </w:rPr>
        <w:t>Environmental Pollution</w:t>
      </w:r>
      <w:r w:rsidRPr="008D277B">
        <w:rPr>
          <w:spacing w:val="-14"/>
          <w:sz w:val="24"/>
          <w:szCs w:val="24"/>
        </w:rPr>
        <w:t>, v. 395, 127787, 2026. DOI: https://doi.org/10.1016/j.envpol.2026.127787</w:t>
      </w:r>
    </w:p>
    <w:sectPr w:rsidR="00AC769D" w:rsidRPr="008D277B" w:rsidSect="00241E4B">
      <w:headerReference w:type="default" r:id="rId7"/>
      <w:footerReference w:type="default" r:id="rId8"/>
      <w:pgSz w:w="11910" w:h="16840"/>
      <w:pgMar w:top="1701" w:right="1134" w:bottom="1134" w:left="1701" w:header="0" w:footer="1414" w:gutter="0"/>
      <w:pgNumType w:start="1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9CED124" w15:done="0"/>
  <w15:commentEx w15:paraId="7046E36A" w15:done="0"/>
  <w15:commentEx w15:paraId="53CD0CD0" w15:done="0"/>
  <w15:commentEx w15:paraId="4AEB293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E7D6C6" w16cex:dateUtc="2026-07-16T13:46:00Z"/>
  <w16cex:commentExtensible w16cex:durableId="21644E59" w16cex:dateUtc="2026-07-16T14:29:00Z"/>
  <w16cex:commentExtensible w16cex:durableId="50DE7AEA" w16cex:dateUtc="2026-07-16T14:14:00Z"/>
  <w16cex:commentExtensible w16cex:durableId="13024CF7" w16cex:dateUtc="2026-07-16T14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9CED124" w16cid:durableId="07E7D6C6"/>
  <w16cid:commentId w16cid:paraId="7046E36A" w16cid:durableId="21644E59"/>
  <w16cid:commentId w16cid:paraId="53CD0CD0" w16cid:durableId="50DE7AEA"/>
  <w16cid:commentId w16cid:paraId="4AEB2931" w16cid:durableId="13024CF7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776" w:rsidRDefault="002B5776">
      <w:pPr>
        <w:spacing w:line="240" w:lineRule="auto"/>
      </w:pPr>
      <w:r>
        <w:separator/>
      </w:r>
    </w:p>
  </w:endnote>
  <w:endnote w:type="continuationSeparator" w:id="0">
    <w:p w:rsidR="002B5776" w:rsidRDefault="002B577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1AA1159-82BF-4094-BCE3-75C9DFB33ED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FA6B1F9D-4A9E-4489-810F-9C738854D49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F66286C-0822-4C6D-98AF-134281A9C8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AE20F80-8A1F-4010-91D0-A6246ABDB215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9D" w:rsidRDefault="00AC769D">
    <w:pPr>
      <w:pBdr>
        <w:top w:val="nil"/>
        <w:left w:val="nil"/>
        <w:bottom w:val="nil"/>
        <w:right w:val="nil"/>
        <w:between w:val="nil"/>
      </w:pBdr>
      <w:spacing w:line="14" w:lineRule="auto"/>
      <w:ind w:left="0"/>
      <w:jc w:val="left"/>
      <w:rPr>
        <w:color w:val="00000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776" w:rsidRDefault="002B5776">
      <w:pPr>
        <w:spacing w:line="240" w:lineRule="auto"/>
      </w:pPr>
      <w:r>
        <w:separator/>
      </w:r>
    </w:p>
  </w:footnote>
  <w:footnote w:type="continuationSeparator" w:id="0">
    <w:p w:rsidR="002B5776" w:rsidRDefault="002B577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9D" w:rsidRDefault="002B577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/>
      <w:jc w:val="left"/>
      <w:rPr>
        <w:color w:val="000000"/>
      </w:rPr>
    </w:pPr>
    <w:r>
      <w:rPr>
        <w:noProof/>
        <w:color w:val="000000"/>
        <w:sz w:val="24"/>
        <w:szCs w:val="24"/>
        <w:lang w:val="pt-BR"/>
      </w:rPr>
      <w:drawing>
        <wp:anchor distT="0" distB="0" distL="0" distR="0" simplePos="0" relativeHeight="251658240" behindDoc="0" locked="0" layoutInCell="1" allowOverlap="1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7072" cy="1060530"/>
          <wp:effectExtent l="0" t="0" r="0" b="0"/>
          <wp:wrapNone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4"/>
        <w:szCs w:val="24"/>
        <w:lang w:val="pt-BR"/>
      </w:rPr>
      <w:drawing>
        <wp:inline distT="0" distB="0" distL="0" distR="0">
          <wp:extent cx="5753100" cy="996950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0" cy="996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Lucia Robazzi">
    <w15:presenceInfo w15:providerId="Windows Live" w15:userId="26b3740a07e0d06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769D"/>
    <w:rsid w:val="00001939"/>
    <w:rsid w:val="00125616"/>
    <w:rsid w:val="00155421"/>
    <w:rsid w:val="001D2264"/>
    <w:rsid w:val="001D77E6"/>
    <w:rsid w:val="00241E4B"/>
    <w:rsid w:val="002B5776"/>
    <w:rsid w:val="0036440B"/>
    <w:rsid w:val="00410853"/>
    <w:rsid w:val="006B4E70"/>
    <w:rsid w:val="006B71B8"/>
    <w:rsid w:val="006D7713"/>
    <w:rsid w:val="00772957"/>
    <w:rsid w:val="00850162"/>
    <w:rsid w:val="00851D08"/>
    <w:rsid w:val="008D277B"/>
    <w:rsid w:val="0090042D"/>
    <w:rsid w:val="00992A7A"/>
    <w:rsid w:val="00AC769D"/>
    <w:rsid w:val="00B45F28"/>
    <w:rsid w:val="00BD7234"/>
    <w:rsid w:val="00C17EAD"/>
    <w:rsid w:val="00C8007A"/>
    <w:rsid w:val="00D045E1"/>
    <w:rsid w:val="00E22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  <w:spacing w:line="360" w:lineRule="auto"/>
        <w:ind w:left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E4B"/>
  </w:style>
  <w:style w:type="paragraph" w:styleId="Ttulo1">
    <w:name w:val="heading 1"/>
    <w:basedOn w:val="Normal"/>
    <w:next w:val="Normal"/>
    <w:uiPriority w:val="9"/>
    <w:qFormat/>
    <w:rsid w:val="00241E4B"/>
    <w:pPr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241E4B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241E4B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241E4B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241E4B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241E4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241E4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rsid w:val="00241E4B"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rsid w:val="00241E4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Refdecomentrio">
    <w:name w:val="annotation reference"/>
    <w:basedOn w:val="Fontepargpadro"/>
    <w:uiPriority w:val="99"/>
    <w:semiHidden/>
    <w:unhideWhenUsed/>
    <w:rsid w:val="0015542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542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5542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542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5542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004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0042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90042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364828-6FAD-4EA3-81CF-661C2D77C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2427</Words>
  <Characters>13111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Lúcia</dc:creator>
  <cp:lastModifiedBy>Projetos Publicos</cp:lastModifiedBy>
  <cp:revision>12</cp:revision>
  <dcterms:created xsi:type="dcterms:W3CDTF">2026-07-16T14:09:00Z</dcterms:created>
  <dcterms:modified xsi:type="dcterms:W3CDTF">2026-07-17T23:19:00Z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2026-01-27T00:00:00Z</vt:lpwstr>
  </property>
  <property fmtid="{D5CDD505-2E9C-101B-9397-08002B2CF9AE}" pid="3" name="Creator">
    <vt:lpwstr>Microsoft Word</vt:lpwstr>
  </property>
  <property fmtid="{D5CDD505-2E9C-101B-9397-08002B2CF9AE}" pid="4" name="LastSaved">
    <vt:lpwstr>2026-01-27T00:00:00Z</vt:lpwstr>
  </property>
</Properties>
</file>