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both"/>
        <w:rPr>
          <w:b w:val="1"/>
          <w:sz w:val="20"/>
          <w:szCs w:val="20"/>
        </w:rPr>
      </w:pPr>
      <w:r w:rsidDel="00000000" w:rsidR="00000000" w:rsidRPr="00000000">
        <w:rPr>
          <w:b w:val="1"/>
          <w:sz w:val="20"/>
          <w:szCs w:val="20"/>
          <w:rtl w:val="0"/>
        </w:rPr>
        <w:t xml:space="preserve">ÁREA TEMÁTICA:</w:t>
      </w:r>
      <w:r w:rsidDel="00000000" w:rsidR="00000000" w:rsidRPr="00000000">
        <w:rPr>
          <w:sz w:val="20"/>
          <w:szCs w:val="20"/>
          <w:rtl w:val="0"/>
        </w:rPr>
        <w:t xml:space="preserve"> </w:t>
      </w:r>
      <w:r w:rsidDel="00000000" w:rsidR="00000000" w:rsidRPr="00000000">
        <w:rPr>
          <w:b w:val="1"/>
          <w:sz w:val="20"/>
          <w:szCs w:val="20"/>
          <w:rtl w:val="0"/>
        </w:rPr>
        <w:t xml:space="preserve">Zoologia aplicada</w:t>
      </w:r>
    </w:p>
    <w:p w:rsidR="00000000" w:rsidDel="00000000" w:rsidP="00000000" w:rsidRDefault="00000000" w:rsidRPr="00000000" w14:paraId="00000002">
      <w:pPr>
        <w:shd w:fill="ffffff" w:val="clear"/>
        <w:jc w:val="both"/>
        <w:rPr>
          <w:sz w:val="20"/>
          <w:szCs w:val="20"/>
        </w:rPr>
      </w:pPr>
      <w:r w:rsidDel="00000000" w:rsidR="00000000" w:rsidRPr="00000000">
        <w:rPr>
          <w:b w:val="1"/>
          <w:sz w:val="20"/>
          <w:szCs w:val="20"/>
          <w:rtl w:val="0"/>
        </w:rPr>
        <w:t xml:space="preserve">SUBÁREA TEMÁTICA:</w:t>
      </w:r>
      <w:r w:rsidDel="00000000" w:rsidR="00000000" w:rsidRPr="00000000">
        <w:rPr>
          <w:sz w:val="20"/>
          <w:szCs w:val="20"/>
          <w:rtl w:val="0"/>
        </w:rPr>
        <w:t xml:space="preserve"> </w:t>
      </w:r>
    </w:p>
    <w:p w:rsidR="00000000" w:rsidDel="00000000" w:rsidP="00000000" w:rsidRDefault="00000000" w:rsidRPr="00000000" w14:paraId="00000003">
      <w:pPr>
        <w:shd w:fill="ffffff" w:val="clea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4">
      <w:pPr>
        <w:shd w:fill="ffffff" w:val="clear"/>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05">
      <w:pPr>
        <w:shd w:fill="ffffff" w:val="clear"/>
        <w:jc w:val="center"/>
        <w:rPr>
          <w:sz w:val="20"/>
          <w:szCs w:val="20"/>
        </w:rPr>
      </w:pPr>
      <w:r w:rsidDel="00000000" w:rsidR="00000000" w:rsidRPr="00000000">
        <w:rPr>
          <w:b w:val="1"/>
          <w:sz w:val="20"/>
          <w:szCs w:val="20"/>
          <w:rtl w:val="0"/>
        </w:rPr>
        <w:t xml:space="preserve">ORGANISMOS DA MEIOFAUNA CONSIDERADOS SENSÍVEIS A OUTROS CONTAMINANTES PODEM SER TOLERANTES AO HPA FENANTRENO </w:t>
      </w:r>
      <w:r w:rsidDel="00000000" w:rsidR="00000000" w:rsidRPr="00000000">
        <w:rPr>
          <w:rtl w:val="0"/>
        </w:rPr>
      </w:r>
    </w:p>
    <w:p w:rsidR="00000000" w:rsidDel="00000000" w:rsidP="00000000" w:rsidRDefault="00000000" w:rsidRPr="00000000" w14:paraId="00000006">
      <w:pPr>
        <w:shd w:fill="ffffff" w:val="clear"/>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07">
      <w:pPr>
        <w:shd w:fill="ffffff" w:val="clear"/>
        <w:spacing w:line="240" w:lineRule="auto"/>
        <w:jc w:val="center"/>
        <w:rPr>
          <w:sz w:val="20"/>
          <w:szCs w:val="20"/>
        </w:rPr>
      </w:pPr>
      <w:r w:rsidDel="00000000" w:rsidR="00000000" w:rsidRPr="00000000">
        <w:rPr>
          <w:sz w:val="20"/>
          <w:szCs w:val="20"/>
          <w:rtl w:val="0"/>
        </w:rPr>
        <w:t xml:space="preserve">Emanuele Rodrigues Firmino¹, </w:t>
      </w:r>
      <w:r w:rsidDel="00000000" w:rsidR="00000000" w:rsidRPr="00000000">
        <w:rPr>
          <w:sz w:val="20"/>
          <w:szCs w:val="20"/>
          <w:highlight w:val="white"/>
          <w:rtl w:val="0"/>
        </w:rPr>
        <w:t xml:space="preserve">Flávia Juliana Lobato de França</w:t>
      </w:r>
      <w:r w:rsidDel="00000000" w:rsidR="00000000" w:rsidRPr="00000000">
        <w:rPr>
          <w:sz w:val="20"/>
          <w:szCs w:val="20"/>
          <w:rtl w:val="0"/>
        </w:rPr>
        <w:t xml:space="preserve">¹</w:t>
      </w:r>
      <w:r w:rsidDel="00000000" w:rsidR="00000000" w:rsidRPr="00000000">
        <w:rPr>
          <w:sz w:val="20"/>
          <w:szCs w:val="20"/>
          <w:highlight w:val="white"/>
          <w:rtl w:val="0"/>
        </w:rPr>
        <w:t xml:space="preserve">, Giovanna Lins Pessoa</w:t>
      </w:r>
      <w:r w:rsidDel="00000000" w:rsidR="00000000" w:rsidRPr="00000000">
        <w:rPr>
          <w:sz w:val="20"/>
          <w:szCs w:val="20"/>
          <w:highlight w:val="white"/>
          <w:vertAlign w:val="superscript"/>
          <w:rtl w:val="0"/>
        </w:rPr>
        <w:t xml:space="preserve">1</w:t>
      </w:r>
      <w:r w:rsidDel="00000000" w:rsidR="00000000" w:rsidRPr="00000000">
        <w:rPr>
          <w:sz w:val="20"/>
          <w:szCs w:val="20"/>
          <w:highlight w:val="white"/>
          <w:rtl w:val="0"/>
        </w:rPr>
        <w:t xml:space="preserve">, Natally Souza da Silva Costa</w:t>
      </w:r>
      <w:r w:rsidDel="00000000" w:rsidR="00000000" w:rsidRPr="00000000">
        <w:rPr>
          <w:sz w:val="26"/>
          <w:szCs w:val="26"/>
          <w:highlight w:val="white"/>
          <w:vertAlign w:val="superscript"/>
          <w:rtl w:val="0"/>
        </w:rPr>
        <w:t xml:space="preserve">1</w:t>
      </w:r>
      <w:r w:rsidDel="00000000" w:rsidR="00000000" w:rsidRPr="00000000">
        <w:rPr>
          <w:sz w:val="20"/>
          <w:szCs w:val="20"/>
          <w:highlight w:val="white"/>
          <w:rtl w:val="0"/>
        </w:rPr>
        <w:t xml:space="preserve">, Renan Belém da Silva¹, Letícia Pereira Pontes¹; Débora Alissandra de Araújo França¹; Giovanni Amadeu Paiva dos Santos</w:t>
      </w:r>
      <w:r w:rsidDel="00000000" w:rsidR="00000000" w:rsidRPr="00000000">
        <w:rPr>
          <w:sz w:val="20"/>
          <w:szCs w:val="20"/>
          <w:highlight w:val="white"/>
          <w:vertAlign w:val="superscript"/>
          <w:rtl w:val="0"/>
        </w:rPr>
        <w:t xml:space="preserve">1</w:t>
      </w:r>
      <w:r w:rsidDel="00000000" w:rsidR="00000000" w:rsidRPr="00000000">
        <w:rPr>
          <w:sz w:val="20"/>
          <w:szCs w:val="20"/>
          <w:rtl w:val="0"/>
        </w:rPr>
        <w:t xml:space="preserve">  </w:t>
      </w:r>
    </w:p>
    <w:p w:rsidR="00000000" w:rsidDel="00000000" w:rsidP="00000000" w:rsidRDefault="00000000" w:rsidRPr="00000000" w14:paraId="00000008">
      <w:pPr>
        <w:shd w:fill="ffffff" w:val="clear"/>
        <w:jc w:val="center"/>
        <w:rPr>
          <w:color w:val="0000ff"/>
          <w:sz w:val="20"/>
          <w:szCs w:val="20"/>
          <w:u w:val="single"/>
        </w:rPr>
      </w:pPr>
      <w:r w:rsidDel="00000000" w:rsidR="00000000" w:rsidRPr="00000000">
        <w:rPr>
          <w:sz w:val="20"/>
          <w:szCs w:val="20"/>
          <w:rtl w:val="0"/>
        </w:rPr>
        <w:t xml:space="preserve">¹ Universidade Federal de Pernambuco (UFPE), Campus Recife. </w:t>
      </w:r>
      <w:r w:rsidDel="00000000" w:rsidR="00000000" w:rsidRPr="00000000">
        <w:rPr>
          <w:sz w:val="20"/>
          <w:szCs w:val="20"/>
          <w:highlight w:val="white"/>
          <w:rtl w:val="0"/>
        </w:rPr>
        <w:t xml:space="preserve">E-mail: </w:t>
      </w:r>
      <w:hyperlink r:id="rId6">
        <w:r w:rsidDel="00000000" w:rsidR="00000000" w:rsidRPr="00000000">
          <w:rPr>
            <w:color w:val="0000ff"/>
            <w:sz w:val="20"/>
            <w:szCs w:val="20"/>
            <w:u w:val="single"/>
            <w:rtl w:val="0"/>
          </w:rPr>
          <w:t xml:space="preserve">emanuele.rodrigues@ufpe.br</w:t>
        </w:r>
      </w:hyperlink>
      <w:r w:rsidDel="00000000" w:rsidR="00000000" w:rsidRPr="00000000">
        <w:rPr>
          <w:color w:val="0000ff"/>
          <w:sz w:val="20"/>
          <w:szCs w:val="20"/>
          <w:u w:val="single"/>
          <w:rtl w:val="0"/>
        </w:rPr>
        <w:t xml:space="preserve">; flavia.lobato@ufpe.br; giovanna.pessoa@ufpe.br; </w:t>
      </w:r>
      <w:hyperlink r:id="rId7">
        <w:r w:rsidDel="00000000" w:rsidR="00000000" w:rsidRPr="00000000">
          <w:rPr>
            <w:color w:val="0000ff"/>
            <w:sz w:val="20"/>
            <w:szCs w:val="20"/>
            <w:u w:val="single"/>
            <w:rtl w:val="0"/>
          </w:rPr>
          <w:t xml:space="preserve">natally.souza@ufpe.br</w:t>
        </w:r>
      </w:hyperlink>
      <w:r w:rsidDel="00000000" w:rsidR="00000000" w:rsidRPr="00000000">
        <w:rPr>
          <w:color w:val="0000ff"/>
          <w:sz w:val="20"/>
          <w:szCs w:val="20"/>
          <w:u w:val="single"/>
          <w:rtl w:val="0"/>
        </w:rPr>
        <w:t xml:space="preserve">; </w:t>
      </w:r>
      <w:hyperlink r:id="rId8">
        <w:r w:rsidDel="00000000" w:rsidR="00000000" w:rsidRPr="00000000">
          <w:rPr>
            <w:color w:val="0000ff"/>
            <w:sz w:val="20"/>
            <w:szCs w:val="20"/>
            <w:u w:val="single"/>
            <w:rtl w:val="0"/>
          </w:rPr>
          <w:t xml:space="preserve">renan.belem@ufpe.br</w:t>
        </w:r>
      </w:hyperlink>
      <w:r w:rsidDel="00000000" w:rsidR="00000000" w:rsidRPr="00000000">
        <w:rPr>
          <w:color w:val="0000ff"/>
          <w:sz w:val="20"/>
          <w:szCs w:val="20"/>
          <w:u w:val="single"/>
          <w:rtl w:val="0"/>
        </w:rPr>
        <w:t xml:space="preserve">; </w:t>
      </w:r>
      <w:hyperlink r:id="rId9">
        <w:r w:rsidDel="00000000" w:rsidR="00000000" w:rsidRPr="00000000">
          <w:rPr>
            <w:color w:val="0000ff"/>
            <w:sz w:val="20"/>
            <w:szCs w:val="20"/>
            <w:u w:val="single"/>
            <w:rtl w:val="0"/>
          </w:rPr>
          <w:t xml:space="preserve">leticia.pereira@ufpe.br</w:t>
        </w:r>
      </w:hyperlink>
      <w:r w:rsidDel="00000000" w:rsidR="00000000" w:rsidRPr="00000000">
        <w:rPr>
          <w:color w:val="0000ff"/>
          <w:sz w:val="20"/>
          <w:szCs w:val="20"/>
          <w:u w:val="single"/>
          <w:rtl w:val="0"/>
        </w:rPr>
        <w:t xml:space="preserve">; </w:t>
      </w:r>
      <w:hyperlink r:id="rId10">
        <w:r w:rsidDel="00000000" w:rsidR="00000000" w:rsidRPr="00000000">
          <w:rPr>
            <w:color w:val="0000ff"/>
            <w:sz w:val="20"/>
            <w:szCs w:val="20"/>
            <w:u w:val="single"/>
            <w:rtl w:val="0"/>
          </w:rPr>
          <w:t xml:space="preserve">debora.alissandra@ufpe.br</w:t>
        </w:r>
      </w:hyperlink>
      <w:r w:rsidDel="00000000" w:rsidR="00000000" w:rsidRPr="00000000">
        <w:rPr>
          <w:color w:val="0000ff"/>
          <w:sz w:val="20"/>
          <w:szCs w:val="20"/>
          <w:u w:val="single"/>
          <w:rtl w:val="0"/>
        </w:rPr>
        <w:t xml:space="preserve">; </w:t>
      </w:r>
      <w:hyperlink r:id="rId11">
        <w:r w:rsidDel="00000000" w:rsidR="00000000" w:rsidRPr="00000000">
          <w:rPr>
            <w:color w:val="0000ff"/>
            <w:sz w:val="20"/>
            <w:szCs w:val="20"/>
            <w:u w:val="single"/>
            <w:rtl w:val="0"/>
          </w:rPr>
          <w:t xml:space="preserve">giovanni.santos@ufpe.br</w:t>
        </w:r>
      </w:hyperlink>
      <w:r w:rsidDel="00000000" w:rsidR="00000000" w:rsidRPr="00000000">
        <w:rPr>
          <w:rtl w:val="0"/>
        </w:rPr>
      </w:r>
    </w:p>
    <w:p w:rsidR="00000000" w:rsidDel="00000000" w:rsidP="00000000" w:rsidRDefault="00000000" w:rsidRPr="00000000" w14:paraId="00000009">
      <w:pP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0A">
      <w:pPr>
        <w:shd w:fill="ffffff" w:val="clear"/>
        <w:rPr>
          <w:sz w:val="20"/>
          <w:szCs w:val="20"/>
        </w:rPr>
      </w:pPr>
      <w:r w:rsidDel="00000000" w:rsidR="00000000" w:rsidRPr="00000000">
        <w:rPr>
          <w:b w:val="1"/>
          <w:sz w:val="20"/>
          <w:szCs w:val="20"/>
          <w:rtl w:val="0"/>
        </w:rPr>
        <w:t xml:space="preserve">INTRODUÇÃO</w:t>
      </w:r>
      <w:r w:rsidDel="00000000" w:rsidR="00000000" w:rsidRPr="00000000">
        <w:rPr>
          <w:sz w:val="20"/>
          <w:szCs w:val="20"/>
          <w:rtl w:val="0"/>
        </w:rPr>
        <w:t xml:space="preserve"> </w:t>
      </w:r>
    </w:p>
    <w:p w:rsidR="00000000" w:rsidDel="00000000" w:rsidP="00000000" w:rsidRDefault="00000000" w:rsidRPr="00000000" w14:paraId="0000000B">
      <w:pPr>
        <w:shd w:fill="ffffff" w:val="clear"/>
        <w:ind w:firstLine="560"/>
        <w:jc w:val="both"/>
        <w:rPr>
          <w:sz w:val="20"/>
          <w:szCs w:val="20"/>
        </w:rPr>
      </w:pPr>
      <w:r w:rsidDel="00000000" w:rsidR="00000000" w:rsidRPr="00000000">
        <w:rPr>
          <w:sz w:val="20"/>
          <w:szCs w:val="20"/>
          <w:rtl w:val="0"/>
        </w:rPr>
        <w:t xml:space="preserve">Os hidrocarbonetos policíclicos aromáticos (HPA’s) formam um grupo de compostos orgânicos que variam desde a quantidade de anéis aromáticos, até suas propriedades físico-químicas, mas em geral, são pouco solúveis em água e altamente persistentes no ambiente. Devido à dificuldade de degradação e potencial tóxico que alguns HPA’s possuem, 16 se fazem presentes na lista de poluentes prioritários determinado pela Agência de Proteção Ambiental (EPA) dos Estados Unidos (</w:t>
      </w:r>
      <w:r w:rsidDel="00000000" w:rsidR="00000000" w:rsidRPr="00000000">
        <w:rPr>
          <w:sz w:val="20"/>
          <w:szCs w:val="20"/>
          <w:highlight w:val="white"/>
          <w:rtl w:val="0"/>
        </w:rPr>
        <w:t xml:space="preserve">EPA, 2014).  </w:t>
      </w:r>
      <w:r w:rsidDel="00000000" w:rsidR="00000000" w:rsidRPr="00000000">
        <w:rPr>
          <w:sz w:val="20"/>
          <w:szCs w:val="20"/>
          <w:rtl w:val="0"/>
        </w:rPr>
        <w:t xml:space="preserve">Dentre esses, o fenantreno, composto por três anéis aromáticos, é um dos principais HPAs encontrados em ambientes aquáticos (Cerniglia, 1993) e responsável por diversos efeitos letais e subletais em organismos bentônicos (Louati et al., 2014). </w:t>
      </w:r>
    </w:p>
    <w:p w:rsidR="00000000" w:rsidDel="00000000" w:rsidP="00000000" w:rsidRDefault="00000000" w:rsidRPr="00000000" w14:paraId="0000000C">
      <w:pPr>
        <w:shd w:fill="ffffff" w:val="clear"/>
        <w:ind w:firstLine="560"/>
        <w:jc w:val="both"/>
        <w:rPr>
          <w:sz w:val="20"/>
          <w:szCs w:val="20"/>
        </w:rPr>
      </w:pPr>
      <w:r w:rsidDel="00000000" w:rsidR="00000000" w:rsidRPr="00000000">
        <w:rPr>
          <w:sz w:val="20"/>
          <w:szCs w:val="20"/>
          <w:rtl w:val="0"/>
        </w:rPr>
        <w:t xml:space="preserve">Provindo, principalmente, de derrames de petróleo, óleo bruto e efluentes industriais, o fenantreno quando decantado nos ambientes aquáticos, se acumula no sedimento (Soclo et al., 2000), atuando na fauna local de forma prejudicial. Dessa forma, a meiofauna que compreende um grupo de organismos bentônicos, além de estarem propensos a poluição por HPA, possuem vantagens em relação a outros organismos, pela pouca motilidade e ciclo de vida curto </w:t>
      </w:r>
      <w:r w:rsidDel="00000000" w:rsidR="00000000" w:rsidRPr="00000000">
        <w:rPr>
          <w:sz w:val="20"/>
          <w:szCs w:val="20"/>
          <w:highlight w:val="white"/>
          <w:rtl w:val="0"/>
        </w:rPr>
        <w:t xml:space="preserve">​(Schratzberger and Ingels, 2018)</w:t>
      </w:r>
      <w:r w:rsidDel="00000000" w:rsidR="00000000" w:rsidRPr="00000000">
        <w:rPr>
          <w:sz w:val="20"/>
          <w:szCs w:val="20"/>
          <w:rtl w:val="0"/>
        </w:rPr>
        <w:t xml:space="preserve">, além da diversidade dessa comunidade e papel ecológico (Santos et al., 2018). </w:t>
      </w:r>
    </w:p>
    <w:p w:rsidR="00000000" w:rsidDel="00000000" w:rsidP="00000000" w:rsidRDefault="00000000" w:rsidRPr="00000000" w14:paraId="0000000D">
      <w:pPr>
        <w:shd w:fill="ffffff" w:val="clear"/>
        <w:ind w:firstLine="560"/>
        <w:jc w:val="both"/>
        <w:rPr>
          <w:sz w:val="20"/>
          <w:szCs w:val="20"/>
        </w:rPr>
      </w:pPr>
      <w:r w:rsidDel="00000000" w:rsidR="00000000" w:rsidRPr="00000000">
        <w:rPr>
          <w:sz w:val="20"/>
          <w:szCs w:val="20"/>
          <w:rtl w:val="0"/>
        </w:rPr>
        <w:t xml:space="preserve">Portanto, considerando a sensibilidade da meiofauna para estudos ecotoxicológicos e a característica de persistência ambiental, bioacumulação e genotoxicidade do fenantreno, este estudo tem por objetivo avaliar os efeitos do HPA fenantreno na abundância, riqueza e equitabilidade da comunidade bentônica. </w:t>
      </w:r>
    </w:p>
    <w:p w:rsidR="00000000" w:rsidDel="00000000" w:rsidP="00000000" w:rsidRDefault="00000000" w:rsidRPr="00000000" w14:paraId="0000000E">
      <w:pPr>
        <w:shd w:fill="ffffff" w:val="clear"/>
        <w:jc w:val="both"/>
        <w:rPr>
          <w:sz w:val="20"/>
          <w:szCs w:val="20"/>
        </w:rPr>
      </w:pPr>
      <w:r w:rsidDel="00000000" w:rsidR="00000000" w:rsidRPr="00000000">
        <w:rPr>
          <w:rtl w:val="0"/>
        </w:rPr>
      </w:r>
    </w:p>
    <w:p w:rsidR="00000000" w:rsidDel="00000000" w:rsidP="00000000" w:rsidRDefault="00000000" w:rsidRPr="00000000" w14:paraId="0000000F">
      <w:pPr>
        <w:shd w:fill="ffffff" w:val="clear"/>
        <w:jc w:val="both"/>
        <w:rPr>
          <w:sz w:val="20"/>
          <w:szCs w:val="20"/>
        </w:rPr>
      </w:pPr>
      <w:r w:rsidDel="00000000" w:rsidR="00000000" w:rsidRPr="00000000">
        <w:rPr>
          <w:b w:val="1"/>
          <w:sz w:val="20"/>
          <w:szCs w:val="20"/>
          <w:rtl w:val="0"/>
        </w:rPr>
        <w:t xml:space="preserve">MATERIAL E MÉTODOS</w:t>
      </w:r>
      <w:r w:rsidDel="00000000" w:rsidR="00000000" w:rsidRPr="00000000">
        <w:rPr>
          <w:sz w:val="20"/>
          <w:szCs w:val="20"/>
          <w:rtl w:val="0"/>
        </w:rPr>
        <w:t xml:space="preserve"> </w:t>
        <w:tab/>
      </w:r>
    </w:p>
    <w:p w:rsidR="00000000" w:rsidDel="00000000" w:rsidP="00000000" w:rsidRDefault="00000000" w:rsidRPr="00000000" w14:paraId="00000010">
      <w:pPr>
        <w:shd w:fill="ffffff" w:val="clear"/>
        <w:ind w:firstLine="720"/>
        <w:jc w:val="both"/>
        <w:rPr>
          <w:sz w:val="20"/>
          <w:szCs w:val="20"/>
        </w:rPr>
      </w:pPr>
      <w:r w:rsidDel="00000000" w:rsidR="00000000" w:rsidRPr="00000000">
        <w:rPr>
          <w:sz w:val="20"/>
          <w:szCs w:val="20"/>
          <w:rtl w:val="0"/>
        </w:rPr>
        <w:t xml:space="preserve">O experimento seguiu a metodologia de Vafeiadou et al., (2018), a coleta de sedimento com meiofauna ocorreu na Praia do Cupe na Cidade de Ipojuca- PE. O sedimento coletado foi mantido sob temperatura e salinidade controlada durante sete dias (Estabilização). Para cada microcosmo, ao decorrer do experimento, além do tempo zero (T0), que representa o dia após a estabilização, mais duas amostragens foram feitas, após quinze dias (T15), trinta dias (T30) de experimento, com três concentrações (0,1; 1 e 10µg/mL) de fenantreno em pó (Sigma Aldrich).</w:t>
      </w:r>
      <w:r w:rsidDel="00000000" w:rsidR="00000000" w:rsidRPr="00000000">
        <w:rPr>
          <w:rtl w:val="0"/>
        </w:rPr>
        <w:t xml:space="preserve">  </w:t>
      </w:r>
      <w:r w:rsidDel="00000000" w:rsidR="00000000" w:rsidRPr="00000000">
        <w:rPr>
          <w:sz w:val="20"/>
          <w:szCs w:val="20"/>
          <w:rtl w:val="0"/>
        </w:rPr>
        <w:t xml:space="preserve">A etapa final de cada coleta experimental correspondeu na lavagem do sedimento com peneira de malha de 300µm e 38µm. A meiofauna foi preservada em 4% de formaldeído e corada com rosa de bengala, e então foi feita a triagem através de esteromicroscópio, para identificação a nível de ordem ou superior. A análise de dados uni e multivariada foram realizadas pelo software Primer V6 + Permanova add on. Para construção dos gráficos, foi utilizado o Sigmaplot versão 12.5.</w:t>
      </w:r>
    </w:p>
    <w:p w:rsidR="00000000" w:rsidDel="00000000" w:rsidP="00000000" w:rsidRDefault="00000000" w:rsidRPr="00000000" w14:paraId="00000011">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12">
      <w:pPr>
        <w:spacing w:line="240" w:lineRule="auto"/>
        <w:jc w:val="both"/>
        <w:rPr>
          <w:b w:val="1"/>
          <w:sz w:val="20"/>
          <w:szCs w:val="20"/>
        </w:rPr>
      </w:pPr>
      <w:r w:rsidDel="00000000" w:rsidR="00000000" w:rsidRPr="00000000">
        <w:rPr>
          <w:b w:val="1"/>
          <w:sz w:val="20"/>
          <w:szCs w:val="20"/>
          <w:rtl w:val="0"/>
        </w:rPr>
        <w:t xml:space="preserve">RESULTADOS E DISCUSSÃO</w:t>
      </w:r>
    </w:p>
    <w:p w:rsidR="00000000" w:rsidDel="00000000" w:rsidP="00000000" w:rsidRDefault="00000000" w:rsidRPr="00000000" w14:paraId="00000013">
      <w:pPr>
        <w:spacing w:line="240" w:lineRule="auto"/>
        <w:ind w:firstLine="567"/>
        <w:jc w:val="both"/>
        <w:rPr>
          <w:sz w:val="20"/>
          <w:szCs w:val="20"/>
        </w:rPr>
      </w:pPr>
      <w:r w:rsidDel="00000000" w:rsidR="00000000" w:rsidRPr="00000000">
        <w:rPr>
          <w:rtl w:val="0"/>
        </w:rPr>
      </w:r>
    </w:p>
    <w:p w:rsidR="00000000" w:rsidDel="00000000" w:rsidP="00000000" w:rsidRDefault="00000000" w:rsidRPr="00000000" w14:paraId="00000014">
      <w:pPr>
        <w:spacing w:line="240" w:lineRule="auto"/>
        <w:ind w:firstLine="567"/>
        <w:jc w:val="both"/>
        <w:rPr>
          <w:sz w:val="20"/>
          <w:szCs w:val="20"/>
        </w:rPr>
      </w:pPr>
      <w:r w:rsidDel="00000000" w:rsidR="00000000" w:rsidRPr="00000000">
        <w:rPr>
          <w:sz w:val="20"/>
          <w:szCs w:val="20"/>
          <w:rtl w:val="0"/>
        </w:rPr>
        <w:t xml:space="preserve">A densidade da meiofauna diminuiu em relação aos controles com o aumento da concentração após 15 dias de exposição ao fenantreno (Pseudo-F = 2,1679; p = 0,008). Porém, após 30 dias a densidade da fauna aumenta dependente de dose em relação aos controles (Fig.1). Apesar disso, apenas a maior concentração testada (10µg/ml) difere estatisticamente do controle (p = 0,034). Este resultado diverge dos outros estudos no qual concentrações baixas testadas não causaram efeito significativo comparado aos controles experimentais (Louati et al., 2014). Este achado pode estar atrelado ao fato de que os Copépoda e Naupli são responsáveis pelas altas densidades totais ao longo do tempo, e estes quando em ambientes impactados por HPA’s tendem desenvolver tolerância e resiliência (Lee et al., 2017). </w:t>
      </w:r>
    </w:p>
    <w:p w:rsidR="00000000" w:rsidDel="00000000" w:rsidP="00000000" w:rsidRDefault="00000000" w:rsidRPr="00000000" w14:paraId="00000015">
      <w:pPr>
        <w:spacing w:line="240" w:lineRule="auto"/>
        <w:ind w:firstLine="567"/>
        <w:jc w:val="both"/>
        <w:rPr>
          <w:sz w:val="20"/>
          <w:szCs w:val="20"/>
        </w:rPr>
      </w:pPr>
      <w:r w:rsidDel="00000000" w:rsidR="00000000" w:rsidRPr="00000000">
        <w:rPr>
          <w:rtl w:val="0"/>
        </w:rPr>
      </w:r>
    </w:p>
    <w:p w:rsidR="00000000" w:rsidDel="00000000" w:rsidP="00000000" w:rsidRDefault="00000000" w:rsidRPr="00000000" w14:paraId="00000016">
      <w:pPr>
        <w:spacing w:line="240" w:lineRule="auto"/>
        <w:ind w:firstLine="567"/>
        <w:jc w:val="both"/>
        <w:rPr>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765175</wp:posOffset>
            </wp:positionH>
            <wp:positionV relativeFrom="paragraph">
              <wp:posOffset>9525</wp:posOffset>
            </wp:positionV>
            <wp:extent cx="4203065" cy="271462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2"/>
                    <a:srcRect b="0" l="0" r="0" t="7767"/>
                    <a:stretch>
                      <a:fillRect/>
                    </a:stretch>
                  </pic:blipFill>
                  <pic:spPr>
                    <a:xfrm>
                      <a:off x="0" y="0"/>
                      <a:ext cx="4203065" cy="2714625"/>
                    </a:xfrm>
                    <a:prstGeom prst="rect"/>
                    <a:ln/>
                  </pic:spPr>
                </pic:pic>
              </a:graphicData>
            </a:graphic>
          </wp:anchor>
        </w:drawing>
      </w:r>
    </w:p>
    <w:p w:rsidR="00000000" w:rsidDel="00000000" w:rsidP="00000000" w:rsidRDefault="00000000" w:rsidRPr="00000000" w14:paraId="00000017">
      <w:pPr>
        <w:spacing w:line="240" w:lineRule="auto"/>
        <w:ind w:firstLine="567"/>
        <w:jc w:val="both"/>
        <w:rPr>
          <w:sz w:val="20"/>
          <w:szCs w:val="20"/>
        </w:rPr>
      </w:pPr>
      <w:r w:rsidDel="00000000" w:rsidR="00000000" w:rsidRPr="00000000">
        <w:rPr>
          <w:rtl w:val="0"/>
        </w:rPr>
      </w:r>
    </w:p>
    <w:p w:rsidR="00000000" w:rsidDel="00000000" w:rsidP="00000000" w:rsidRDefault="00000000" w:rsidRPr="00000000" w14:paraId="00000018">
      <w:pPr>
        <w:spacing w:line="240" w:lineRule="auto"/>
        <w:ind w:firstLine="567"/>
        <w:jc w:val="both"/>
        <w:rPr>
          <w:sz w:val="20"/>
          <w:szCs w:val="20"/>
        </w:rPr>
      </w:pPr>
      <w:r w:rsidDel="00000000" w:rsidR="00000000" w:rsidRPr="00000000">
        <w:rPr>
          <w:rtl w:val="0"/>
        </w:rPr>
      </w:r>
    </w:p>
    <w:p w:rsidR="00000000" w:rsidDel="00000000" w:rsidP="00000000" w:rsidRDefault="00000000" w:rsidRPr="00000000" w14:paraId="00000019">
      <w:pPr>
        <w:spacing w:line="240" w:lineRule="auto"/>
        <w:ind w:firstLine="567"/>
        <w:jc w:val="both"/>
        <w:rPr>
          <w:sz w:val="20"/>
          <w:szCs w:val="20"/>
        </w:rPr>
      </w:pPr>
      <w:r w:rsidDel="00000000" w:rsidR="00000000" w:rsidRPr="00000000">
        <w:rPr>
          <w:rtl w:val="0"/>
        </w:rPr>
      </w:r>
    </w:p>
    <w:p w:rsidR="00000000" w:rsidDel="00000000" w:rsidP="00000000" w:rsidRDefault="00000000" w:rsidRPr="00000000" w14:paraId="0000001A">
      <w:pPr>
        <w:spacing w:line="240" w:lineRule="auto"/>
        <w:ind w:firstLine="567"/>
        <w:jc w:val="both"/>
        <w:rPr>
          <w:sz w:val="20"/>
          <w:szCs w:val="20"/>
        </w:rPr>
      </w:pPr>
      <w:r w:rsidDel="00000000" w:rsidR="00000000" w:rsidRPr="00000000">
        <w:rPr>
          <w:rtl w:val="0"/>
        </w:rPr>
      </w:r>
    </w:p>
    <w:p w:rsidR="00000000" w:rsidDel="00000000" w:rsidP="00000000" w:rsidRDefault="00000000" w:rsidRPr="00000000" w14:paraId="0000001B">
      <w:pPr>
        <w:spacing w:line="240" w:lineRule="auto"/>
        <w:ind w:firstLine="567"/>
        <w:jc w:val="both"/>
        <w:rPr>
          <w:sz w:val="20"/>
          <w:szCs w:val="20"/>
        </w:rPr>
      </w:pPr>
      <w:r w:rsidDel="00000000" w:rsidR="00000000" w:rsidRPr="00000000">
        <w:rPr>
          <w:rtl w:val="0"/>
        </w:rPr>
      </w:r>
    </w:p>
    <w:p w:rsidR="00000000" w:rsidDel="00000000" w:rsidP="00000000" w:rsidRDefault="00000000" w:rsidRPr="00000000" w14:paraId="0000001C">
      <w:pPr>
        <w:spacing w:line="240" w:lineRule="auto"/>
        <w:ind w:firstLine="567"/>
        <w:jc w:val="both"/>
        <w:rPr>
          <w:sz w:val="20"/>
          <w:szCs w:val="20"/>
        </w:rPr>
      </w:pPr>
      <w:r w:rsidDel="00000000" w:rsidR="00000000" w:rsidRPr="00000000">
        <w:rPr>
          <w:rtl w:val="0"/>
        </w:rPr>
      </w:r>
    </w:p>
    <w:p w:rsidR="00000000" w:rsidDel="00000000" w:rsidP="00000000" w:rsidRDefault="00000000" w:rsidRPr="00000000" w14:paraId="0000001D">
      <w:pPr>
        <w:spacing w:line="240" w:lineRule="auto"/>
        <w:ind w:firstLine="567"/>
        <w:jc w:val="both"/>
        <w:rPr>
          <w:sz w:val="20"/>
          <w:szCs w:val="20"/>
        </w:rPr>
      </w:pPr>
      <w:r w:rsidDel="00000000" w:rsidR="00000000" w:rsidRPr="00000000">
        <w:rPr>
          <w:rtl w:val="0"/>
        </w:rPr>
      </w:r>
    </w:p>
    <w:p w:rsidR="00000000" w:rsidDel="00000000" w:rsidP="00000000" w:rsidRDefault="00000000" w:rsidRPr="00000000" w14:paraId="0000001E">
      <w:pPr>
        <w:spacing w:line="240" w:lineRule="auto"/>
        <w:ind w:firstLine="567"/>
        <w:jc w:val="both"/>
        <w:rPr>
          <w:sz w:val="20"/>
          <w:szCs w:val="20"/>
        </w:rPr>
      </w:pPr>
      <w:r w:rsidDel="00000000" w:rsidR="00000000" w:rsidRPr="00000000">
        <w:rPr>
          <w:rtl w:val="0"/>
        </w:rPr>
      </w:r>
    </w:p>
    <w:p w:rsidR="00000000" w:rsidDel="00000000" w:rsidP="00000000" w:rsidRDefault="00000000" w:rsidRPr="00000000" w14:paraId="0000001F">
      <w:pPr>
        <w:spacing w:line="240" w:lineRule="auto"/>
        <w:ind w:firstLine="567"/>
        <w:jc w:val="both"/>
        <w:rPr>
          <w:sz w:val="20"/>
          <w:szCs w:val="20"/>
        </w:rPr>
      </w:pPr>
      <w:r w:rsidDel="00000000" w:rsidR="00000000" w:rsidRPr="00000000">
        <w:rPr>
          <w:rtl w:val="0"/>
        </w:rPr>
      </w:r>
    </w:p>
    <w:p w:rsidR="00000000" w:rsidDel="00000000" w:rsidP="00000000" w:rsidRDefault="00000000" w:rsidRPr="00000000" w14:paraId="00000020">
      <w:pPr>
        <w:spacing w:line="240" w:lineRule="auto"/>
        <w:ind w:firstLine="567"/>
        <w:jc w:val="both"/>
        <w:rPr>
          <w:sz w:val="20"/>
          <w:szCs w:val="20"/>
        </w:rPr>
      </w:pPr>
      <w:r w:rsidDel="00000000" w:rsidR="00000000" w:rsidRPr="00000000">
        <w:rPr>
          <w:rtl w:val="0"/>
        </w:rPr>
      </w:r>
    </w:p>
    <w:p w:rsidR="00000000" w:rsidDel="00000000" w:rsidP="00000000" w:rsidRDefault="00000000" w:rsidRPr="00000000" w14:paraId="00000021">
      <w:pPr>
        <w:spacing w:line="240" w:lineRule="auto"/>
        <w:ind w:firstLine="567"/>
        <w:jc w:val="both"/>
        <w:rPr>
          <w:sz w:val="20"/>
          <w:szCs w:val="20"/>
        </w:rPr>
      </w:pPr>
      <w:r w:rsidDel="00000000" w:rsidR="00000000" w:rsidRPr="00000000">
        <w:rPr>
          <w:rtl w:val="0"/>
        </w:rPr>
      </w:r>
    </w:p>
    <w:p w:rsidR="00000000" w:rsidDel="00000000" w:rsidP="00000000" w:rsidRDefault="00000000" w:rsidRPr="00000000" w14:paraId="00000022">
      <w:pPr>
        <w:spacing w:line="240" w:lineRule="auto"/>
        <w:ind w:firstLine="567"/>
        <w:jc w:val="both"/>
        <w:rPr>
          <w:sz w:val="20"/>
          <w:szCs w:val="20"/>
        </w:rPr>
      </w:pPr>
      <w:r w:rsidDel="00000000" w:rsidR="00000000" w:rsidRPr="00000000">
        <w:rPr>
          <w:rtl w:val="0"/>
        </w:rPr>
      </w:r>
    </w:p>
    <w:p w:rsidR="00000000" w:rsidDel="00000000" w:rsidP="00000000" w:rsidRDefault="00000000" w:rsidRPr="00000000" w14:paraId="00000023">
      <w:pPr>
        <w:spacing w:line="240" w:lineRule="auto"/>
        <w:ind w:firstLine="567"/>
        <w:jc w:val="both"/>
        <w:rPr>
          <w:sz w:val="20"/>
          <w:szCs w:val="20"/>
        </w:rPr>
      </w:pPr>
      <w:r w:rsidDel="00000000" w:rsidR="00000000" w:rsidRPr="00000000">
        <w:rPr>
          <w:rtl w:val="0"/>
        </w:rPr>
      </w:r>
    </w:p>
    <w:p w:rsidR="00000000" w:rsidDel="00000000" w:rsidP="00000000" w:rsidRDefault="00000000" w:rsidRPr="00000000" w14:paraId="00000024">
      <w:pPr>
        <w:spacing w:line="240" w:lineRule="auto"/>
        <w:ind w:firstLine="567"/>
        <w:jc w:val="both"/>
        <w:rPr>
          <w:sz w:val="20"/>
          <w:szCs w:val="20"/>
        </w:rPr>
      </w:pPr>
      <w:r w:rsidDel="00000000" w:rsidR="00000000" w:rsidRPr="00000000">
        <w:rPr>
          <w:rtl w:val="0"/>
        </w:rPr>
      </w:r>
    </w:p>
    <w:p w:rsidR="00000000" w:rsidDel="00000000" w:rsidP="00000000" w:rsidRDefault="00000000" w:rsidRPr="00000000" w14:paraId="00000025">
      <w:pPr>
        <w:spacing w:line="240" w:lineRule="auto"/>
        <w:ind w:firstLine="567"/>
        <w:jc w:val="both"/>
        <w:rPr>
          <w:sz w:val="20"/>
          <w:szCs w:val="20"/>
        </w:rPr>
      </w:pPr>
      <w:r w:rsidDel="00000000" w:rsidR="00000000" w:rsidRPr="00000000">
        <w:rPr>
          <w:rtl w:val="0"/>
        </w:rPr>
      </w:r>
    </w:p>
    <w:p w:rsidR="00000000" w:rsidDel="00000000" w:rsidP="00000000" w:rsidRDefault="00000000" w:rsidRPr="00000000" w14:paraId="00000026">
      <w:pPr>
        <w:spacing w:line="240" w:lineRule="auto"/>
        <w:ind w:firstLine="567"/>
        <w:jc w:val="both"/>
        <w:rPr>
          <w:sz w:val="20"/>
          <w:szCs w:val="20"/>
        </w:rPr>
      </w:pPr>
      <w:r w:rsidDel="00000000" w:rsidR="00000000" w:rsidRPr="00000000">
        <w:rPr>
          <w:rtl w:val="0"/>
        </w:rPr>
      </w:r>
    </w:p>
    <w:p w:rsidR="00000000" w:rsidDel="00000000" w:rsidP="00000000" w:rsidRDefault="00000000" w:rsidRPr="00000000" w14:paraId="00000027">
      <w:pPr>
        <w:spacing w:line="240" w:lineRule="auto"/>
        <w:ind w:firstLine="567"/>
        <w:jc w:val="both"/>
        <w:rPr>
          <w:sz w:val="20"/>
          <w:szCs w:val="20"/>
        </w:rPr>
      </w:pPr>
      <w:r w:rsidDel="00000000" w:rsidR="00000000" w:rsidRPr="00000000">
        <w:rPr>
          <w:rtl w:val="0"/>
        </w:rPr>
      </w:r>
    </w:p>
    <w:p w:rsidR="00000000" w:rsidDel="00000000" w:rsidP="00000000" w:rsidRDefault="00000000" w:rsidRPr="00000000" w14:paraId="00000028">
      <w:pPr>
        <w:spacing w:line="240" w:lineRule="auto"/>
        <w:ind w:firstLine="567"/>
        <w:jc w:val="both"/>
        <w:rPr>
          <w:sz w:val="20"/>
          <w:szCs w:val="20"/>
        </w:rPr>
      </w:pPr>
      <w:r w:rsidDel="00000000" w:rsidR="00000000" w:rsidRPr="00000000">
        <w:rPr>
          <w:rtl w:val="0"/>
        </w:rPr>
      </w:r>
    </w:p>
    <w:p w:rsidR="00000000" w:rsidDel="00000000" w:rsidP="00000000" w:rsidRDefault="00000000" w:rsidRPr="00000000" w14:paraId="00000029">
      <w:pPr>
        <w:spacing w:line="240" w:lineRule="auto"/>
        <w:jc w:val="both"/>
        <w:rPr>
          <w:sz w:val="20"/>
          <w:szCs w:val="20"/>
        </w:rPr>
      </w:pPr>
      <w:r w:rsidDel="00000000" w:rsidR="00000000" w:rsidRPr="00000000">
        <w:rPr>
          <w:sz w:val="20"/>
          <w:szCs w:val="20"/>
          <w:rtl w:val="0"/>
        </w:rPr>
        <w:t xml:space="preserve">Figura 1. Média da densidade total em ind. 10cm</w:t>
      </w:r>
      <w:r w:rsidDel="00000000" w:rsidR="00000000" w:rsidRPr="00000000">
        <w:rPr>
          <w:sz w:val="20"/>
          <w:szCs w:val="20"/>
          <w:vertAlign w:val="superscript"/>
          <w:rtl w:val="0"/>
        </w:rPr>
        <w:t xml:space="preserve">2 </w:t>
      </w:r>
      <w:r w:rsidDel="00000000" w:rsidR="00000000" w:rsidRPr="00000000">
        <w:rPr>
          <w:sz w:val="20"/>
          <w:szCs w:val="20"/>
          <w:rtl w:val="0"/>
        </w:rPr>
        <w:t xml:space="preserve">(linha vermelha) e mediana (linha preta) da meiofauna ao longo do tempo. Controle ambiental (Camb), Controle após a estabilização (T0), coleta após 15 (T15) e 30 (T30) dias de exposição ao fenantreno. Concentrações em µg/mL.</w:t>
      </w:r>
    </w:p>
    <w:p w:rsidR="00000000" w:rsidDel="00000000" w:rsidP="00000000" w:rsidRDefault="00000000" w:rsidRPr="00000000" w14:paraId="0000002A">
      <w:pPr>
        <w:spacing w:line="240" w:lineRule="auto"/>
        <w:jc w:val="both"/>
        <w:rPr>
          <w:sz w:val="20"/>
          <w:szCs w:val="20"/>
        </w:rPr>
      </w:pPr>
      <w:r w:rsidDel="00000000" w:rsidR="00000000" w:rsidRPr="00000000">
        <w:rPr>
          <w:rtl w:val="0"/>
        </w:rPr>
      </w:r>
    </w:p>
    <w:p w:rsidR="00000000" w:rsidDel="00000000" w:rsidP="00000000" w:rsidRDefault="00000000" w:rsidRPr="00000000" w14:paraId="0000002B">
      <w:pPr>
        <w:spacing w:line="240" w:lineRule="auto"/>
        <w:ind w:firstLine="720"/>
        <w:jc w:val="both"/>
        <w:rPr>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1114425</wp:posOffset>
            </wp:positionH>
            <wp:positionV relativeFrom="paragraph">
              <wp:posOffset>12065</wp:posOffset>
            </wp:positionV>
            <wp:extent cx="3888740" cy="2836545"/>
            <wp:effectExtent b="0" l="0" r="0" t="0"/>
            <wp:wrapSquare wrapText="bothSides" distB="0" distT="0" distL="114300" distR="114300"/>
            <wp:docPr descr="Gráfico, Gráfico de barras&#10;&#10;Descrição gerada automaticamente" id="2" name="image2.png"/>
            <a:graphic>
              <a:graphicData uri="http://schemas.openxmlformats.org/drawingml/2006/picture">
                <pic:pic>
                  <pic:nvPicPr>
                    <pic:cNvPr descr="Gráfico, Gráfico de barras&#10;&#10;Descrição gerada automaticamente" id="0" name="image2.png"/>
                    <pic:cNvPicPr preferRelativeResize="0"/>
                  </pic:nvPicPr>
                  <pic:blipFill>
                    <a:blip r:embed="rId13"/>
                    <a:srcRect b="0" l="0" r="0" t="5997"/>
                    <a:stretch>
                      <a:fillRect/>
                    </a:stretch>
                  </pic:blipFill>
                  <pic:spPr>
                    <a:xfrm>
                      <a:off x="0" y="0"/>
                      <a:ext cx="3888740" cy="2836545"/>
                    </a:xfrm>
                    <a:prstGeom prst="rect"/>
                    <a:ln/>
                  </pic:spPr>
                </pic:pic>
              </a:graphicData>
            </a:graphic>
          </wp:anchor>
        </w:drawing>
      </w:r>
    </w:p>
    <w:p w:rsidR="00000000" w:rsidDel="00000000" w:rsidP="00000000" w:rsidRDefault="00000000" w:rsidRPr="00000000" w14:paraId="0000002C">
      <w:pPr>
        <w:spacing w:line="240" w:lineRule="auto"/>
        <w:ind w:firstLine="720"/>
        <w:jc w:val="both"/>
        <w:rPr>
          <w:sz w:val="20"/>
          <w:szCs w:val="20"/>
        </w:rPr>
      </w:pPr>
      <w:r w:rsidDel="00000000" w:rsidR="00000000" w:rsidRPr="00000000">
        <w:rPr>
          <w:rtl w:val="0"/>
        </w:rPr>
      </w:r>
    </w:p>
    <w:p w:rsidR="00000000" w:rsidDel="00000000" w:rsidP="00000000" w:rsidRDefault="00000000" w:rsidRPr="00000000" w14:paraId="0000002D">
      <w:pPr>
        <w:spacing w:line="240" w:lineRule="auto"/>
        <w:ind w:firstLine="720"/>
        <w:jc w:val="both"/>
        <w:rPr>
          <w:sz w:val="20"/>
          <w:szCs w:val="20"/>
        </w:rPr>
      </w:pPr>
      <w:r w:rsidDel="00000000" w:rsidR="00000000" w:rsidRPr="00000000">
        <w:rPr>
          <w:rtl w:val="0"/>
        </w:rPr>
      </w:r>
    </w:p>
    <w:p w:rsidR="00000000" w:rsidDel="00000000" w:rsidP="00000000" w:rsidRDefault="00000000" w:rsidRPr="00000000" w14:paraId="0000002E">
      <w:pPr>
        <w:spacing w:line="240" w:lineRule="auto"/>
        <w:ind w:firstLine="720"/>
        <w:jc w:val="both"/>
        <w:rPr>
          <w:sz w:val="20"/>
          <w:szCs w:val="20"/>
        </w:rPr>
      </w:pPr>
      <w:r w:rsidDel="00000000" w:rsidR="00000000" w:rsidRPr="00000000">
        <w:rPr>
          <w:rtl w:val="0"/>
        </w:rPr>
      </w:r>
    </w:p>
    <w:p w:rsidR="00000000" w:rsidDel="00000000" w:rsidP="00000000" w:rsidRDefault="00000000" w:rsidRPr="00000000" w14:paraId="0000002F">
      <w:pPr>
        <w:spacing w:line="240" w:lineRule="auto"/>
        <w:ind w:firstLine="720"/>
        <w:jc w:val="both"/>
        <w:rPr>
          <w:sz w:val="20"/>
          <w:szCs w:val="20"/>
        </w:rPr>
      </w:pPr>
      <w:r w:rsidDel="00000000" w:rsidR="00000000" w:rsidRPr="00000000">
        <w:rPr>
          <w:rtl w:val="0"/>
        </w:rPr>
      </w:r>
    </w:p>
    <w:p w:rsidR="00000000" w:rsidDel="00000000" w:rsidP="00000000" w:rsidRDefault="00000000" w:rsidRPr="00000000" w14:paraId="00000030">
      <w:pPr>
        <w:spacing w:line="240" w:lineRule="auto"/>
        <w:ind w:firstLine="720"/>
        <w:jc w:val="both"/>
        <w:rPr>
          <w:sz w:val="20"/>
          <w:szCs w:val="20"/>
        </w:rPr>
      </w:pPr>
      <w:r w:rsidDel="00000000" w:rsidR="00000000" w:rsidRPr="00000000">
        <w:rPr>
          <w:rtl w:val="0"/>
        </w:rPr>
      </w:r>
    </w:p>
    <w:p w:rsidR="00000000" w:rsidDel="00000000" w:rsidP="00000000" w:rsidRDefault="00000000" w:rsidRPr="00000000" w14:paraId="00000031">
      <w:pPr>
        <w:spacing w:line="240" w:lineRule="auto"/>
        <w:ind w:firstLine="720"/>
        <w:jc w:val="both"/>
        <w:rPr>
          <w:sz w:val="20"/>
          <w:szCs w:val="20"/>
        </w:rPr>
      </w:pPr>
      <w:r w:rsidDel="00000000" w:rsidR="00000000" w:rsidRPr="00000000">
        <w:rPr>
          <w:rtl w:val="0"/>
        </w:rPr>
      </w:r>
    </w:p>
    <w:p w:rsidR="00000000" w:rsidDel="00000000" w:rsidP="00000000" w:rsidRDefault="00000000" w:rsidRPr="00000000" w14:paraId="00000032">
      <w:pPr>
        <w:spacing w:line="240" w:lineRule="auto"/>
        <w:ind w:firstLine="720"/>
        <w:jc w:val="both"/>
        <w:rPr>
          <w:sz w:val="20"/>
          <w:szCs w:val="20"/>
        </w:rPr>
      </w:pPr>
      <w:r w:rsidDel="00000000" w:rsidR="00000000" w:rsidRPr="00000000">
        <w:rPr>
          <w:rtl w:val="0"/>
        </w:rPr>
      </w:r>
    </w:p>
    <w:p w:rsidR="00000000" w:rsidDel="00000000" w:rsidP="00000000" w:rsidRDefault="00000000" w:rsidRPr="00000000" w14:paraId="00000033">
      <w:pPr>
        <w:spacing w:line="240" w:lineRule="auto"/>
        <w:ind w:firstLine="720"/>
        <w:jc w:val="both"/>
        <w:rPr>
          <w:sz w:val="20"/>
          <w:szCs w:val="20"/>
        </w:rPr>
      </w:pPr>
      <w:r w:rsidDel="00000000" w:rsidR="00000000" w:rsidRPr="00000000">
        <w:rPr>
          <w:rtl w:val="0"/>
        </w:rPr>
      </w:r>
    </w:p>
    <w:p w:rsidR="00000000" w:rsidDel="00000000" w:rsidP="00000000" w:rsidRDefault="00000000" w:rsidRPr="00000000" w14:paraId="00000034">
      <w:pPr>
        <w:spacing w:line="240" w:lineRule="auto"/>
        <w:ind w:firstLine="720"/>
        <w:jc w:val="both"/>
        <w:rPr>
          <w:sz w:val="20"/>
          <w:szCs w:val="20"/>
        </w:rPr>
      </w:pPr>
      <w:r w:rsidDel="00000000" w:rsidR="00000000" w:rsidRPr="00000000">
        <w:rPr>
          <w:rtl w:val="0"/>
        </w:rPr>
      </w:r>
    </w:p>
    <w:p w:rsidR="00000000" w:rsidDel="00000000" w:rsidP="00000000" w:rsidRDefault="00000000" w:rsidRPr="00000000" w14:paraId="00000035">
      <w:pPr>
        <w:spacing w:line="240" w:lineRule="auto"/>
        <w:ind w:firstLine="720"/>
        <w:jc w:val="both"/>
        <w:rPr>
          <w:sz w:val="20"/>
          <w:szCs w:val="20"/>
        </w:rPr>
      </w:pPr>
      <w:r w:rsidDel="00000000" w:rsidR="00000000" w:rsidRPr="00000000">
        <w:rPr>
          <w:rtl w:val="0"/>
        </w:rPr>
      </w:r>
    </w:p>
    <w:p w:rsidR="00000000" w:rsidDel="00000000" w:rsidP="00000000" w:rsidRDefault="00000000" w:rsidRPr="00000000" w14:paraId="00000036">
      <w:pPr>
        <w:spacing w:line="240" w:lineRule="auto"/>
        <w:ind w:firstLine="720"/>
        <w:jc w:val="both"/>
        <w:rPr>
          <w:sz w:val="20"/>
          <w:szCs w:val="20"/>
        </w:rPr>
      </w:pPr>
      <w:r w:rsidDel="00000000" w:rsidR="00000000" w:rsidRPr="00000000">
        <w:rPr>
          <w:rtl w:val="0"/>
        </w:rPr>
      </w:r>
    </w:p>
    <w:p w:rsidR="00000000" w:rsidDel="00000000" w:rsidP="00000000" w:rsidRDefault="00000000" w:rsidRPr="00000000" w14:paraId="00000037">
      <w:pPr>
        <w:spacing w:line="240" w:lineRule="auto"/>
        <w:ind w:firstLine="720"/>
        <w:jc w:val="both"/>
        <w:rPr>
          <w:sz w:val="20"/>
          <w:szCs w:val="20"/>
        </w:rPr>
      </w:pPr>
      <w:r w:rsidDel="00000000" w:rsidR="00000000" w:rsidRPr="00000000">
        <w:rPr>
          <w:rtl w:val="0"/>
        </w:rPr>
      </w:r>
    </w:p>
    <w:p w:rsidR="00000000" w:rsidDel="00000000" w:rsidP="00000000" w:rsidRDefault="00000000" w:rsidRPr="00000000" w14:paraId="00000038">
      <w:pPr>
        <w:spacing w:line="240" w:lineRule="auto"/>
        <w:ind w:firstLine="720"/>
        <w:jc w:val="both"/>
        <w:rPr>
          <w:sz w:val="20"/>
          <w:szCs w:val="20"/>
        </w:rPr>
      </w:pPr>
      <w:r w:rsidDel="00000000" w:rsidR="00000000" w:rsidRPr="00000000">
        <w:rPr>
          <w:rtl w:val="0"/>
        </w:rPr>
      </w:r>
    </w:p>
    <w:p w:rsidR="00000000" w:rsidDel="00000000" w:rsidP="00000000" w:rsidRDefault="00000000" w:rsidRPr="00000000" w14:paraId="00000039">
      <w:pPr>
        <w:spacing w:line="240" w:lineRule="auto"/>
        <w:ind w:firstLine="720"/>
        <w:jc w:val="both"/>
        <w:rPr>
          <w:sz w:val="20"/>
          <w:szCs w:val="20"/>
        </w:rPr>
      </w:pPr>
      <w:r w:rsidDel="00000000" w:rsidR="00000000" w:rsidRPr="00000000">
        <w:rPr>
          <w:rtl w:val="0"/>
        </w:rPr>
      </w:r>
    </w:p>
    <w:p w:rsidR="00000000" w:rsidDel="00000000" w:rsidP="00000000" w:rsidRDefault="00000000" w:rsidRPr="00000000" w14:paraId="0000003A">
      <w:pPr>
        <w:spacing w:line="240" w:lineRule="auto"/>
        <w:ind w:firstLine="720"/>
        <w:jc w:val="both"/>
        <w:rPr>
          <w:sz w:val="20"/>
          <w:szCs w:val="20"/>
        </w:rPr>
      </w:pPr>
      <w:r w:rsidDel="00000000" w:rsidR="00000000" w:rsidRPr="00000000">
        <w:rPr>
          <w:rtl w:val="0"/>
        </w:rPr>
      </w:r>
    </w:p>
    <w:p w:rsidR="00000000" w:rsidDel="00000000" w:rsidP="00000000" w:rsidRDefault="00000000" w:rsidRPr="00000000" w14:paraId="0000003B">
      <w:pPr>
        <w:spacing w:line="240" w:lineRule="auto"/>
        <w:jc w:val="both"/>
        <w:rPr>
          <w:sz w:val="20"/>
          <w:szCs w:val="20"/>
        </w:rPr>
      </w:pPr>
      <w:r w:rsidDel="00000000" w:rsidR="00000000" w:rsidRPr="00000000">
        <w:rPr>
          <w:rtl w:val="0"/>
        </w:rPr>
      </w:r>
    </w:p>
    <w:p w:rsidR="00000000" w:rsidDel="00000000" w:rsidP="00000000" w:rsidRDefault="00000000" w:rsidRPr="00000000" w14:paraId="0000003C">
      <w:pPr>
        <w:spacing w:line="240" w:lineRule="auto"/>
        <w:jc w:val="both"/>
        <w:rPr>
          <w:sz w:val="20"/>
          <w:szCs w:val="20"/>
        </w:rPr>
      </w:pPr>
      <w:r w:rsidDel="00000000" w:rsidR="00000000" w:rsidRPr="00000000">
        <w:rPr>
          <w:rtl w:val="0"/>
        </w:rPr>
      </w:r>
    </w:p>
    <w:p w:rsidR="00000000" w:rsidDel="00000000" w:rsidP="00000000" w:rsidRDefault="00000000" w:rsidRPr="00000000" w14:paraId="0000003D">
      <w:pPr>
        <w:spacing w:line="240" w:lineRule="auto"/>
        <w:ind w:firstLine="720"/>
        <w:jc w:val="both"/>
        <w:rPr>
          <w:sz w:val="20"/>
          <w:szCs w:val="20"/>
        </w:rPr>
      </w:pPr>
      <w:r w:rsidDel="00000000" w:rsidR="00000000" w:rsidRPr="00000000">
        <w:rPr>
          <w:rtl w:val="0"/>
        </w:rPr>
      </w:r>
    </w:p>
    <w:p w:rsidR="00000000" w:rsidDel="00000000" w:rsidP="00000000" w:rsidRDefault="00000000" w:rsidRPr="00000000" w14:paraId="0000003E">
      <w:pPr>
        <w:rPr>
          <w:sz w:val="20"/>
          <w:szCs w:val="20"/>
        </w:rPr>
      </w:pPr>
      <w:r w:rsidDel="00000000" w:rsidR="00000000" w:rsidRPr="00000000">
        <w:rPr>
          <w:rtl w:val="0"/>
        </w:rPr>
      </w:r>
    </w:p>
    <w:p w:rsidR="00000000" w:rsidDel="00000000" w:rsidP="00000000" w:rsidRDefault="00000000" w:rsidRPr="00000000" w14:paraId="0000003F">
      <w:pPr>
        <w:rPr>
          <w:sz w:val="20"/>
          <w:szCs w:val="20"/>
        </w:rPr>
      </w:pPr>
      <w:r w:rsidDel="00000000" w:rsidR="00000000" w:rsidRPr="00000000">
        <w:rPr>
          <w:sz w:val="20"/>
          <w:szCs w:val="20"/>
          <w:rtl w:val="0"/>
        </w:rPr>
        <w:t xml:space="preserve">Figura 2. Abundância relativa (%) e riqueza das espécies do eixo de Y dos grupos da meiofauna por tratamento. Controle ambiental (Camb), tempo zero (T0). </w:t>
      </w:r>
    </w:p>
    <w:p w:rsidR="00000000" w:rsidDel="00000000" w:rsidP="00000000" w:rsidRDefault="00000000" w:rsidRPr="00000000" w14:paraId="00000040">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41">
      <w:pPr>
        <w:spacing w:line="240" w:lineRule="auto"/>
        <w:ind w:firstLine="720"/>
        <w:jc w:val="both"/>
        <w:rPr>
          <w:sz w:val="20"/>
          <w:szCs w:val="20"/>
        </w:rPr>
      </w:pPr>
      <w:r w:rsidDel="00000000" w:rsidR="00000000" w:rsidRPr="00000000">
        <w:rPr>
          <w:sz w:val="20"/>
          <w:szCs w:val="20"/>
          <w:rtl w:val="0"/>
        </w:rPr>
        <w:t xml:space="preserve">Para a riqueza, foram identificados nauplius de crustáceo e dez taxa: Nematoda, Oligochaeta, Ostracode, Gastrotrincha, Copepoda, Turbellaria, Polychaeta, Acari, Tardigrade e Rotifera. Houve diferença significativa na riqueza da meiofauna em relação aos tratamentos (Pseudo F=4,3993; p=0,0037)</w:t>
      </w:r>
      <w:r w:rsidDel="00000000" w:rsidR="00000000" w:rsidRPr="00000000">
        <w:rPr>
          <w:color w:val="000000"/>
          <w:sz w:val="20"/>
          <w:szCs w:val="20"/>
          <w:rtl w:val="0"/>
        </w:rPr>
        <w:t xml:space="preserve">, e ao longo do tempo, perca de taxa sensíveis como Gastrotrincha e Tardigrade (Fig.2) nas duas maiores concentrações (1 e 10</w:t>
      </w:r>
      <w:r w:rsidDel="00000000" w:rsidR="00000000" w:rsidRPr="00000000">
        <w:rPr>
          <w:sz w:val="20"/>
          <w:szCs w:val="20"/>
          <w:rtl w:val="0"/>
        </w:rPr>
        <w:t xml:space="preserve">µg/mL). No entanto, apenas </w:t>
      </w:r>
      <w:r w:rsidDel="00000000" w:rsidR="00000000" w:rsidRPr="00000000">
        <w:rPr>
          <w:color w:val="000000"/>
          <w:sz w:val="20"/>
          <w:szCs w:val="20"/>
          <w:rtl w:val="0"/>
        </w:rPr>
        <w:t xml:space="preserve">10</w:t>
      </w:r>
      <w:r w:rsidDel="00000000" w:rsidR="00000000" w:rsidRPr="00000000">
        <w:rPr>
          <w:sz w:val="20"/>
          <w:szCs w:val="20"/>
          <w:rtl w:val="0"/>
        </w:rPr>
        <w:t xml:space="preserve">µg/mL foi estatisticamente significativa do controle (p=0,0009). Em comunidades da meiofauna impactadas por HPA’s, o desaparecimento de taxa sensíveis é comum, uma vez que taxa oportunistas e resilientes tendem a se sobressair (Baguley et al., 2015), além disso, estes taxa naturalmente já possuem densidades baixas o que facilita seu desaparecimento pela dificuldade de competir por recurso (Louati et al., 2014).  </w:t>
      </w:r>
    </w:p>
    <w:p w:rsidR="00000000" w:rsidDel="00000000" w:rsidP="00000000" w:rsidRDefault="00000000" w:rsidRPr="00000000" w14:paraId="00000042">
      <w:pPr>
        <w:spacing w:line="240" w:lineRule="auto"/>
        <w:ind w:firstLine="720"/>
        <w:jc w:val="both"/>
        <w:rPr>
          <w:sz w:val="20"/>
          <w:szCs w:val="20"/>
        </w:rPr>
      </w:pPr>
      <w:r w:rsidDel="00000000" w:rsidR="00000000" w:rsidRPr="00000000">
        <w:rPr>
          <w:sz w:val="20"/>
          <w:szCs w:val="20"/>
          <w:rtl w:val="0"/>
        </w:rPr>
        <w:t xml:space="preserve">Em relação a equitabilidade (Fig.2) as concentrações baixas não diferiram entre si, porém ambas diferiram da maior concentração (p&lt;0,046). Ao longo do tempo nenhuma concentração diferiu dos controles (p&lt;0,52). Apesar da não diferença estatisticamente significativa do controle é importante observar que como já dito as densidades de Copépoda e Naupli são as maiores em todos os tratamentos testados, porém, com o aumento das concentrações de fenantreno, as densidades desses diminuem. Mesmo copépodas possuindo tolerância a concentrações altas (Lee et al., 2017) , na concentração de 10 µg/mL há uma diminuição tanto no T15 quanto no T30. Mas esta concentração inclusive já se encontra em ambientes fortemente impactados (Dudhagara et al., 2016), o que talvez explique o fato de não ser danosa comparativamente ao controle. No entanto, muito provavelmente em concentrações mais altas, que se tornam disponíveis em derramamento de óleo, os copépodas serão severamente afetados, como já evidenciado em estudos de derramamento (Baguley et al., 2015).  </w:t>
      </w:r>
    </w:p>
    <w:p w:rsidR="00000000" w:rsidDel="00000000" w:rsidP="00000000" w:rsidRDefault="00000000" w:rsidRPr="00000000" w14:paraId="00000043">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44">
      <w:pPr>
        <w:spacing w:line="240" w:lineRule="auto"/>
        <w:jc w:val="both"/>
        <w:rPr>
          <w:b w:val="1"/>
          <w:sz w:val="20"/>
          <w:szCs w:val="20"/>
        </w:rPr>
      </w:pPr>
      <w:r w:rsidDel="00000000" w:rsidR="00000000" w:rsidRPr="00000000">
        <w:rPr>
          <w:b w:val="1"/>
          <w:sz w:val="20"/>
          <w:szCs w:val="20"/>
          <w:rtl w:val="0"/>
        </w:rPr>
        <w:t xml:space="preserve">CONCLUSÕES</w:t>
      </w:r>
    </w:p>
    <w:p w:rsidR="00000000" w:rsidDel="00000000" w:rsidP="00000000" w:rsidRDefault="00000000" w:rsidRPr="00000000" w14:paraId="00000045">
      <w:pPr>
        <w:spacing w:line="240" w:lineRule="auto"/>
        <w:ind w:firstLine="567"/>
        <w:jc w:val="both"/>
        <w:rPr>
          <w:sz w:val="20"/>
          <w:szCs w:val="20"/>
        </w:rPr>
      </w:pPr>
      <w:r w:rsidDel="00000000" w:rsidR="00000000" w:rsidRPr="00000000">
        <w:rPr>
          <w:sz w:val="20"/>
          <w:szCs w:val="20"/>
          <w:rtl w:val="0"/>
        </w:rPr>
        <w:t xml:space="preserve">Neste estudo podemos concluir que com o aumento da concentração de fenantreno há uma diminuição da meiofauna. Porém, ao longo do tempo, as densidades da fauna aumentam, mas o aumento é representado por taxa resiliente. </w:t>
      </w:r>
    </w:p>
    <w:p w:rsidR="00000000" w:rsidDel="00000000" w:rsidP="00000000" w:rsidRDefault="00000000" w:rsidRPr="00000000" w14:paraId="00000046">
      <w:pPr>
        <w:spacing w:line="240" w:lineRule="auto"/>
        <w:ind w:firstLine="567"/>
        <w:jc w:val="both"/>
        <w:rPr>
          <w:sz w:val="20"/>
          <w:szCs w:val="20"/>
        </w:rPr>
      </w:pPr>
      <w:r w:rsidDel="00000000" w:rsidR="00000000" w:rsidRPr="00000000">
        <w:rPr>
          <w:sz w:val="20"/>
          <w:szCs w:val="20"/>
          <w:rtl w:val="0"/>
        </w:rPr>
        <w:t xml:space="preserve">Apenas a concentração mais alta (10µg/ml) causou impacto na estrutura da comunidade, com perca de taxa sensíveis como Tardigrade e Gastrotrincha. </w:t>
      </w:r>
    </w:p>
    <w:p w:rsidR="00000000" w:rsidDel="00000000" w:rsidP="00000000" w:rsidRDefault="00000000" w:rsidRPr="00000000" w14:paraId="00000047">
      <w:pPr>
        <w:spacing w:line="240" w:lineRule="auto"/>
        <w:ind w:firstLine="567"/>
        <w:jc w:val="both"/>
        <w:rPr>
          <w:sz w:val="20"/>
          <w:szCs w:val="20"/>
        </w:rPr>
      </w:pPr>
      <w:r w:rsidDel="00000000" w:rsidR="00000000" w:rsidRPr="00000000">
        <w:rPr>
          <w:sz w:val="20"/>
          <w:szCs w:val="20"/>
          <w:rtl w:val="0"/>
        </w:rPr>
        <w:t xml:space="preserve">Por fim, na presente pesquisa é notório observar que Copépoda, que é considerado sensível a diversos contaminantes, apresentam uma certa tolerância ao impacto pelo HPA fenantreno, mas que esta tolerância pode ser limitante e dependente da concentração.  </w:t>
      </w:r>
    </w:p>
    <w:p w:rsidR="00000000" w:rsidDel="00000000" w:rsidP="00000000" w:rsidRDefault="00000000" w:rsidRPr="00000000" w14:paraId="00000048">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49">
      <w:pPr>
        <w:spacing w:line="240" w:lineRule="auto"/>
        <w:jc w:val="both"/>
        <w:rPr>
          <w:b w:val="1"/>
          <w:sz w:val="20"/>
          <w:szCs w:val="20"/>
        </w:rPr>
      </w:pPr>
      <w:r w:rsidDel="00000000" w:rsidR="00000000" w:rsidRPr="00000000">
        <w:rPr>
          <w:b w:val="1"/>
          <w:sz w:val="20"/>
          <w:szCs w:val="20"/>
          <w:rtl w:val="0"/>
        </w:rPr>
        <w:t xml:space="preserve">REFERÊNCIAS </w:t>
      </w:r>
    </w:p>
    <w:p w:rsidR="00000000" w:rsidDel="00000000" w:rsidP="00000000" w:rsidRDefault="00000000" w:rsidRPr="00000000" w14:paraId="0000004A">
      <w:pPr>
        <w:widowControl w:val="0"/>
        <w:spacing w:line="240" w:lineRule="auto"/>
        <w:ind w:left="480" w:hanging="480"/>
        <w:jc w:val="both"/>
        <w:rPr>
          <w:color w:val="000000"/>
          <w:sz w:val="20"/>
          <w:szCs w:val="20"/>
        </w:rPr>
      </w:pPr>
      <w:r w:rsidDel="00000000" w:rsidR="00000000" w:rsidRPr="00000000">
        <w:rPr>
          <w:color w:val="000000"/>
          <w:sz w:val="20"/>
          <w:szCs w:val="20"/>
          <w:rtl w:val="0"/>
        </w:rPr>
        <w:t xml:space="preserve">Baguley, J.G., Montagna, P.A., Cooksey, C., Hyland, J.L., Bang, H.W., Morrison, C., Kamikawa, A., Bennetts, P., Saiyo, G., Parsons, E., 2015. Community response of deep-sea soft-sediment metazoan meiofauna to the Deepwater Horizon blowout and oil spill. Mar. Ecol. Prog. Ser. 528, 127–140.</w:t>
      </w:r>
    </w:p>
    <w:p w:rsidR="00000000" w:rsidDel="00000000" w:rsidP="00000000" w:rsidRDefault="00000000" w:rsidRPr="00000000" w14:paraId="0000004B">
      <w:pPr>
        <w:widowControl w:val="0"/>
        <w:spacing w:line="240" w:lineRule="auto"/>
        <w:ind w:left="480" w:hanging="480"/>
        <w:jc w:val="both"/>
        <w:rPr>
          <w:color w:val="000000"/>
          <w:sz w:val="20"/>
          <w:szCs w:val="20"/>
        </w:rPr>
      </w:pPr>
      <w:r w:rsidDel="00000000" w:rsidR="00000000" w:rsidRPr="00000000">
        <w:rPr>
          <w:color w:val="000000"/>
          <w:sz w:val="20"/>
          <w:szCs w:val="20"/>
          <w:rtl w:val="0"/>
        </w:rPr>
        <w:t xml:space="preserve">Cerniglia, C.E., 1993. Biodegradation of polycyclic aromatic hydrocarbons. Curr. Opin. Biotechnol. 4, 331–338.</w:t>
      </w:r>
    </w:p>
    <w:p w:rsidR="00000000" w:rsidDel="00000000" w:rsidP="00000000" w:rsidRDefault="00000000" w:rsidRPr="00000000" w14:paraId="0000004C">
      <w:pPr>
        <w:widowControl w:val="0"/>
        <w:spacing w:line="240" w:lineRule="auto"/>
        <w:ind w:left="480" w:hanging="480"/>
        <w:jc w:val="both"/>
        <w:rPr>
          <w:color w:val="000000"/>
          <w:sz w:val="20"/>
          <w:szCs w:val="20"/>
        </w:rPr>
      </w:pPr>
      <w:r w:rsidDel="00000000" w:rsidR="00000000" w:rsidRPr="00000000">
        <w:rPr>
          <w:color w:val="000000"/>
          <w:sz w:val="20"/>
          <w:szCs w:val="20"/>
          <w:rtl w:val="0"/>
        </w:rPr>
        <w:t xml:space="preserve">Dudhagara, D.R., Rajpara, R.K., Bhatt, J.K., Gosai, H.B., Sachaniya, B.K., Dave, B.P., 2016. Distribution, sources and ecological risk assessment of PAHs in historically contaminated surface sediments at Bhavnagar coast, Gujarat, India. Environ. Pollut. 213, 338–346.</w:t>
      </w:r>
    </w:p>
    <w:p w:rsidR="00000000" w:rsidDel="00000000" w:rsidP="00000000" w:rsidRDefault="00000000" w:rsidRPr="00000000" w14:paraId="0000004D">
      <w:pPr>
        <w:spacing w:line="240" w:lineRule="auto"/>
        <w:ind w:left="480" w:hanging="480"/>
        <w:jc w:val="both"/>
        <w:rPr>
          <w:color w:val="000000"/>
          <w:sz w:val="20"/>
          <w:szCs w:val="20"/>
        </w:rPr>
      </w:pPr>
      <w:r w:rsidDel="00000000" w:rsidR="00000000" w:rsidRPr="00000000">
        <w:rPr>
          <w:color w:val="000000"/>
          <w:sz w:val="20"/>
          <w:szCs w:val="20"/>
          <w:rtl w:val="0"/>
        </w:rPr>
        <w:t xml:space="preserve">EPA Appendix A to 40 CFR, Part 423-126 Priority. Disponível em: Pollutants https://www.epa.gov/eg/toxic-and-priority-pollutants-under-clean-water-act. A</w:t>
      </w:r>
    </w:p>
    <w:p w:rsidR="00000000" w:rsidDel="00000000" w:rsidP="00000000" w:rsidRDefault="00000000" w:rsidRPr="00000000" w14:paraId="0000004E">
      <w:pPr>
        <w:widowControl w:val="0"/>
        <w:spacing w:line="240" w:lineRule="auto"/>
        <w:ind w:left="480" w:hanging="480"/>
        <w:jc w:val="both"/>
        <w:rPr>
          <w:color w:val="000000"/>
          <w:sz w:val="20"/>
          <w:szCs w:val="20"/>
        </w:rPr>
      </w:pPr>
      <w:r w:rsidDel="00000000" w:rsidR="00000000" w:rsidRPr="00000000">
        <w:rPr>
          <w:color w:val="000000"/>
          <w:sz w:val="20"/>
          <w:szCs w:val="20"/>
          <w:rtl w:val="0"/>
        </w:rPr>
        <w:t xml:space="preserve">Lee, C.E., Remfert, J.L., Opgenorth, T., Lee, K.M., Stanford, E., Connolly, J.W., Kim, J., Tomke, S., 2017. Evolutionary responses to crude oil from the Deepwater Horizon oil spill by the copepod Eurytemora affinis. Evol. Appl. 10, 813–828.</w:t>
      </w:r>
    </w:p>
    <w:p w:rsidR="00000000" w:rsidDel="00000000" w:rsidP="00000000" w:rsidRDefault="00000000" w:rsidRPr="00000000" w14:paraId="0000004F">
      <w:pPr>
        <w:widowControl w:val="0"/>
        <w:spacing w:line="240" w:lineRule="auto"/>
        <w:ind w:left="480" w:hanging="480"/>
        <w:jc w:val="both"/>
        <w:rPr>
          <w:color w:val="000000"/>
          <w:sz w:val="20"/>
          <w:szCs w:val="20"/>
        </w:rPr>
      </w:pPr>
      <w:r w:rsidDel="00000000" w:rsidR="00000000" w:rsidRPr="00000000">
        <w:rPr>
          <w:color w:val="000000"/>
          <w:sz w:val="20"/>
          <w:szCs w:val="20"/>
          <w:rtl w:val="0"/>
        </w:rPr>
        <w:t xml:space="preserve">Louati, H., Said, O. Ben, Soltani, A., Got, P., Cravo-Laureau, C., Duran, R., Aissa, P., Pringault, O., Mahmoudi, E., 2014. Biostimulation as an attractive technique to reduce phenanthrene toxicity for meiofauna and bacteria in lagoon sediment. Environ. Sci. Pollut. Res. 21, 3670–3679.</w:t>
      </w:r>
    </w:p>
    <w:p w:rsidR="00000000" w:rsidDel="00000000" w:rsidP="00000000" w:rsidRDefault="00000000" w:rsidRPr="00000000" w14:paraId="00000050">
      <w:pPr>
        <w:widowControl w:val="0"/>
        <w:spacing w:line="240" w:lineRule="auto"/>
        <w:ind w:left="480" w:hanging="480"/>
        <w:jc w:val="both"/>
        <w:rPr>
          <w:color w:val="000000"/>
          <w:sz w:val="20"/>
          <w:szCs w:val="20"/>
        </w:rPr>
      </w:pPr>
      <w:r w:rsidDel="00000000" w:rsidR="00000000" w:rsidRPr="00000000">
        <w:rPr>
          <w:color w:val="000000"/>
          <w:sz w:val="20"/>
          <w:szCs w:val="20"/>
          <w:rtl w:val="0"/>
        </w:rPr>
        <w:t xml:space="preserve">Santos, A.C.C., Choueri, R.B., Pauly, G. de F.E., Abessa, D., Gallucci, F., 2018. Is the microcosm approach using meiofauna community descriptors a suitable tool for ecotoxicological studies? Ecotoxicol. Environ. Saf. 147, 945–953.</w:t>
      </w:r>
    </w:p>
    <w:p w:rsidR="00000000" w:rsidDel="00000000" w:rsidP="00000000" w:rsidRDefault="00000000" w:rsidRPr="00000000" w14:paraId="00000051">
      <w:pPr>
        <w:widowControl w:val="0"/>
        <w:spacing w:line="240" w:lineRule="auto"/>
        <w:ind w:left="480" w:hanging="480"/>
        <w:jc w:val="both"/>
        <w:rPr>
          <w:color w:val="000000"/>
          <w:sz w:val="20"/>
          <w:szCs w:val="20"/>
        </w:rPr>
      </w:pPr>
      <w:r w:rsidDel="00000000" w:rsidR="00000000" w:rsidRPr="00000000">
        <w:rPr>
          <w:color w:val="000000"/>
          <w:sz w:val="20"/>
          <w:szCs w:val="20"/>
          <w:rtl w:val="0"/>
        </w:rPr>
        <w:t xml:space="preserve">Schratzberger, M., Ingels, J., 2018. Meiofauna matters: the roles of meiofauna in benthic ecosystems. J. Exp. Mar. Bio. Ecol. 502, 12–25.</w:t>
      </w:r>
    </w:p>
    <w:p w:rsidR="00000000" w:rsidDel="00000000" w:rsidP="00000000" w:rsidRDefault="00000000" w:rsidRPr="00000000" w14:paraId="00000052">
      <w:pPr>
        <w:widowControl w:val="0"/>
        <w:spacing w:line="240" w:lineRule="auto"/>
        <w:ind w:left="480" w:hanging="480"/>
        <w:jc w:val="both"/>
        <w:rPr>
          <w:sz w:val="20"/>
          <w:szCs w:val="20"/>
        </w:rPr>
      </w:pPr>
      <w:r w:rsidDel="00000000" w:rsidR="00000000" w:rsidRPr="00000000">
        <w:rPr>
          <w:color w:val="000000"/>
          <w:sz w:val="20"/>
          <w:szCs w:val="20"/>
          <w:rtl w:val="0"/>
        </w:rPr>
        <w:t xml:space="preserve">Soclo, H.H., Garrigues, P.H., Ewald, M., 2000. Origin of polycyclic aromatic hydrocarbons (PAHs) in coastal marine sediments: case studies in Cotonou (Benin) and Aquitaine (France) areas. Mar. Pollut. Bull. 40, 387–396.</w:t>
      </w:r>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Pr>
      <w:drawing>
        <wp:inline distB="0" distT="0" distL="114300" distR="114300">
          <wp:extent cx="1776095" cy="798195"/>
          <wp:effectExtent b="0" l="0" r="0" t="0"/>
          <wp:docPr descr="Logo_CORR 1" id="3" name="image3.png"/>
          <a:graphic>
            <a:graphicData uri="http://schemas.openxmlformats.org/drawingml/2006/picture">
              <pic:pic>
                <pic:nvPicPr>
                  <pic:cNvPr descr="Logo_CORR 1" id="0" name="image3.png"/>
                  <pic:cNvPicPr preferRelativeResize="0"/>
                </pic:nvPicPr>
                <pic:blipFill>
                  <a:blip r:embed="rId1"/>
                  <a:srcRect b="0" l="0" r="0" t="0"/>
                  <a:stretch>
                    <a:fillRect/>
                  </a:stretch>
                </pic:blipFill>
                <pic:spPr>
                  <a:xfrm>
                    <a:off x="0" y="0"/>
                    <a:ext cx="1776095" cy="798195"/>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giovanni.santos@ufpe.br" TargetMode="External"/><Relationship Id="rId10" Type="http://schemas.openxmlformats.org/officeDocument/2006/relationships/hyperlink" Target="mailto:debora.alissandra@ufpe.br" TargetMode="External"/><Relationship Id="rId13" Type="http://schemas.openxmlformats.org/officeDocument/2006/relationships/image" Target="media/image2.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eticia.pereira@ufpe.br"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emanuele.rodigues@ufpe.br" TargetMode="External"/><Relationship Id="rId7" Type="http://schemas.openxmlformats.org/officeDocument/2006/relationships/hyperlink" Target="mailto:natally.souza@ufpe.br" TargetMode="External"/><Relationship Id="rId8" Type="http://schemas.openxmlformats.org/officeDocument/2006/relationships/hyperlink" Target="mailto:renan.belem@ufpe.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