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6272A1" w14:textId="60E2C185" w:rsidR="001C5BCC" w:rsidRPr="00020169" w:rsidRDefault="001C5BCC" w:rsidP="00020169">
      <w:pPr>
        <w:jc w:val="both"/>
        <w:rPr>
          <w:b/>
          <w:sz w:val="24"/>
          <w:szCs w:val="24"/>
        </w:rPr>
      </w:pPr>
    </w:p>
    <w:p w14:paraId="69C6CB2D" w14:textId="617355A3" w:rsidR="00AA4C86" w:rsidRDefault="00AA4C86" w:rsidP="00AA4C86">
      <w:pPr>
        <w:jc w:val="center"/>
        <w:rPr>
          <w:lang w:val="en-US"/>
        </w:rPr>
      </w:pPr>
      <w:bookmarkStart w:id="0" w:name="_Hlk233721278"/>
      <w:r>
        <w:rPr>
          <w:b/>
          <w:sz w:val="28"/>
        </w:rPr>
        <w:t>MODELAGEM ESPECTRAL DA ABSORÇÃO DE CO₂ PELA VEGETAÇÃO NO CERRADO UTILIZANDO ÍNDICES ESPECTRAIS NO ANO DE 2025</w:t>
      </w:r>
      <w:bookmarkEnd w:id="0"/>
    </w:p>
    <w:p w14:paraId="657BC457" w14:textId="0A6D6055" w:rsidR="00E3782C" w:rsidRPr="00AD22F1" w:rsidRDefault="00E3782C" w:rsidP="00E3782C">
      <w:pPr>
        <w:pStyle w:val="Ttulo"/>
      </w:pPr>
    </w:p>
    <w:p w14:paraId="58281A71" w14:textId="1BB77B66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1" w:name="1Primeiro_Autor_com_nome_completo,_2Segu"/>
      <w:bookmarkEnd w:id="1"/>
      <w:r w:rsidRPr="005F70B0">
        <w:rPr>
          <w:sz w:val="24"/>
          <w:szCs w:val="24"/>
          <w:vertAlign w:val="superscript"/>
        </w:rPr>
        <w:t>1</w:t>
      </w:r>
      <w:r w:rsidR="00583E73">
        <w:rPr>
          <w:sz w:val="24"/>
          <w:szCs w:val="24"/>
        </w:rPr>
        <w:t>Fabrício Júnior Martins Assunção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583E73">
        <w:rPr>
          <w:sz w:val="24"/>
          <w:szCs w:val="24"/>
        </w:rPr>
        <w:t>João Alberto Fischer Filho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3</w:t>
      </w:r>
      <w:r w:rsidR="00583E73">
        <w:rPr>
          <w:sz w:val="24"/>
          <w:szCs w:val="24"/>
        </w:rPr>
        <w:t>Daniela Fernanda da Silva Fuzzo</w:t>
      </w:r>
    </w:p>
    <w:p w14:paraId="158B3CEA" w14:textId="0451FBCA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583E73">
        <w:rPr>
          <w:i/>
          <w:sz w:val="24"/>
          <w:szCs w:val="24"/>
        </w:rPr>
        <w:t>Universidade do Estado de Minas Gerais – UEMG/Frutal</w:t>
      </w:r>
      <w:r w:rsidRPr="005F70B0">
        <w:rPr>
          <w:i/>
          <w:sz w:val="24"/>
          <w:szCs w:val="24"/>
        </w:rPr>
        <w:t>, e-mail:</w:t>
      </w:r>
      <w:r w:rsidRPr="005F70B0">
        <w:rPr>
          <w:i/>
          <w:spacing w:val="-4"/>
          <w:sz w:val="24"/>
          <w:szCs w:val="24"/>
        </w:rPr>
        <w:t xml:space="preserve"> </w:t>
      </w:r>
      <w:r w:rsidR="00583E73">
        <w:rPr>
          <w:i/>
          <w:sz w:val="24"/>
          <w:szCs w:val="24"/>
        </w:rPr>
        <w:t>fab</w:t>
      </w:r>
      <w:r w:rsidR="00020169">
        <w:rPr>
          <w:i/>
          <w:sz w:val="24"/>
          <w:szCs w:val="24"/>
        </w:rPr>
        <w:t>ricio.261100056@discente.uemg.br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583E73">
        <w:rPr>
          <w:i/>
          <w:sz w:val="24"/>
          <w:szCs w:val="24"/>
        </w:rPr>
        <w:t>UEMG/Frutal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020169">
        <w:rPr>
          <w:i/>
          <w:sz w:val="24"/>
          <w:szCs w:val="24"/>
        </w:rPr>
        <w:t>joao.fischer@uemg.br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3</w:t>
      </w:r>
      <w:r w:rsidR="00583E73">
        <w:rPr>
          <w:i/>
          <w:sz w:val="24"/>
          <w:szCs w:val="24"/>
        </w:rPr>
        <w:t>UEMG/Frutal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Pr="005F70B0">
        <w:rPr>
          <w:i/>
          <w:spacing w:val="-3"/>
          <w:sz w:val="24"/>
          <w:szCs w:val="24"/>
        </w:rPr>
        <w:t xml:space="preserve"> </w:t>
      </w:r>
      <w:r w:rsidR="00020169">
        <w:rPr>
          <w:i/>
          <w:spacing w:val="-2"/>
          <w:sz w:val="24"/>
          <w:szCs w:val="24"/>
        </w:rPr>
        <w:t>daniela.fuzzo@uemg.br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700DDE25" w:rsidR="00E3782C" w:rsidRDefault="00583E73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Ambiente e Clima</w:t>
      </w:r>
    </w:p>
    <w:p w14:paraId="125F6DD1" w14:textId="4D11A1D5" w:rsidR="009C4B75" w:rsidRPr="005F70B0" w:rsidRDefault="00583E73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Inteligência Artificial Aplicada à modelagem climática e cidades resilientes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570CC040" w14:textId="231E5B7C" w:rsidR="00AA4C86" w:rsidRDefault="00AA4C86" w:rsidP="00AA4C86">
      <w:pPr>
        <w:pStyle w:val="isselectedend"/>
        <w:jc w:val="both"/>
      </w:pPr>
      <w:r>
        <w:t xml:space="preserve">As mudanças climáticas globais têm intensificado a necessidade de compreender os processos que regulam o ciclo do carbono, especialmente em ecossistemas tropicais sujeitos a alterações no uso e cobertura da terra. Neste contexto, </w:t>
      </w:r>
      <w:r w:rsidR="0051483C" w:rsidRPr="00020169">
        <w:t xml:space="preserve">O objetivo desta pesquisa </w:t>
      </w:r>
      <w:r w:rsidR="0051483C">
        <w:t>foi</w:t>
      </w:r>
      <w:r w:rsidR="0051483C" w:rsidRPr="00020169">
        <w:t xml:space="preserve"> analisar a relação entre a dinâmica do fluxo de CO</w:t>
      </w:r>
      <w:r w:rsidR="0051483C" w:rsidRPr="00AC6D4D">
        <w:rPr>
          <w:vertAlign w:val="subscript"/>
        </w:rPr>
        <w:t>2</w:t>
      </w:r>
      <w:r w:rsidR="0051483C" w:rsidRPr="008E0DBD">
        <w:t xml:space="preserve"> </w:t>
      </w:r>
      <w:r w:rsidR="0051483C">
        <w:t>e os índices meteorológicos</w:t>
      </w:r>
      <w:r w:rsidR="0051483C" w:rsidRPr="00020169">
        <w:t xml:space="preserve"> no município de Frutal (MG) </w:t>
      </w:r>
      <w:r w:rsidR="0051483C">
        <w:t xml:space="preserve">no ano de </w:t>
      </w:r>
      <w:r w:rsidR="0051483C" w:rsidRPr="00020169">
        <w:t>2025</w:t>
      </w:r>
      <w:r w:rsidR="00647D17">
        <w:t xml:space="preserve">. Para a análise foram aplicados os seguintes índices, </w:t>
      </w:r>
      <w:proofErr w:type="spellStart"/>
      <w:r>
        <w:t>CO₂flux</w:t>
      </w:r>
      <w:proofErr w:type="spellEnd"/>
      <w:r w:rsidR="00647D17">
        <w:t xml:space="preserve"> (Índice de Fluxo de Carbono)</w:t>
      </w:r>
      <w:r>
        <w:t>, NDVI (</w:t>
      </w:r>
      <w:proofErr w:type="spellStart"/>
      <w:r w:rsidRPr="00AA4C86">
        <w:rPr>
          <w:i/>
          <w:iCs/>
        </w:rPr>
        <w:t>Normalized</w:t>
      </w:r>
      <w:proofErr w:type="spellEnd"/>
      <w:r w:rsidRPr="00AA4C86">
        <w:rPr>
          <w:i/>
          <w:iCs/>
        </w:rPr>
        <w:t xml:space="preserve"> </w:t>
      </w:r>
      <w:proofErr w:type="spellStart"/>
      <w:r w:rsidRPr="00AA4C86">
        <w:rPr>
          <w:i/>
          <w:iCs/>
        </w:rPr>
        <w:t>Difference</w:t>
      </w:r>
      <w:proofErr w:type="spellEnd"/>
      <w:r w:rsidRPr="00AA4C86">
        <w:rPr>
          <w:i/>
          <w:iCs/>
        </w:rPr>
        <w:t xml:space="preserve"> </w:t>
      </w:r>
      <w:proofErr w:type="spellStart"/>
      <w:r w:rsidRPr="00AA4C86">
        <w:rPr>
          <w:i/>
          <w:iCs/>
        </w:rPr>
        <w:t>Vegetation</w:t>
      </w:r>
      <w:proofErr w:type="spellEnd"/>
      <w:r w:rsidRPr="00AA4C86">
        <w:rPr>
          <w:i/>
          <w:iCs/>
        </w:rPr>
        <w:t xml:space="preserve"> Index</w:t>
      </w:r>
      <w:r>
        <w:t xml:space="preserve">) e </w:t>
      </w:r>
      <w:proofErr w:type="spellStart"/>
      <w:r>
        <w:t>sPRI</w:t>
      </w:r>
      <w:proofErr w:type="spellEnd"/>
      <w:r>
        <w:t xml:space="preserve"> (</w:t>
      </w:r>
      <w:proofErr w:type="spellStart"/>
      <w:r w:rsidRPr="00AA4C86">
        <w:rPr>
          <w:i/>
          <w:iCs/>
        </w:rPr>
        <w:t>Scaled</w:t>
      </w:r>
      <w:proofErr w:type="spellEnd"/>
      <w:r w:rsidRPr="00AA4C86">
        <w:rPr>
          <w:i/>
          <w:iCs/>
        </w:rPr>
        <w:t xml:space="preserve"> </w:t>
      </w:r>
      <w:proofErr w:type="spellStart"/>
      <w:r w:rsidRPr="00AA4C86">
        <w:rPr>
          <w:i/>
          <w:iCs/>
        </w:rPr>
        <w:t>Photochemical</w:t>
      </w:r>
      <w:proofErr w:type="spellEnd"/>
      <w:r w:rsidRPr="00AA4C86">
        <w:rPr>
          <w:i/>
          <w:iCs/>
        </w:rPr>
        <w:t xml:space="preserve"> </w:t>
      </w:r>
      <w:proofErr w:type="spellStart"/>
      <w:r w:rsidRPr="00AA4C86">
        <w:rPr>
          <w:i/>
          <w:iCs/>
        </w:rPr>
        <w:t>Reflectance</w:t>
      </w:r>
      <w:proofErr w:type="spellEnd"/>
      <w:r w:rsidRPr="00AA4C86">
        <w:rPr>
          <w:i/>
          <w:iCs/>
        </w:rPr>
        <w:t xml:space="preserve"> Index</w:t>
      </w:r>
      <w:r>
        <w:t xml:space="preserve">), obtidos </w:t>
      </w:r>
      <w:r w:rsidR="00647D17">
        <w:t>por dados orbitais</w:t>
      </w:r>
      <w:r>
        <w:t>, para estimar a eficiência fotossintética da vegetação</w:t>
      </w:r>
      <w:r w:rsidR="00647D17">
        <w:t xml:space="preserve"> e </w:t>
      </w:r>
      <w:r>
        <w:t>temperatura</w:t>
      </w:r>
      <w:r w:rsidR="00647D17">
        <w:t xml:space="preserve"> do ar</w:t>
      </w:r>
      <w:r>
        <w:t xml:space="preserve"> e umidade relativa do ar, permitindo avaliar a influência das condições climáticas sobre a absorção de carbono.</w:t>
      </w:r>
      <w:r w:rsidR="00CD7F9D">
        <w:t xml:space="preserve"> </w:t>
      </w:r>
      <w:r>
        <w:t xml:space="preserve">Os resultados evidenciaram forte sazonalidade, com maiores valores de </w:t>
      </w:r>
      <w:proofErr w:type="spellStart"/>
      <w:r>
        <w:t>CO₂flux</w:t>
      </w:r>
      <w:proofErr w:type="spellEnd"/>
      <w:r>
        <w:t xml:space="preserve"> registrados nos meses chuvosos, destacando-se </w:t>
      </w:r>
      <w:r w:rsidR="00647D17">
        <w:t xml:space="preserve">janeiro com 0,42 </w:t>
      </w:r>
      <w:r>
        <w:t xml:space="preserve">e fevereiro </w:t>
      </w:r>
      <w:r w:rsidR="00647D17">
        <w:t xml:space="preserve">0,41 </w:t>
      </w:r>
      <w:r>
        <w:t>e menores valores durante a estação seca, com mínimo em setembro (0,18).</w:t>
      </w:r>
      <w:r w:rsidR="00CD7F9D">
        <w:t xml:space="preserve"> </w:t>
      </w:r>
      <w:r>
        <w:t>Conclui-se que a disponibilidade hídrica exerce influência significativa sobre a atividade fotossintética e a capacidade de sequestro de carbono da vegetação, demonstrando a eficiência do sensoriamento remoto como ferramenta de monitoramento ambiental no Cerrado.</w:t>
      </w:r>
    </w:p>
    <w:p w14:paraId="0F7CD38A" w14:textId="2791534F" w:rsidR="009C4B75" w:rsidRPr="00AA4C86" w:rsidRDefault="00AA4C86" w:rsidP="00AA4C86">
      <w:pPr>
        <w:pStyle w:val="NormalWeb"/>
        <w:jc w:val="both"/>
      </w:pPr>
      <w:r>
        <w:rPr>
          <w:rStyle w:val="Forte"/>
        </w:rPr>
        <w:t>Palavras-chave:</w:t>
      </w:r>
      <w:r>
        <w:t xml:space="preserve"> </w:t>
      </w:r>
      <w:r w:rsidR="00583E73">
        <w:t xml:space="preserve">Aprendizado de Máquina; </w:t>
      </w:r>
      <w:proofErr w:type="spellStart"/>
      <w:r>
        <w:t>CO₂flux</w:t>
      </w:r>
      <w:proofErr w:type="spellEnd"/>
      <w:r>
        <w:t>; Dados Meteorológicos; Sensoriamento remoto; Vegetação.</w:t>
      </w: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5E270B86" w14:textId="77777777" w:rsidR="009C4B75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F992766" w14:textId="317551AC" w:rsidR="003F5578" w:rsidRPr="006A1037" w:rsidRDefault="00020169" w:rsidP="003F5578">
      <w:pPr>
        <w:widowControl/>
        <w:autoSpaceDE/>
        <w:autoSpaceDN/>
        <w:spacing w:line="360" w:lineRule="auto"/>
        <w:ind w:firstLine="709"/>
        <w:jc w:val="both"/>
        <w:rPr>
          <w:sz w:val="24"/>
          <w:szCs w:val="24"/>
        </w:rPr>
      </w:pPr>
      <w:r w:rsidRPr="00020169">
        <w:rPr>
          <w:sz w:val="24"/>
          <w:szCs w:val="24"/>
        </w:rPr>
        <w:t>A crescente intensificação das mudanças climáticas globais tem ampliado o interesse científico na compreensão dos processos que regulam o ciclo biogeoquímico do carbono, especialmente as trocas de dióxido de carbono (CO</w:t>
      </w:r>
      <w:r w:rsidR="003F5578">
        <w:rPr>
          <w:sz w:val="24"/>
          <w:szCs w:val="24"/>
          <w:vertAlign w:val="subscript"/>
        </w:rPr>
        <w:t>2</w:t>
      </w:r>
      <w:r w:rsidRPr="00020169">
        <w:rPr>
          <w:sz w:val="24"/>
          <w:szCs w:val="24"/>
        </w:rPr>
        <w:t>) entre a biosfera terrestre e a atmosfera. O CO</w:t>
      </w:r>
      <w:r w:rsidR="003F5578">
        <w:rPr>
          <w:sz w:val="24"/>
          <w:szCs w:val="24"/>
          <w:vertAlign w:val="subscript"/>
        </w:rPr>
        <w:t>2</w:t>
      </w:r>
      <w:r w:rsidRPr="00020169">
        <w:rPr>
          <w:sz w:val="24"/>
          <w:szCs w:val="24"/>
        </w:rPr>
        <w:t xml:space="preserve"> é o principal gás de efeito estufa de origem antrópica, exercendo papel determinante no balanço radiativo terrestre e na estabilidade funcional dos ecossistemas</w:t>
      </w:r>
      <w:r w:rsidR="006A1037">
        <w:rPr>
          <w:sz w:val="24"/>
          <w:szCs w:val="24"/>
        </w:rPr>
        <w:t xml:space="preserve"> (IPCC,2021; Friedlingstein </w:t>
      </w:r>
      <w:r w:rsidR="006A1037">
        <w:rPr>
          <w:i/>
          <w:iCs/>
          <w:sz w:val="24"/>
          <w:szCs w:val="24"/>
        </w:rPr>
        <w:t>et al.</w:t>
      </w:r>
      <w:r w:rsidR="006A1037">
        <w:rPr>
          <w:sz w:val="24"/>
          <w:szCs w:val="24"/>
        </w:rPr>
        <w:t>, 2024).</w:t>
      </w:r>
    </w:p>
    <w:p w14:paraId="266A86CC" w14:textId="21869650" w:rsidR="00020169" w:rsidRPr="00020169" w:rsidRDefault="00020169" w:rsidP="003F5578">
      <w:pPr>
        <w:widowControl/>
        <w:autoSpaceDE/>
        <w:autoSpaceDN/>
        <w:spacing w:line="360" w:lineRule="auto"/>
        <w:ind w:firstLine="709"/>
        <w:jc w:val="both"/>
        <w:rPr>
          <w:sz w:val="24"/>
          <w:szCs w:val="24"/>
        </w:rPr>
      </w:pPr>
      <w:r w:rsidRPr="00020169">
        <w:rPr>
          <w:sz w:val="24"/>
          <w:szCs w:val="24"/>
        </w:rPr>
        <w:lastRenderedPageBreak/>
        <w:t>Nesse cenário, os ecossistemas terrestres atuam como reguladores climáticos fundamentais, operando simultaneamente como fontes e sumidouros de carbono por meio de processos ecofisiológicos como a fotossíntese e a respiração</w:t>
      </w:r>
      <w:r w:rsidR="006A1037">
        <w:rPr>
          <w:sz w:val="24"/>
          <w:szCs w:val="24"/>
        </w:rPr>
        <w:t xml:space="preserve"> (IPCC, 2021)</w:t>
      </w:r>
      <w:r w:rsidRPr="00020169">
        <w:rPr>
          <w:sz w:val="24"/>
          <w:szCs w:val="24"/>
        </w:rPr>
        <w:t>. O presente estudo delimita-se à modelagem espectral do fluxo de CO</w:t>
      </w:r>
      <w:r w:rsidR="003F5578">
        <w:rPr>
          <w:sz w:val="24"/>
          <w:szCs w:val="24"/>
          <w:vertAlign w:val="subscript"/>
        </w:rPr>
        <w:t>2</w:t>
      </w:r>
      <w:r w:rsidRPr="00020169">
        <w:rPr>
          <w:sz w:val="24"/>
          <w:szCs w:val="24"/>
        </w:rPr>
        <w:t xml:space="preserve"> no município de Frutal (MG), inserido no bioma Cerrado, utilizando dados de sensoriamento remoto para o </w:t>
      </w:r>
      <w:r w:rsidR="003F5578">
        <w:rPr>
          <w:sz w:val="24"/>
          <w:szCs w:val="24"/>
        </w:rPr>
        <w:t>ano de</w:t>
      </w:r>
      <w:r w:rsidRPr="00020169">
        <w:rPr>
          <w:sz w:val="24"/>
          <w:szCs w:val="24"/>
        </w:rPr>
        <w:t xml:space="preserve"> 2025.</w:t>
      </w:r>
    </w:p>
    <w:p w14:paraId="2EDE50D6" w14:textId="045DF0A1" w:rsidR="00020169" w:rsidRPr="006A1037" w:rsidRDefault="00020169" w:rsidP="008E0DB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020169">
        <w:rPr>
          <w:sz w:val="24"/>
          <w:szCs w:val="24"/>
        </w:rPr>
        <w:t xml:space="preserve">A justificativa deste estudo fundamenta-se na necessidade de preencher lacunas de dados em escala regional sobre a interação entre </w:t>
      </w:r>
      <w:r w:rsidR="00772D5B">
        <w:rPr>
          <w:sz w:val="24"/>
          <w:szCs w:val="24"/>
        </w:rPr>
        <w:t>variáveis meteorológicas</w:t>
      </w:r>
      <w:r w:rsidRPr="00020169">
        <w:rPr>
          <w:sz w:val="24"/>
          <w:szCs w:val="24"/>
        </w:rPr>
        <w:t xml:space="preserve"> e a dinâmica do carbono no Cerrado mineiro. A integração de tecnologias de sensoriamento remoto, como as imagens do satélite </w:t>
      </w:r>
      <w:r w:rsidRPr="00020169">
        <w:rPr>
          <w:i/>
          <w:iCs/>
          <w:sz w:val="24"/>
          <w:szCs w:val="24"/>
        </w:rPr>
        <w:t>Sentinel-2</w:t>
      </w:r>
      <w:r w:rsidRPr="00020169">
        <w:rPr>
          <w:sz w:val="24"/>
          <w:szCs w:val="24"/>
        </w:rPr>
        <w:t xml:space="preserve"> e a plataforma </w:t>
      </w:r>
      <w:r w:rsidRPr="00020169">
        <w:rPr>
          <w:i/>
          <w:iCs/>
          <w:sz w:val="24"/>
          <w:szCs w:val="24"/>
        </w:rPr>
        <w:t>Google Earth Engine</w:t>
      </w:r>
      <w:r w:rsidRPr="00020169">
        <w:rPr>
          <w:sz w:val="24"/>
          <w:szCs w:val="24"/>
        </w:rPr>
        <w:t>, permite um monitoramento contínuo e preciso, essencial para o planejamento territorial sustentável. Além disso, a aplicação da metodologia CO</w:t>
      </w:r>
      <w:r w:rsidR="008E0DBD">
        <w:rPr>
          <w:sz w:val="24"/>
          <w:szCs w:val="24"/>
          <w:vertAlign w:val="subscript"/>
        </w:rPr>
        <w:t>2</w:t>
      </w:r>
      <w:r w:rsidRPr="00020169">
        <w:rPr>
          <w:sz w:val="24"/>
          <w:szCs w:val="24"/>
        </w:rPr>
        <w:t>flux (baseada na combinação dos índices NDVI e sPRI) fornece um indicador robusto da eficiência fotossintética, permitindo correlacionar picos de absorção com variáveis meteorológicas e períodos de estresse hídrico</w:t>
      </w:r>
      <w:r w:rsidR="006A1037">
        <w:rPr>
          <w:sz w:val="24"/>
          <w:szCs w:val="24"/>
        </w:rPr>
        <w:t xml:space="preserve"> (Rahman </w:t>
      </w:r>
      <w:r w:rsidR="006A1037">
        <w:rPr>
          <w:i/>
          <w:iCs/>
          <w:sz w:val="24"/>
          <w:szCs w:val="24"/>
        </w:rPr>
        <w:t>et al</w:t>
      </w:r>
      <w:r w:rsidR="006A1037">
        <w:rPr>
          <w:sz w:val="24"/>
          <w:szCs w:val="24"/>
        </w:rPr>
        <w:t xml:space="preserve">., 2001; Baptista, 2004; Campos </w:t>
      </w:r>
      <w:r w:rsidR="006A1037">
        <w:rPr>
          <w:i/>
          <w:iCs/>
          <w:sz w:val="24"/>
          <w:szCs w:val="24"/>
        </w:rPr>
        <w:t>et al</w:t>
      </w:r>
      <w:r w:rsidR="006A1037">
        <w:rPr>
          <w:sz w:val="24"/>
          <w:szCs w:val="24"/>
        </w:rPr>
        <w:t>., 2024).</w:t>
      </w:r>
    </w:p>
    <w:p w14:paraId="21CFFDAE" w14:textId="5F0426D1" w:rsidR="00020169" w:rsidRPr="00020169" w:rsidRDefault="00020169" w:rsidP="008E0DB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020169">
        <w:rPr>
          <w:sz w:val="24"/>
          <w:szCs w:val="24"/>
        </w:rPr>
        <w:t xml:space="preserve">O objetivo desta pesquisa </w:t>
      </w:r>
      <w:r w:rsidR="0051483C">
        <w:rPr>
          <w:sz w:val="24"/>
          <w:szCs w:val="24"/>
        </w:rPr>
        <w:t>foi</w:t>
      </w:r>
      <w:r w:rsidRPr="00020169">
        <w:rPr>
          <w:sz w:val="24"/>
          <w:szCs w:val="24"/>
        </w:rPr>
        <w:t xml:space="preserve"> analisar a relação entre a dinâmica do fluxo de CO</w:t>
      </w:r>
      <w:r w:rsidR="008E0DBD" w:rsidRPr="00AC6D4D">
        <w:rPr>
          <w:sz w:val="24"/>
          <w:szCs w:val="24"/>
          <w:vertAlign w:val="subscript"/>
        </w:rPr>
        <w:t>2</w:t>
      </w:r>
      <w:r w:rsidR="008E0DBD" w:rsidRPr="008E0DBD">
        <w:rPr>
          <w:sz w:val="24"/>
          <w:szCs w:val="24"/>
        </w:rPr>
        <w:t xml:space="preserve"> </w:t>
      </w:r>
      <w:r w:rsidR="008E0DBD">
        <w:rPr>
          <w:sz w:val="24"/>
          <w:szCs w:val="24"/>
        </w:rPr>
        <w:t xml:space="preserve">e </w:t>
      </w:r>
      <w:r w:rsidR="00AC6D4D">
        <w:rPr>
          <w:sz w:val="24"/>
          <w:szCs w:val="24"/>
        </w:rPr>
        <w:t xml:space="preserve">os </w:t>
      </w:r>
      <w:r w:rsidR="008E0DBD">
        <w:rPr>
          <w:sz w:val="24"/>
          <w:szCs w:val="24"/>
        </w:rPr>
        <w:t>índices meteorológicos</w:t>
      </w:r>
      <w:r w:rsidRPr="00020169">
        <w:rPr>
          <w:sz w:val="24"/>
          <w:szCs w:val="24"/>
        </w:rPr>
        <w:t xml:space="preserve"> no município de Frutal (MG) </w:t>
      </w:r>
      <w:r w:rsidR="008E0DBD">
        <w:rPr>
          <w:sz w:val="24"/>
          <w:szCs w:val="24"/>
        </w:rPr>
        <w:t xml:space="preserve">no ano de </w:t>
      </w:r>
      <w:r w:rsidRPr="00020169">
        <w:rPr>
          <w:sz w:val="24"/>
          <w:szCs w:val="24"/>
        </w:rPr>
        <w:t xml:space="preserve">2025. Para tanto, definem-se como objetivos específicos: </w:t>
      </w:r>
      <w:r w:rsidR="008E0DBD" w:rsidRPr="008E0DBD">
        <w:rPr>
          <w:sz w:val="24"/>
          <w:szCs w:val="24"/>
        </w:rPr>
        <w:t>Estimar o fluxo de carbono realizado pela vegetação, utilizando-se</w:t>
      </w:r>
      <w:r w:rsidR="008E0DBD">
        <w:rPr>
          <w:sz w:val="24"/>
          <w:szCs w:val="24"/>
        </w:rPr>
        <w:t xml:space="preserve"> </w:t>
      </w:r>
      <w:r w:rsidR="008E0DBD" w:rsidRPr="008E0DBD">
        <w:rPr>
          <w:sz w:val="24"/>
          <w:szCs w:val="24"/>
        </w:rPr>
        <w:t>do índice espectral CO</w:t>
      </w:r>
      <w:r w:rsidR="008E0DBD" w:rsidRPr="008E0DBD">
        <w:rPr>
          <w:sz w:val="24"/>
          <w:szCs w:val="24"/>
          <w:vertAlign w:val="subscript"/>
        </w:rPr>
        <w:t>2</w:t>
      </w:r>
      <w:r w:rsidR="008E0DBD" w:rsidRPr="008E0DBD">
        <w:rPr>
          <w:sz w:val="24"/>
          <w:szCs w:val="24"/>
        </w:rPr>
        <w:t>flux; Avaliar a variabilidade do sequestro de carbono ao longo do ano (período seco e período chuvoso);</w:t>
      </w:r>
      <w:r w:rsidR="008E0DBD">
        <w:rPr>
          <w:sz w:val="24"/>
          <w:szCs w:val="24"/>
        </w:rPr>
        <w:t xml:space="preserve"> </w:t>
      </w:r>
      <w:r w:rsidR="008E0DBD" w:rsidRPr="008E0DBD">
        <w:rPr>
          <w:sz w:val="24"/>
          <w:szCs w:val="24"/>
        </w:rPr>
        <w:t>Analisar a influência de fatores meteorológicos no</w:t>
      </w:r>
      <w:r w:rsidR="008E0DBD">
        <w:rPr>
          <w:sz w:val="24"/>
          <w:szCs w:val="24"/>
        </w:rPr>
        <w:t xml:space="preserve">s </w:t>
      </w:r>
      <w:r w:rsidR="008E0DBD" w:rsidRPr="008E0DBD">
        <w:rPr>
          <w:sz w:val="24"/>
          <w:szCs w:val="24"/>
        </w:rPr>
        <w:t>resultados obtidos.</w:t>
      </w:r>
    </w:p>
    <w:p w14:paraId="16FDABA8" w14:textId="77777777" w:rsidR="009C4B75" w:rsidRPr="005F70B0" w:rsidRDefault="009C4B75" w:rsidP="003F5578">
      <w:pPr>
        <w:pStyle w:val="Corpodetexto"/>
        <w:spacing w:before="1" w:line="360" w:lineRule="auto"/>
        <w:ind w:firstLine="709"/>
        <w:jc w:val="both"/>
        <w:rPr>
          <w:sz w:val="24"/>
          <w:szCs w:val="24"/>
        </w:rPr>
      </w:pP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168C9F80" w14:textId="77777777" w:rsidR="00AC6D4D" w:rsidRPr="00F95292" w:rsidRDefault="00AC6D4D" w:rsidP="00F9529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F95292">
        <w:rPr>
          <w:sz w:val="24"/>
          <w:szCs w:val="24"/>
        </w:rPr>
        <w:t>A pesquisa é desenvolvida no município de Frutal (MG), localizado no Triângulo Mineiro (20°01’30” S; 48°56’27” O), com altitude média entre 516 e 536 metros. A região está inserida no bioma Cerrado, apresentando clima tropical sazonal com estações seca e chuvosa bem definidas. O período de análise compreende o ano de 2025, com dados processados em escala mensal para observar a variabilidade sazonal da vegetação.</w:t>
      </w:r>
    </w:p>
    <w:p w14:paraId="574C6440" w14:textId="77777777" w:rsidR="00AC6D4D" w:rsidRPr="00F95292" w:rsidRDefault="00AC6D4D" w:rsidP="00F9529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F95292">
        <w:rPr>
          <w:sz w:val="24"/>
          <w:szCs w:val="24"/>
        </w:rPr>
        <w:t xml:space="preserve">As imagens multiespectrais são provenientes da constelação </w:t>
      </w:r>
      <w:r w:rsidRPr="00F95292">
        <w:rPr>
          <w:i/>
          <w:iCs/>
          <w:sz w:val="24"/>
          <w:szCs w:val="24"/>
        </w:rPr>
        <w:t>Sentinel-2</w:t>
      </w:r>
      <w:r w:rsidRPr="00F95292">
        <w:rPr>
          <w:sz w:val="24"/>
          <w:szCs w:val="24"/>
        </w:rPr>
        <w:t xml:space="preserve"> (programa </w:t>
      </w:r>
      <w:r w:rsidRPr="00F95292">
        <w:rPr>
          <w:i/>
          <w:iCs/>
          <w:sz w:val="24"/>
          <w:szCs w:val="24"/>
        </w:rPr>
        <w:t>Copernicus</w:t>
      </w:r>
      <w:r w:rsidRPr="00F95292">
        <w:rPr>
          <w:sz w:val="24"/>
          <w:szCs w:val="24"/>
        </w:rPr>
        <w:t xml:space="preserve">), obtidas via plataforma </w:t>
      </w:r>
      <w:r w:rsidRPr="00F95292">
        <w:rPr>
          <w:i/>
          <w:iCs/>
          <w:sz w:val="24"/>
          <w:szCs w:val="24"/>
        </w:rPr>
        <w:t>Google Earth Engine</w:t>
      </w:r>
      <w:r w:rsidRPr="00F95292">
        <w:rPr>
          <w:sz w:val="24"/>
          <w:szCs w:val="24"/>
        </w:rPr>
        <w:t xml:space="preserve"> (GEE). Para assegurar a consistência radiométrica, foram aplicados filtros de cobertura de nuvens e mascaramento atmosférico, utilizando composições de valores medianos de reflectância para representar as condições médias da paisagem em cada mês de 2025.</w:t>
      </w:r>
    </w:p>
    <w:p w14:paraId="5649F851" w14:textId="48C1D33A" w:rsidR="00AC6D4D" w:rsidRPr="00F95292" w:rsidRDefault="00AC6D4D" w:rsidP="00F9529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F95292">
        <w:rPr>
          <w:sz w:val="24"/>
          <w:szCs w:val="24"/>
        </w:rPr>
        <w:t xml:space="preserve">A estimativa da eficiência da absorção de carbono pela vegetação baseia-se na </w:t>
      </w:r>
      <w:r w:rsidRPr="00F95292">
        <w:rPr>
          <w:sz w:val="24"/>
          <w:szCs w:val="24"/>
        </w:rPr>
        <w:lastRenderedPageBreak/>
        <w:t xml:space="preserve">metodologia de Rahman </w:t>
      </w:r>
      <w:r w:rsidRPr="00F95292">
        <w:rPr>
          <w:i/>
          <w:iCs/>
          <w:sz w:val="24"/>
          <w:szCs w:val="24"/>
        </w:rPr>
        <w:t>et al</w:t>
      </w:r>
      <w:r w:rsidRPr="00F95292">
        <w:rPr>
          <w:sz w:val="24"/>
          <w:szCs w:val="24"/>
        </w:rPr>
        <w:t>. (</w:t>
      </w:r>
      <w:r w:rsidR="00AB38FF">
        <w:rPr>
          <w:sz w:val="24"/>
          <w:szCs w:val="24"/>
        </w:rPr>
        <w:t>2001</w:t>
      </w:r>
      <w:r w:rsidRPr="00F95292">
        <w:rPr>
          <w:sz w:val="24"/>
          <w:szCs w:val="24"/>
        </w:rPr>
        <w:t>). O processamento envolve as seguintes etapas:</w:t>
      </w:r>
    </w:p>
    <w:p w14:paraId="4439471C" w14:textId="5433156D" w:rsidR="00012483" w:rsidRDefault="00CD7F9D" w:rsidP="00F9529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Primeiramente é calculado o </w:t>
      </w:r>
      <w:r w:rsidR="00AC6D4D" w:rsidRPr="00F95292">
        <w:rPr>
          <w:sz w:val="24"/>
          <w:szCs w:val="24"/>
        </w:rPr>
        <w:t>NDVI (</w:t>
      </w:r>
      <w:r w:rsidR="00AC6D4D" w:rsidRPr="00F95292">
        <w:rPr>
          <w:i/>
          <w:iCs/>
          <w:sz w:val="24"/>
          <w:szCs w:val="24"/>
        </w:rPr>
        <w:t>Normalized Difference Vegetation Index</w:t>
      </w:r>
      <w:r w:rsidR="00AC6D4D" w:rsidRPr="00F95292">
        <w:rPr>
          <w:sz w:val="24"/>
          <w:szCs w:val="24"/>
        </w:rPr>
        <w:t>): Utilizado para mensurar o vigor vegetativo e a biomassa fotossinteticamente ativa</w:t>
      </w:r>
      <w:r w:rsidR="0051483C">
        <w:rPr>
          <w:sz w:val="24"/>
          <w:szCs w:val="24"/>
        </w:rPr>
        <w:t xml:space="preserve"> (Equação 1)</w:t>
      </w:r>
      <w:r w:rsidR="00AC6D4D" w:rsidRPr="00F95292">
        <w:rPr>
          <w:sz w:val="24"/>
          <w:szCs w:val="24"/>
        </w:rPr>
        <w:t>.</w:t>
      </w:r>
    </w:p>
    <w:p w14:paraId="6EC81AA8" w14:textId="38473408" w:rsidR="00AC6D4D" w:rsidRPr="00EC1A8A" w:rsidRDefault="00012483" w:rsidP="00EC1A8A">
      <w:pPr>
        <w:pStyle w:val="Corpodetexto"/>
        <w:spacing w:before="1" w:line="360" w:lineRule="auto"/>
        <w:ind w:firstLine="720"/>
        <w:jc w:val="center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NDVI=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 xml:space="preserve">NIR - Red 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NIR + Red</m:t>
            </m:r>
          </m:den>
        </m:f>
      </m:oMath>
      <w:r w:rsidRPr="00EC1A8A">
        <w:rPr>
          <w:sz w:val="24"/>
          <w:szCs w:val="24"/>
        </w:rPr>
        <w:t xml:space="preserve">                    </w:t>
      </w:r>
      <w:r w:rsidR="00EC1A8A">
        <w:rPr>
          <w:sz w:val="24"/>
          <w:szCs w:val="24"/>
        </w:rPr>
        <w:t xml:space="preserve"> </w:t>
      </w:r>
      <w:r w:rsidRPr="00EC1A8A">
        <w:rPr>
          <w:sz w:val="24"/>
          <w:szCs w:val="24"/>
        </w:rPr>
        <w:t xml:space="preserve">                                                                      (1)</w:t>
      </w:r>
    </w:p>
    <w:p w14:paraId="54B4BAD4" w14:textId="132381B1" w:rsidR="00012483" w:rsidRDefault="00CD7F9D" w:rsidP="00012483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Posteriormente calcula-se o </w:t>
      </w:r>
      <w:r w:rsidR="00AC6D4D" w:rsidRPr="00F95292">
        <w:rPr>
          <w:sz w:val="24"/>
          <w:szCs w:val="24"/>
        </w:rPr>
        <w:t>sPRI (</w:t>
      </w:r>
      <w:r w:rsidR="00AC6D4D" w:rsidRPr="00CD7F9D">
        <w:rPr>
          <w:i/>
          <w:iCs/>
          <w:sz w:val="24"/>
          <w:szCs w:val="24"/>
        </w:rPr>
        <w:t>Scaled</w:t>
      </w:r>
      <w:r w:rsidR="00AC6D4D" w:rsidRPr="00F95292">
        <w:rPr>
          <w:sz w:val="24"/>
          <w:szCs w:val="24"/>
        </w:rPr>
        <w:t xml:space="preserve"> </w:t>
      </w:r>
      <w:r w:rsidR="00AC6D4D" w:rsidRPr="00CD7F9D">
        <w:rPr>
          <w:i/>
          <w:iCs/>
          <w:sz w:val="24"/>
          <w:szCs w:val="24"/>
        </w:rPr>
        <w:t>Photochemical</w:t>
      </w:r>
      <w:r w:rsidR="00AC6D4D" w:rsidRPr="00F95292">
        <w:rPr>
          <w:sz w:val="24"/>
          <w:szCs w:val="24"/>
        </w:rPr>
        <w:t xml:space="preserve"> </w:t>
      </w:r>
      <w:r w:rsidR="00AC6D4D" w:rsidRPr="00CD7F9D">
        <w:rPr>
          <w:i/>
          <w:iCs/>
          <w:sz w:val="24"/>
          <w:szCs w:val="24"/>
        </w:rPr>
        <w:t>Reflectance</w:t>
      </w:r>
      <w:r w:rsidR="00AC6D4D" w:rsidRPr="00F95292">
        <w:rPr>
          <w:sz w:val="24"/>
          <w:szCs w:val="24"/>
        </w:rPr>
        <w:t xml:space="preserve"> </w:t>
      </w:r>
      <w:r w:rsidR="00AC6D4D" w:rsidRPr="00CD7F9D">
        <w:rPr>
          <w:i/>
          <w:iCs/>
          <w:sz w:val="24"/>
          <w:szCs w:val="24"/>
        </w:rPr>
        <w:t>Index</w:t>
      </w:r>
      <w:r w:rsidR="00AC6D4D" w:rsidRPr="00F95292">
        <w:rPr>
          <w:sz w:val="24"/>
          <w:szCs w:val="24"/>
        </w:rPr>
        <w:t>): Índice de reflectância fotoquímica reescalonado para valores positivos (0 a 1), indicando a eficiência do uso da radiação solar</w:t>
      </w:r>
      <w:r>
        <w:rPr>
          <w:sz w:val="24"/>
          <w:szCs w:val="24"/>
        </w:rPr>
        <w:t xml:space="preserve"> (Equação 2)</w:t>
      </w:r>
      <w:r w:rsidR="00AC6D4D" w:rsidRPr="00F95292">
        <w:rPr>
          <w:sz w:val="24"/>
          <w:szCs w:val="24"/>
        </w:rPr>
        <w:t>.</w:t>
      </w:r>
    </w:p>
    <w:p w14:paraId="0DB39A11" w14:textId="4655282F" w:rsidR="00AC6D4D" w:rsidRPr="00F95292" w:rsidRDefault="00012483" w:rsidP="00EC1A8A">
      <w:pPr>
        <w:pStyle w:val="Corpodetexto"/>
        <w:spacing w:before="1" w:line="360" w:lineRule="auto"/>
        <w:ind w:firstLine="720"/>
        <w:jc w:val="center"/>
        <w:rPr>
          <w:sz w:val="24"/>
          <w:szCs w:val="24"/>
        </w:rPr>
      </w:pPr>
      <w:r w:rsidRPr="00012483">
        <w:rPr>
          <w:sz w:val="24"/>
          <w:szCs w:val="24"/>
        </w:rPr>
        <w:t xml:space="preserve">sPRI =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PRI+1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sz w:val="24"/>
          <w:szCs w:val="24"/>
        </w:rPr>
        <w:t xml:space="preserve">                                                                                                    (2)</w:t>
      </w:r>
    </w:p>
    <w:p w14:paraId="3E2A3B8B" w14:textId="5D369CA0" w:rsidR="00AC6D4D" w:rsidRDefault="00CD7F9D" w:rsidP="00F9529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E por fim,</w:t>
      </w:r>
      <w:r w:rsidR="00AC6D4D" w:rsidRPr="00F95292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="00AC6D4D" w:rsidRPr="00F95292">
        <w:rPr>
          <w:sz w:val="24"/>
          <w:szCs w:val="24"/>
        </w:rPr>
        <w:t xml:space="preserve"> fluxo de carbono é calculado pelo produto dos índices espectrais, onde valores positivos mais elevados indicam maior eficiência na absorção de CO</w:t>
      </w:r>
      <w:r w:rsidR="00AC6D4D" w:rsidRPr="00F95292">
        <w:rPr>
          <w:sz w:val="24"/>
          <w:szCs w:val="24"/>
          <w:vertAlign w:val="subscript"/>
        </w:rPr>
        <w:t>2</w:t>
      </w:r>
      <w:r>
        <w:rPr>
          <w:sz w:val="24"/>
          <w:szCs w:val="24"/>
          <w:vertAlign w:val="subscript"/>
        </w:rPr>
        <w:t xml:space="preserve"> </w:t>
      </w:r>
      <w:r>
        <w:rPr>
          <w:sz w:val="24"/>
          <w:szCs w:val="24"/>
        </w:rPr>
        <w:t>(Equação 3)</w:t>
      </w:r>
      <w:r w:rsidR="00AC6D4D" w:rsidRPr="00F95292">
        <w:rPr>
          <w:sz w:val="24"/>
          <w:szCs w:val="24"/>
        </w:rPr>
        <w:t>.</w:t>
      </w:r>
    </w:p>
    <w:p w14:paraId="74B3EB3B" w14:textId="1D478996" w:rsidR="00EC1A8A" w:rsidRDefault="00EC1A8A" w:rsidP="00EC1A8A">
      <w:pPr>
        <w:pStyle w:val="NormalWeb"/>
        <w:spacing w:before="0" w:beforeAutospacing="0" w:after="0" w:afterAutospacing="0" w:line="360" w:lineRule="auto"/>
        <w:ind w:firstLine="709"/>
        <w:jc w:val="center"/>
      </w:pPr>
      <w:r w:rsidRPr="00745076">
        <w:t>CO</w:t>
      </w:r>
      <w:r>
        <w:rPr>
          <w:vertAlign w:val="subscript"/>
        </w:rPr>
        <w:t>2</w:t>
      </w:r>
      <w:r w:rsidRPr="00745076">
        <w:t>flux</w:t>
      </w:r>
      <w:r>
        <w:t xml:space="preserve"> = </w:t>
      </w:r>
      <m:oMath>
        <m:r>
          <w:rPr>
            <w:rFonts w:ascii="Cambria Math" w:hAnsi="Cambria Math"/>
          </w:rPr>
          <m:t>NDVI×sPRI</m:t>
        </m:r>
      </m:oMath>
      <w:r>
        <w:t xml:space="preserve">                                                                             </w:t>
      </w:r>
      <w:proofErr w:type="gramStart"/>
      <w:r>
        <w:t xml:space="preserve">   (</w:t>
      </w:r>
      <w:proofErr w:type="gramEnd"/>
      <w:r>
        <w:t>3)</w:t>
      </w:r>
    </w:p>
    <w:p w14:paraId="77C906B3" w14:textId="73A0EFAF" w:rsidR="00AC6D4D" w:rsidRPr="00F95292" w:rsidRDefault="00AC6D4D" w:rsidP="00F9529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F95292">
        <w:rPr>
          <w:sz w:val="24"/>
          <w:szCs w:val="24"/>
        </w:rPr>
        <w:t xml:space="preserve">Diferente de modelos puramente orbitais, esta pesquisa integra dados </w:t>
      </w:r>
      <w:r w:rsidRPr="00F95292">
        <w:rPr>
          <w:i/>
          <w:iCs/>
          <w:sz w:val="24"/>
          <w:szCs w:val="24"/>
        </w:rPr>
        <w:t>in situ</w:t>
      </w:r>
      <w:r w:rsidRPr="00F95292">
        <w:rPr>
          <w:sz w:val="24"/>
          <w:szCs w:val="24"/>
        </w:rPr>
        <w:t xml:space="preserve"> de Temperatura e Umidade Relativa do Ar. Estas variáveis foram obtidas diretamente da Estação Agrometeorológica UEMG – Frutal. A utilização de dados locais permite uma correlação mais precisa entre o estresse hídrico/térmico e a resposta espectral da vegetação no Cerrado.</w:t>
      </w:r>
    </w:p>
    <w:p w14:paraId="5655D1D1" w14:textId="12CBDDF9" w:rsidR="00AC6D4D" w:rsidRPr="00F95292" w:rsidRDefault="00AC6D4D" w:rsidP="00F9529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F95292">
        <w:rPr>
          <w:sz w:val="24"/>
          <w:szCs w:val="24"/>
        </w:rPr>
        <w:t>Os resultados mensais de CO</w:t>
      </w:r>
      <w:r w:rsidRPr="00F95292">
        <w:rPr>
          <w:sz w:val="24"/>
          <w:szCs w:val="24"/>
          <w:vertAlign w:val="subscript"/>
        </w:rPr>
        <w:t>2</w:t>
      </w:r>
      <w:r w:rsidRPr="00F95292">
        <w:rPr>
          <w:sz w:val="24"/>
          <w:szCs w:val="24"/>
        </w:rPr>
        <w:t>flux são correlacionados</w:t>
      </w:r>
      <w:r w:rsidR="0051483C">
        <w:rPr>
          <w:sz w:val="24"/>
          <w:szCs w:val="24"/>
        </w:rPr>
        <w:t xml:space="preserve"> </w:t>
      </w:r>
      <w:r w:rsidRPr="00F95292">
        <w:rPr>
          <w:sz w:val="24"/>
          <w:szCs w:val="24"/>
        </w:rPr>
        <w:t xml:space="preserve"> com as médias mensais de temperatura e umidade da estação UEMG</w:t>
      </w:r>
      <w:r w:rsidR="00A85788">
        <w:rPr>
          <w:sz w:val="24"/>
          <w:szCs w:val="24"/>
        </w:rPr>
        <w:t xml:space="preserve"> e os dados de NDVI pelo GEE</w:t>
      </w:r>
      <w:r w:rsidRPr="00F95292">
        <w:rPr>
          <w:sz w:val="24"/>
          <w:szCs w:val="24"/>
        </w:rPr>
        <w:t>. Para quantificar essa relação, aplica-se o Coeficiente de Correlação de Pearson (</w:t>
      </w:r>
      <w:r w:rsidR="0051483C">
        <w:rPr>
          <w:sz w:val="24"/>
          <w:szCs w:val="24"/>
        </w:rPr>
        <w:t>r</w:t>
      </w:r>
      <w:r w:rsidRPr="00F95292">
        <w:rPr>
          <w:sz w:val="24"/>
          <w:szCs w:val="24"/>
        </w:rPr>
        <w:t>)</w:t>
      </w:r>
      <w:r w:rsidR="00012483">
        <w:rPr>
          <w:sz w:val="24"/>
          <w:szCs w:val="24"/>
        </w:rPr>
        <w:t xml:space="preserve"> e </w:t>
      </w:r>
      <w:r w:rsidR="00012483" w:rsidRPr="00012483">
        <w:rPr>
          <w:sz w:val="24"/>
          <w:szCs w:val="24"/>
        </w:rPr>
        <w:t xml:space="preserve">Coeficiente de Determinação </w:t>
      </w:r>
      <w:r w:rsidR="00012483">
        <w:rPr>
          <w:sz w:val="24"/>
          <w:szCs w:val="24"/>
        </w:rPr>
        <w:t>(</w:t>
      </w:r>
      <w:r w:rsidR="00012483" w:rsidRPr="00012483">
        <w:rPr>
          <w:sz w:val="24"/>
          <w:szCs w:val="24"/>
        </w:rPr>
        <w:t>R</w:t>
      </w:r>
      <w:r w:rsidR="00012483" w:rsidRPr="00012483">
        <w:rPr>
          <w:sz w:val="24"/>
          <w:szCs w:val="24"/>
          <w:vertAlign w:val="superscript"/>
        </w:rPr>
        <w:t>2</w:t>
      </w:r>
      <w:r w:rsidR="00012483" w:rsidRPr="00012483">
        <w:rPr>
          <w:sz w:val="24"/>
          <w:szCs w:val="24"/>
        </w:rPr>
        <w:t>)</w:t>
      </w:r>
      <w:r w:rsidRPr="00F95292">
        <w:rPr>
          <w:sz w:val="24"/>
          <w:szCs w:val="24"/>
        </w:rPr>
        <w:t>, verificando se o aumento ou decréscimo das variáveis meteorológicas gera impacto direto na eficiência da absorção de carbono. O desempenho do modelo é validado por métricas de tendência central e dispersão, permitindo identificar o impacto da sazonalidade climática no sequestro de carbono.</w:t>
      </w:r>
    </w:p>
    <w:p w14:paraId="6AB1C1F9" w14:textId="77777777" w:rsidR="00E3782C" w:rsidRPr="005F70B0" w:rsidRDefault="00E3782C" w:rsidP="00E3782C">
      <w:pPr>
        <w:pStyle w:val="Corpodetexto"/>
        <w:spacing w:before="1" w:line="360" w:lineRule="auto"/>
        <w:rPr>
          <w:sz w:val="24"/>
          <w:szCs w:val="24"/>
        </w:rPr>
      </w:pP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3AE134A7" w14:textId="2C37ED8B" w:rsidR="00AF0B54" w:rsidRDefault="00C3793F" w:rsidP="00A344A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063782">
        <w:rPr>
          <w:sz w:val="24"/>
          <w:szCs w:val="24"/>
        </w:rPr>
        <w:t>Os resultados evidenciaram variação sazonal da absorção de carbono pela vegetação ao longo de 2025, refletindo a influência das condições meteorológicas sobre a atividade fotossintética no município de Frutal (MG)</w:t>
      </w:r>
      <w:r w:rsidR="00AF0B54">
        <w:rPr>
          <w:sz w:val="24"/>
          <w:szCs w:val="24"/>
        </w:rPr>
        <w:t>, como mostra a Tabela 1</w:t>
      </w:r>
      <w:r w:rsidRPr="00063782">
        <w:rPr>
          <w:sz w:val="24"/>
          <w:szCs w:val="24"/>
        </w:rPr>
        <w:t xml:space="preserve">. Os valores de CO₂flux oscilaram entre </w:t>
      </w:r>
      <w:r w:rsidRPr="00262417">
        <w:rPr>
          <w:sz w:val="24"/>
          <w:szCs w:val="24"/>
        </w:rPr>
        <w:t>0</w:t>
      </w:r>
      <w:r w:rsidRPr="00063782">
        <w:rPr>
          <w:b/>
          <w:bCs/>
          <w:sz w:val="24"/>
          <w:szCs w:val="24"/>
        </w:rPr>
        <w:t>,</w:t>
      </w:r>
      <w:r w:rsidRPr="000A317D">
        <w:rPr>
          <w:sz w:val="24"/>
          <w:szCs w:val="24"/>
        </w:rPr>
        <w:t>18</w:t>
      </w:r>
      <w:r w:rsidRPr="00063782">
        <w:rPr>
          <w:sz w:val="24"/>
          <w:szCs w:val="24"/>
        </w:rPr>
        <w:t xml:space="preserve">, registrado em setembro, e </w:t>
      </w:r>
      <w:r w:rsidRPr="000A317D">
        <w:rPr>
          <w:sz w:val="24"/>
          <w:szCs w:val="24"/>
        </w:rPr>
        <w:t>0,41</w:t>
      </w:r>
      <w:r w:rsidRPr="00063782">
        <w:rPr>
          <w:sz w:val="24"/>
          <w:szCs w:val="24"/>
        </w:rPr>
        <w:t>, observado em janeiro e fevereiro, indicando maior eficiência de absorção de CO₂ durante o período chuvoso e redução expressiva na estação seca.</w:t>
      </w:r>
    </w:p>
    <w:p w14:paraId="0C313D13" w14:textId="77777777" w:rsidR="00262417" w:rsidRDefault="00262417" w:rsidP="00A344AD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7D1D4B0D" w14:textId="7815A622" w:rsidR="00AC6713" w:rsidRPr="00AF0B54" w:rsidRDefault="00AF0B54" w:rsidP="00A85788">
      <w:pPr>
        <w:pStyle w:val="Corpodetexto"/>
        <w:spacing w:before="1" w:line="360" w:lineRule="auto"/>
        <w:jc w:val="center"/>
        <w:rPr>
          <w:b/>
          <w:bCs/>
        </w:rPr>
      </w:pPr>
      <w:r w:rsidRPr="00AF0B54">
        <w:rPr>
          <w:b/>
          <w:bCs/>
        </w:rPr>
        <w:lastRenderedPageBreak/>
        <w:t>Tabela 1 – Dados mensais de CO</w:t>
      </w:r>
      <w:r w:rsidRPr="00AF0B54">
        <w:rPr>
          <w:b/>
          <w:bCs/>
          <w:vertAlign w:val="subscript"/>
        </w:rPr>
        <w:t>2</w:t>
      </w:r>
      <w:r w:rsidRPr="00AF0B54">
        <w:rPr>
          <w:b/>
          <w:bCs/>
        </w:rPr>
        <w:t>flux, NDVI, Temperatura e Umidade Relativa de 2025</w:t>
      </w:r>
    </w:p>
    <w:tbl>
      <w:tblPr>
        <w:tblW w:w="0" w:type="auto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1824"/>
        <w:gridCol w:w="1134"/>
        <w:gridCol w:w="1418"/>
        <w:gridCol w:w="992"/>
        <w:gridCol w:w="2410"/>
        <w:gridCol w:w="80"/>
        <w:gridCol w:w="95"/>
      </w:tblGrid>
      <w:tr w:rsidR="00FB153B" w:rsidRPr="00C3793F" w14:paraId="1412A5C7" w14:textId="4C47D815" w:rsidTr="00A85788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87FB1" w14:textId="1C10365B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F0B54">
              <w:rPr>
                <w:sz w:val="24"/>
                <w:szCs w:val="24"/>
                <w:lang w:val="pt-BR" w:eastAsia="pt-BR"/>
              </w:rPr>
              <w:t>Mês</w:t>
            </w:r>
          </w:p>
        </w:tc>
        <w:tc>
          <w:tcPr>
            <w:tcW w:w="1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7AF1F" w14:textId="2382883B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F0B54">
              <w:rPr>
                <w:sz w:val="24"/>
                <w:szCs w:val="24"/>
                <w:lang w:val="pt-BR" w:eastAsia="pt-BR"/>
              </w:rPr>
              <w:t>CO</w:t>
            </w:r>
            <w:r w:rsidRPr="00AF0B54">
              <w:rPr>
                <w:sz w:val="24"/>
                <w:szCs w:val="24"/>
                <w:vertAlign w:val="subscript"/>
                <w:lang w:val="pt-BR" w:eastAsia="pt-BR"/>
              </w:rPr>
              <w:t>2</w:t>
            </w:r>
            <w:r w:rsidRPr="00AF0B54">
              <w:rPr>
                <w:sz w:val="24"/>
                <w:szCs w:val="24"/>
                <w:lang w:val="pt-BR" w:eastAsia="pt-BR"/>
              </w:rPr>
              <w:t>flux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621FC" w14:textId="6B636DF7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F0B54">
              <w:rPr>
                <w:sz w:val="24"/>
                <w:szCs w:val="24"/>
                <w:lang w:val="pt-BR" w:eastAsia="pt-BR"/>
              </w:rPr>
              <w:t>NDVI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0572A1" w14:textId="0BF34C33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F0B54">
              <w:rPr>
                <w:sz w:val="24"/>
                <w:szCs w:val="24"/>
                <w:lang w:val="pt-BR" w:eastAsia="pt-BR"/>
              </w:rPr>
              <w:t>Tempe</w:t>
            </w:r>
            <w:r w:rsidR="00AF0B54">
              <w:rPr>
                <w:sz w:val="24"/>
                <w:szCs w:val="24"/>
                <w:lang w:val="pt-BR" w:eastAsia="pt-BR"/>
              </w:rPr>
              <w:t>r</w:t>
            </w:r>
            <w:r w:rsidRPr="00AF0B54">
              <w:rPr>
                <w:sz w:val="24"/>
                <w:szCs w:val="24"/>
                <w:lang w:val="pt-BR" w:eastAsia="pt-BR"/>
              </w:rPr>
              <w:t>atura (°C)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70AB9" w14:textId="45026BBF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Umidade Relativa (%)</w:t>
            </w:r>
          </w:p>
        </w:tc>
      </w:tr>
      <w:tr w:rsidR="00FB153B" w:rsidRPr="00C3793F" w14:paraId="2826AC3E" w14:textId="48B1D900" w:rsidTr="00A85788">
        <w:trPr>
          <w:tblCellSpacing w:w="15" w:type="dxa"/>
          <w:jc w:val="center"/>
        </w:trPr>
        <w:tc>
          <w:tcPr>
            <w:tcW w:w="444" w:type="dxa"/>
            <w:vAlign w:val="center"/>
            <w:hideMark/>
          </w:tcPr>
          <w:p w14:paraId="78BCC52E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Jan</w:t>
            </w:r>
          </w:p>
        </w:tc>
        <w:tc>
          <w:tcPr>
            <w:tcW w:w="1794" w:type="dxa"/>
            <w:vAlign w:val="center"/>
            <w:hideMark/>
          </w:tcPr>
          <w:p w14:paraId="7CE58066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0,41</w:t>
            </w:r>
          </w:p>
        </w:tc>
        <w:tc>
          <w:tcPr>
            <w:tcW w:w="1104" w:type="dxa"/>
            <w:vAlign w:val="center"/>
            <w:hideMark/>
          </w:tcPr>
          <w:p w14:paraId="0B7BD1A7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0,64</w:t>
            </w:r>
          </w:p>
        </w:tc>
        <w:tc>
          <w:tcPr>
            <w:tcW w:w="1388" w:type="dxa"/>
            <w:vAlign w:val="center"/>
          </w:tcPr>
          <w:p w14:paraId="4C1439A8" w14:textId="267CC91E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26,3</w:t>
            </w:r>
          </w:p>
        </w:tc>
        <w:tc>
          <w:tcPr>
            <w:tcW w:w="3372" w:type="dxa"/>
            <w:gridSpan w:val="2"/>
            <w:vAlign w:val="center"/>
          </w:tcPr>
          <w:p w14:paraId="358F890C" w14:textId="08EC553B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74,9</w:t>
            </w:r>
          </w:p>
        </w:tc>
        <w:tc>
          <w:tcPr>
            <w:tcW w:w="50" w:type="dxa"/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95"/>
            </w:tblGrid>
            <w:tr w:rsidR="00FB153B" w:rsidRPr="00C3793F" w14:paraId="7A988E09" w14:textId="77777777" w:rsidTr="00FB153B">
              <w:trPr>
                <w:tblHeader/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6C25BC04" w14:textId="67A5FCE2" w:rsidR="00FB153B" w:rsidRPr="00C3793F" w:rsidRDefault="00FB153B" w:rsidP="0051483C">
                  <w:pPr>
                    <w:widowControl/>
                    <w:autoSpaceDE/>
                    <w:autoSpaceDN/>
                    <w:rPr>
                      <w:b/>
                      <w:bCs/>
                      <w:sz w:val="24"/>
                      <w:szCs w:val="24"/>
                      <w:lang w:val="pt-BR" w:eastAsia="pt-BR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14:paraId="7EAAD41E" w14:textId="77777777" w:rsidR="00FB153B" w:rsidRPr="00C3793F" w:rsidRDefault="00FB153B" w:rsidP="0051483C">
                  <w:pPr>
                    <w:widowControl/>
                    <w:autoSpaceDE/>
                    <w:autoSpaceDN/>
                    <w:rPr>
                      <w:b/>
                      <w:bCs/>
                      <w:sz w:val="24"/>
                      <w:szCs w:val="24"/>
                      <w:lang w:val="pt-BR" w:eastAsia="pt-BR"/>
                    </w:rPr>
                  </w:pPr>
                </w:p>
              </w:tc>
            </w:tr>
          </w:tbl>
          <w:p w14:paraId="69DEBD00" w14:textId="77777777" w:rsidR="00FB153B" w:rsidRPr="00C3793F" w:rsidRDefault="00FB153B" w:rsidP="0051483C">
            <w:pPr>
              <w:rPr>
                <w:sz w:val="24"/>
                <w:szCs w:val="24"/>
                <w:lang w:val="pt-BR" w:eastAsia="pt-BR"/>
              </w:rPr>
            </w:pPr>
          </w:p>
        </w:tc>
        <w:tc>
          <w:tcPr>
            <w:tcW w:w="50" w:type="dxa"/>
            <w:vAlign w:val="center"/>
          </w:tcPr>
          <w:p w14:paraId="21058756" w14:textId="77777777" w:rsidR="00FB153B" w:rsidRPr="00C3793F" w:rsidRDefault="00FB153B" w:rsidP="0051483C">
            <w:pPr>
              <w:rPr>
                <w:sz w:val="24"/>
                <w:szCs w:val="24"/>
                <w:lang w:val="pt-BR" w:eastAsia="pt-BR"/>
              </w:rPr>
            </w:pPr>
          </w:p>
        </w:tc>
      </w:tr>
      <w:tr w:rsidR="00FB153B" w:rsidRPr="00C3793F" w14:paraId="26FEBBDE" w14:textId="5DCBA287" w:rsidTr="00A85788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  <w:hideMark/>
          </w:tcPr>
          <w:p w14:paraId="6EAA7F51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proofErr w:type="spellStart"/>
            <w:r w:rsidRPr="00C3793F">
              <w:rPr>
                <w:sz w:val="24"/>
                <w:szCs w:val="24"/>
                <w:lang w:val="pt-BR" w:eastAsia="pt-BR"/>
              </w:rPr>
              <w:t>Fev</w:t>
            </w:r>
            <w:proofErr w:type="spellEnd"/>
          </w:p>
        </w:tc>
        <w:tc>
          <w:tcPr>
            <w:tcW w:w="1794" w:type="dxa"/>
            <w:vAlign w:val="center"/>
            <w:hideMark/>
          </w:tcPr>
          <w:p w14:paraId="1DE33A7E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0,41</w:t>
            </w:r>
          </w:p>
        </w:tc>
        <w:tc>
          <w:tcPr>
            <w:tcW w:w="1104" w:type="dxa"/>
            <w:vAlign w:val="center"/>
            <w:hideMark/>
          </w:tcPr>
          <w:p w14:paraId="3147B530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0,62</w:t>
            </w:r>
          </w:p>
        </w:tc>
        <w:tc>
          <w:tcPr>
            <w:tcW w:w="1388" w:type="dxa"/>
            <w:vAlign w:val="center"/>
          </w:tcPr>
          <w:p w14:paraId="4F9B7761" w14:textId="1C3C5B6B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26,3</w:t>
            </w:r>
          </w:p>
        </w:tc>
        <w:tc>
          <w:tcPr>
            <w:tcW w:w="3372" w:type="dxa"/>
            <w:gridSpan w:val="2"/>
            <w:vAlign w:val="center"/>
          </w:tcPr>
          <w:p w14:paraId="574FE74E" w14:textId="6D8E7FEA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73,5</w:t>
            </w:r>
          </w:p>
        </w:tc>
      </w:tr>
      <w:tr w:rsidR="00FB153B" w:rsidRPr="00C3793F" w14:paraId="235167DB" w14:textId="3A9B4F45" w:rsidTr="00A85788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  <w:hideMark/>
          </w:tcPr>
          <w:p w14:paraId="157A0DCA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Mar</w:t>
            </w:r>
          </w:p>
        </w:tc>
        <w:tc>
          <w:tcPr>
            <w:tcW w:w="1794" w:type="dxa"/>
            <w:vAlign w:val="center"/>
            <w:hideMark/>
          </w:tcPr>
          <w:p w14:paraId="066FC592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0,35</w:t>
            </w:r>
          </w:p>
        </w:tc>
        <w:tc>
          <w:tcPr>
            <w:tcW w:w="1104" w:type="dxa"/>
            <w:vAlign w:val="center"/>
            <w:hideMark/>
          </w:tcPr>
          <w:p w14:paraId="08FB1496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0,54</w:t>
            </w:r>
          </w:p>
        </w:tc>
        <w:tc>
          <w:tcPr>
            <w:tcW w:w="1388" w:type="dxa"/>
            <w:vAlign w:val="center"/>
          </w:tcPr>
          <w:p w14:paraId="16554ECB" w14:textId="528BD157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26,7</w:t>
            </w:r>
          </w:p>
        </w:tc>
        <w:tc>
          <w:tcPr>
            <w:tcW w:w="3372" w:type="dxa"/>
            <w:gridSpan w:val="2"/>
            <w:vAlign w:val="center"/>
          </w:tcPr>
          <w:p w14:paraId="7BE94F35" w14:textId="0ECE18CA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69,0</w:t>
            </w:r>
          </w:p>
        </w:tc>
      </w:tr>
      <w:tr w:rsidR="00FB153B" w:rsidRPr="00C3793F" w14:paraId="36DB8F6E" w14:textId="03B4F94D" w:rsidTr="00A85788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  <w:hideMark/>
          </w:tcPr>
          <w:p w14:paraId="0509FA3A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proofErr w:type="spellStart"/>
            <w:r w:rsidRPr="00C3793F">
              <w:rPr>
                <w:sz w:val="24"/>
                <w:szCs w:val="24"/>
                <w:lang w:val="pt-BR" w:eastAsia="pt-BR"/>
              </w:rPr>
              <w:t>Abr</w:t>
            </w:r>
            <w:proofErr w:type="spellEnd"/>
          </w:p>
        </w:tc>
        <w:tc>
          <w:tcPr>
            <w:tcW w:w="1794" w:type="dxa"/>
            <w:vAlign w:val="center"/>
            <w:hideMark/>
          </w:tcPr>
          <w:p w14:paraId="6AD1495A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0,38</w:t>
            </w:r>
          </w:p>
        </w:tc>
        <w:tc>
          <w:tcPr>
            <w:tcW w:w="1104" w:type="dxa"/>
            <w:vAlign w:val="center"/>
            <w:hideMark/>
          </w:tcPr>
          <w:p w14:paraId="79F7EA11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0,59</w:t>
            </w:r>
          </w:p>
        </w:tc>
        <w:tc>
          <w:tcPr>
            <w:tcW w:w="1388" w:type="dxa"/>
            <w:vAlign w:val="center"/>
          </w:tcPr>
          <w:p w14:paraId="172EAEC5" w14:textId="58EADCA8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24,8</w:t>
            </w:r>
          </w:p>
        </w:tc>
        <w:tc>
          <w:tcPr>
            <w:tcW w:w="3372" w:type="dxa"/>
            <w:gridSpan w:val="2"/>
            <w:vAlign w:val="center"/>
          </w:tcPr>
          <w:p w14:paraId="050B1066" w14:textId="1399BCB3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75,8</w:t>
            </w:r>
          </w:p>
        </w:tc>
      </w:tr>
      <w:tr w:rsidR="00FB153B" w:rsidRPr="00C3793F" w14:paraId="3494AA42" w14:textId="55F84DB1" w:rsidTr="00A85788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  <w:hideMark/>
          </w:tcPr>
          <w:p w14:paraId="201A2F2D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Mai</w:t>
            </w:r>
          </w:p>
        </w:tc>
        <w:tc>
          <w:tcPr>
            <w:tcW w:w="1794" w:type="dxa"/>
            <w:vAlign w:val="center"/>
            <w:hideMark/>
          </w:tcPr>
          <w:p w14:paraId="27909E60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0,40</w:t>
            </w:r>
          </w:p>
        </w:tc>
        <w:tc>
          <w:tcPr>
            <w:tcW w:w="1104" w:type="dxa"/>
            <w:vAlign w:val="center"/>
            <w:hideMark/>
          </w:tcPr>
          <w:p w14:paraId="72189839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0,61</w:t>
            </w:r>
          </w:p>
        </w:tc>
        <w:tc>
          <w:tcPr>
            <w:tcW w:w="1388" w:type="dxa"/>
            <w:vAlign w:val="center"/>
          </w:tcPr>
          <w:p w14:paraId="391A74A0" w14:textId="45200201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22,4</w:t>
            </w:r>
          </w:p>
        </w:tc>
        <w:tc>
          <w:tcPr>
            <w:tcW w:w="3372" w:type="dxa"/>
            <w:gridSpan w:val="2"/>
            <w:vAlign w:val="center"/>
          </w:tcPr>
          <w:p w14:paraId="297E8E3F" w14:textId="0BE8E52A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68,5</w:t>
            </w:r>
          </w:p>
        </w:tc>
      </w:tr>
      <w:tr w:rsidR="00FB153B" w:rsidRPr="00C3793F" w14:paraId="13B705EE" w14:textId="1719ACF9" w:rsidTr="00A85788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  <w:hideMark/>
          </w:tcPr>
          <w:p w14:paraId="46548104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proofErr w:type="spellStart"/>
            <w:r w:rsidRPr="00C3793F">
              <w:rPr>
                <w:sz w:val="24"/>
                <w:szCs w:val="24"/>
                <w:lang w:val="pt-BR" w:eastAsia="pt-BR"/>
              </w:rPr>
              <w:t>Jun</w:t>
            </w:r>
            <w:proofErr w:type="spellEnd"/>
          </w:p>
        </w:tc>
        <w:tc>
          <w:tcPr>
            <w:tcW w:w="1794" w:type="dxa"/>
            <w:vAlign w:val="center"/>
            <w:hideMark/>
          </w:tcPr>
          <w:p w14:paraId="32E64488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0,35</w:t>
            </w:r>
          </w:p>
        </w:tc>
        <w:tc>
          <w:tcPr>
            <w:tcW w:w="1104" w:type="dxa"/>
            <w:vAlign w:val="center"/>
            <w:hideMark/>
          </w:tcPr>
          <w:p w14:paraId="46DFD339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0,55</w:t>
            </w:r>
          </w:p>
        </w:tc>
        <w:tc>
          <w:tcPr>
            <w:tcW w:w="1388" w:type="dxa"/>
            <w:vAlign w:val="center"/>
          </w:tcPr>
          <w:p w14:paraId="59CEBF12" w14:textId="77F9CC8F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21,5</w:t>
            </w:r>
          </w:p>
        </w:tc>
        <w:tc>
          <w:tcPr>
            <w:tcW w:w="3372" w:type="dxa"/>
            <w:gridSpan w:val="2"/>
            <w:vAlign w:val="center"/>
          </w:tcPr>
          <w:p w14:paraId="35BBF964" w14:textId="00AC3056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60,2</w:t>
            </w:r>
          </w:p>
        </w:tc>
      </w:tr>
      <w:tr w:rsidR="00FB153B" w:rsidRPr="00C3793F" w14:paraId="44D0B723" w14:textId="565EA990" w:rsidTr="00A85788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  <w:hideMark/>
          </w:tcPr>
          <w:p w14:paraId="6F6B353A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Jul</w:t>
            </w:r>
          </w:p>
        </w:tc>
        <w:tc>
          <w:tcPr>
            <w:tcW w:w="1794" w:type="dxa"/>
            <w:vAlign w:val="center"/>
            <w:hideMark/>
          </w:tcPr>
          <w:p w14:paraId="7EE5F3FE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0,27</w:t>
            </w:r>
          </w:p>
        </w:tc>
        <w:tc>
          <w:tcPr>
            <w:tcW w:w="1104" w:type="dxa"/>
            <w:vAlign w:val="center"/>
            <w:hideMark/>
          </w:tcPr>
          <w:p w14:paraId="56CE5647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0,44</w:t>
            </w:r>
          </w:p>
        </w:tc>
        <w:tc>
          <w:tcPr>
            <w:tcW w:w="1388" w:type="dxa"/>
            <w:vAlign w:val="center"/>
          </w:tcPr>
          <w:p w14:paraId="694A0698" w14:textId="45296EE1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22,0</w:t>
            </w:r>
          </w:p>
        </w:tc>
        <w:tc>
          <w:tcPr>
            <w:tcW w:w="3372" w:type="dxa"/>
            <w:gridSpan w:val="2"/>
            <w:vAlign w:val="center"/>
          </w:tcPr>
          <w:p w14:paraId="52FB1254" w14:textId="68C70FEF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52,8</w:t>
            </w:r>
          </w:p>
        </w:tc>
      </w:tr>
      <w:tr w:rsidR="00FB153B" w:rsidRPr="00C3793F" w14:paraId="31C931D1" w14:textId="5BC41F10" w:rsidTr="00A85788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  <w:hideMark/>
          </w:tcPr>
          <w:p w14:paraId="160E8F49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proofErr w:type="spellStart"/>
            <w:r w:rsidRPr="00C3793F">
              <w:rPr>
                <w:sz w:val="24"/>
                <w:szCs w:val="24"/>
                <w:lang w:val="pt-BR" w:eastAsia="pt-BR"/>
              </w:rPr>
              <w:t>Ago</w:t>
            </w:r>
            <w:proofErr w:type="spellEnd"/>
          </w:p>
        </w:tc>
        <w:tc>
          <w:tcPr>
            <w:tcW w:w="1794" w:type="dxa"/>
            <w:vAlign w:val="center"/>
            <w:hideMark/>
          </w:tcPr>
          <w:p w14:paraId="479BA7A1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0,22</w:t>
            </w:r>
          </w:p>
        </w:tc>
        <w:tc>
          <w:tcPr>
            <w:tcW w:w="1104" w:type="dxa"/>
            <w:vAlign w:val="center"/>
            <w:hideMark/>
          </w:tcPr>
          <w:p w14:paraId="397AA999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0,32</w:t>
            </w:r>
          </w:p>
        </w:tc>
        <w:tc>
          <w:tcPr>
            <w:tcW w:w="1388" w:type="dxa"/>
            <w:vAlign w:val="center"/>
          </w:tcPr>
          <w:p w14:paraId="0E61ADE1" w14:textId="618F7AFD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24,8</w:t>
            </w:r>
          </w:p>
        </w:tc>
        <w:tc>
          <w:tcPr>
            <w:tcW w:w="3372" w:type="dxa"/>
            <w:gridSpan w:val="2"/>
            <w:vAlign w:val="center"/>
          </w:tcPr>
          <w:p w14:paraId="2D29724C" w14:textId="37BB229C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46,1</w:t>
            </w:r>
          </w:p>
        </w:tc>
      </w:tr>
      <w:tr w:rsidR="00FB153B" w:rsidRPr="00C3793F" w14:paraId="772D996F" w14:textId="30895D0F" w:rsidTr="00A85788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  <w:hideMark/>
          </w:tcPr>
          <w:p w14:paraId="0E88F399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Set</w:t>
            </w:r>
          </w:p>
        </w:tc>
        <w:tc>
          <w:tcPr>
            <w:tcW w:w="1794" w:type="dxa"/>
            <w:vAlign w:val="center"/>
            <w:hideMark/>
          </w:tcPr>
          <w:p w14:paraId="36F5F1CD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0,18</w:t>
            </w:r>
          </w:p>
        </w:tc>
        <w:tc>
          <w:tcPr>
            <w:tcW w:w="1104" w:type="dxa"/>
            <w:vAlign w:val="center"/>
            <w:hideMark/>
          </w:tcPr>
          <w:p w14:paraId="144A0850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0,28</w:t>
            </w:r>
          </w:p>
        </w:tc>
        <w:tc>
          <w:tcPr>
            <w:tcW w:w="1388" w:type="dxa"/>
            <w:vAlign w:val="center"/>
          </w:tcPr>
          <w:p w14:paraId="5C2EE1C4" w14:textId="586E202A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27,6</w:t>
            </w:r>
          </w:p>
        </w:tc>
        <w:tc>
          <w:tcPr>
            <w:tcW w:w="3372" w:type="dxa"/>
            <w:gridSpan w:val="2"/>
            <w:vAlign w:val="center"/>
          </w:tcPr>
          <w:p w14:paraId="28C5B76B" w14:textId="212B975C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39,4</w:t>
            </w:r>
          </w:p>
        </w:tc>
      </w:tr>
      <w:tr w:rsidR="00FB153B" w:rsidRPr="00C3793F" w14:paraId="37444992" w14:textId="14405468" w:rsidTr="00A85788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  <w:hideMark/>
          </w:tcPr>
          <w:p w14:paraId="2B643641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Out</w:t>
            </w:r>
          </w:p>
        </w:tc>
        <w:tc>
          <w:tcPr>
            <w:tcW w:w="1794" w:type="dxa"/>
            <w:vAlign w:val="center"/>
            <w:hideMark/>
          </w:tcPr>
          <w:p w14:paraId="3E822A10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0,23</w:t>
            </w:r>
          </w:p>
        </w:tc>
        <w:tc>
          <w:tcPr>
            <w:tcW w:w="1104" w:type="dxa"/>
            <w:vAlign w:val="center"/>
            <w:hideMark/>
          </w:tcPr>
          <w:p w14:paraId="22948879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0,37</w:t>
            </w:r>
          </w:p>
        </w:tc>
        <w:tc>
          <w:tcPr>
            <w:tcW w:w="1388" w:type="dxa"/>
            <w:vAlign w:val="center"/>
          </w:tcPr>
          <w:p w14:paraId="1EA09DCD" w14:textId="13D4C673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28,2</w:t>
            </w:r>
          </w:p>
        </w:tc>
        <w:tc>
          <w:tcPr>
            <w:tcW w:w="3372" w:type="dxa"/>
            <w:gridSpan w:val="2"/>
            <w:vAlign w:val="center"/>
          </w:tcPr>
          <w:p w14:paraId="3D87DA78" w14:textId="205A7259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48,7</w:t>
            </w:r>
          </w:p>
        </w:tc>
      </w:tr>
      <w:tr w:rsidR="00FB153B" w:rsidRPr="00C3793F" w14:paraId="32EA6919" w14:textId="36A53B11" w:rsidTr="00A85788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  <w:hideMark/>
          </w:tcPr>
          <w:p w14:paraId="51C7480B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proofErr w:type="spellStart"/>
            <w:r w:rsidRPr="00C3793F">
              <w:rPr>
                <w:sz w:val="24"/>
                <w:szCs w:val="24"/>
                <w:lang w:val="pt-BR" w:eastAsia="pt-BR"/>
              </w:rPr>
              <w:t>Nov</w:t>
            </w:r>
            <w:proofErr w:type="spellEnd"/>
          </w:p>
        </w:tc>
        <w:tc>
          <w:tcPr>
            <w:tcW w:w="1794" w:type="dxa"/>
            <w:vAlign w:val="center"/>
            <w:hideMark/>
          </w:tcPr>
          <w:p w14:paraId="6523BE50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0,31</w:t>
            </w:r>
          </w:p>
        </w:tc>
        <w:tc>
          <w:tcPr>
            <w:tcW w:w="1104" w:type="dxa"/>
            <w:vAlign w:val="center"/>
            <w:hideMark/>
          </w:tcPr>
          <w:p w14:paraId="2748E79E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0,50</w:t>
            </w:r>
          </w:p>
        </w:tc>
        <w:tc>
          <w:tcPr>
            <w:tcW w:w="1388" w:type="dxa"/>
            <w:vAlign w:val="center"/>
          </w:tcPr>
          <w:p w14:paraId="3235F969" w14:textId="64CDDF6D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26,8</w:t>
            </w:r>
          </w:p>
        </w:tc>
        <w:tc>
          <w:tcPr>
            <w:tcW w:w="3372" w:type="dxa"/>
            <w:gridSpan w:val="2"/>
            <w:vAlign w:val="center"/>
          </w:tcPr>
          <w:p w14:paraId="49F585B9" w14:textId="48E19693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63,5</w:t>
            </w:r>
          </w:p>
        </w:tc>
      </w:tr>
      <w:tr w:rsidR="00FB153B" w:rsidRPr="00C3793F" w14:paraId="7B2B7A7A" w14:textId="1E0ED16E" w:rsidTr="00E155F0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  <w:hideMark/>
          </w:tcPr>
          <w:p w14:paraId="65CEAF9C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Dez</w:t>
            </w:r>
          </w:p>
        </w:tc>
        <w:tc>
          <w:tcPr>
            <w:tcW w:w="1794" w:type="dxa"/>
            <w:vAlign w:val="center"/>
            <w:hideMark/>
          </w:tcPr>
          <w:p w14:paraId="4533D11C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0,39</w:t>
            </w:r>
          </w:p>
        </w:tc>
        <w:tc>
          <w:tcPr>
            <w:tcW w:w="1104" w:type="dxa"/>
            <w:vAlign w:val="center"/>
            <w:hideMark/>
          </w:tcPr>
          <w:p w14:paraId="6FE9E60D" w14:textId="77777777" w:rsidR="00FB153B" w:rsidRPr="00C3793F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C3793F">
              <w:rPr>
                <w:sz w:val="24"/>
                <w:szCs w:val="24"/>
                <w:lang w:val="pt-BR" w:eastAsia="pt-BR"/>
              </w:rPr>
              <w:t>0,60</w:t>
            </w:r>
          </w:p>
        </w:tc>
        <w:tc>
          <w:tcPr>
            <w:tcW w:w="1388" w:type="dxa"/>
            <w:vAlign w:val="center"/>
          </w:tcPr>
          <w:p w14:paraId="3EC5B8C5" w14:textId="49013489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25,9</w:t>
            </w:r>
          </w:p>
        </w:tc>
        <w:tc>
          <w:tcPr>
            <w:tcW w:w="3372" w:type="dxa"/>
            <w:gridSpan w:val="2"/>
            <w:vAlign w:val="center"/>
          </w:tcPr>
          <w:p w14:paraId="0C21CE3A" w14:textId="115A61DE" w:rsidR="00FB153B" w:rsidRPr="00AF0B54" w:rsidRDefault="00FB153B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 w:rsidRPr="00A91199">
              <w:rPr>
                <w:sz w:val="24"/>
                <w:szCs w:val="24"/>
                <w:lang w:val="pt-BR" w:eastAsia="pt-BR"/>
              </w:rPr>
              <w:t>72,4</w:t>
            </w:r>
          </w:p>
        </w:tc>
      </w:tr>
      <w:tr w:rsidR="00262417" w:rsidRPr="00C3793F" w14:paraId="2CEE8D9F" w14:textId="77777777" w:rsidTr="00E155F0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</w:tcPr>
          <w:p w14:paraId="225CED30" w14:textId="77777777" w:rsidR="00262417" w:rsidRPr="00C3793F" w:rsidRDefault="00262417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</w:p>
        </w:tc>
        <w:tc>
          <w:tcPr>
            <w:tcW w:w="1794" w:type="dxa"/>
            <w:vAlign w:val="center"/>
          </w:tcPr>
          <w:p w14:paraId="62041E95" w14:textId="77777777" w:rsidR="00262417" w:rsidRPr="00C3793F" w:rsidRDefault="00262417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</w:p>
        </w:tc>
        <w:tc>
          <w:tcPr>
            <w:tcW w:w="1104" w:type="dxa"/>
            <w:vAlign w:val="center"/>
          </w:tcPr>
          <w:p w14:paraId="5316134B" w14:textId="77777777" w:rsidR="00262417" w:rsidRPr="00C3793F" w:rsidRDefault="00262417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</w:p>
        </w:tc>
        <w:tc>
          <w:tcPr>
            <w:tcW w:w="1388" w:type="dxa"/>
            <w:vAlign w:val="center"/>
          </w:tcPr>
          <w:p w14:paraId="10EF03EF" w14:textId="77777777" w:rsidR="00262417" w:rsidRPr="00A91199" w:rsidRDefault="00262417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</w:p>
        </w:tc>
        <w:tc>
          <w:tcPr>
            <w:tcW w:w="3372" w:type="dxa"/>
            <w:gridSpan w:val="2"/>
            <w:vAlign w:val="center"/>
          </w:tcPr>
          <w:p w14:paraId="3C769994" w14:textId="77777777" w:rsidR="00262417" w:rsidRPr="00A91199" w:rsidRDefault="00262417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</w:p>
        </w:tc>
      </w:tr>
      <w:tr w:rsidR="00E155F0" w:rsidRPr="00C3793F" w14:paraId="3C7E8398" w14:textId="77777777" w:rsidTr="00E155F0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vAlign w:val="center"/>
          </w:tcPr>
          <w:p w14:paraId="0908DA2A" w14:textId="352A62E3" w:rsidR="00E155F0" w:rsidRPr="00C3793F" w:rsidRDefault="00E72B46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>
              <w:rPr>
                <w:sz w:val="24"/>
                <w:szCs w:val="24"/>
                <w:lang w:val="pt-BR" w:eastAsia="pt-BR"/>
              </w:rPr>
              <w:t>r</w:t>
            </w:r>
          </w:p>
        </w:tc>
        <w:tc>
          <w:tcPr>
            <w:tcW w:w="1794" w:type="dxa"/>
            <w:vAlign w:val="center"/>
          </w:tcPr>
          <w:p w14:paraId="33A63681" w14:textId="77777777" w:rsidR="00E155F0" w:rsidRPr="00C3793F" w:rsidRDefault="00E155F0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</w:p>
        </w:tc>
        <w:tc>
          <w:tcPr>
            <w:tcW w:w="1104" w:type="dxa"/>
            <w:vAlign w:val="center"/>
          </w:tcPr>
          <w:p w14:paraId="0A85C404" w14:textId="7E6E3770" w:rsidR="00E155F0" w:rsidRPr="00C3793F" w:rsidRDefault="00E155F0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>
              <w:rPr>
                <w:sz w:val="24"/>
                <w:szCs w:val="24"/>
                <w:lang w:val="pt-BR" w:eastAsia="pt-BR"/>
              </w:rPr>
              <w:t>0,99</w:t>
            </w:r>
            <w:r w:rsidR="00262417">
              <w:rPr>
                <w:sz w:val="24"/>
                <w:szCs w:val="24"/>
                <w:lang w:val="pt-BR" w:eastAsia="pt-BR"/>
              </w:rPr>
              <w:t>77</w:t>
            </w:r>
          </w:p>
        </w:tc>
        <w:tc>
          <w:tcPr>
            <w:tcW w:w="1388" w:type="dxa"/>
            <w:vAlign w:val="center"/>
          </w:tcPr>
          <w:p w14:paraId="48BD7610" w14:textId="548EF21F" w:rsidR="00E155F0" w:rsidRPr="00A91199" w:rsidRDefault="00E155F0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>
              <w:rPr>
                <w:sz w:val="24"/>
                <w:szCs w:val="24"/>
                <w:lang w:val="pt-BR" w:eastAsia="pt-BR"/>
              </w:rPr>
              <w:t>0,0519</w:t>
            </w:r>
          </w:p>
        </w:tc>
        <w:tc>
          <w:tcPr>
            <w:tcW w:w="3372" w:type="dxa"/>
            <w:gridSpan w:val="2"/>
            <w:vAlign w:val="center"/>
          </w:tcPr>
          <w:p w14:paraId="27672EE3" w14:textId="27597154" w:rsidR="00E155F0" w:rsidRPr="00A91199" w:rsidRDefault="00E155F0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>
              <w:rPr>
                <w:sz w:val="24"/>
                <w:szCs w:val="24"/>
                <w:lang w:val="pt-BR" w:eastAsia="pt-BR"/>
              </w:rPr>
              <w:t>0,9375</w:t>
            </w:r>
          </w:p>
        </w:tc>
      </w:tr>
      <w:tr w:rsidR="00E155F0" w:rsidRPr="00C3793F" w14:paraId="06BD96E1" w14:textId="77777777" w:rsidTr="00A85788">
        <w:trPr>
          <w:gridAfter w:val="2"/>
          <w:wAfter w:w="130" w:type="dxa"/>
          <w:tblCellSpacing w:w="15" w:type="dxa"/>
          <w:jc w:val="center"/>
        </w:trPr>
        <w:tc>
          <w:tcPr>
            <w:tcW w:w="444" w:type="dxa"/>
            <w:tcBorders>
              <w:bottom w:val="single" w:sz="4" w:space="0" w:color="auto"/>
            </w:tcBorders>
            <w:vAlign w:val="center"/>
          </w:tcPr>
          <w:p w14:paraId="6A21816B" w14:textId="0A31C8C5" w:rsidR="00E155F0" w:rsidRPr="00E155F0" w:rsidRDefault="00E155F0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vertAlign w:val="superscript"/>
                <w:lang w:val="pt-BR" w:eastAsia="pt-BR"/>
              </w:rPr>
            </w:pPr>
            <w:r>
              <w:rPr>
                <w:sz w:val="24"/>
                <w:szCs w:val="24"/>
                <w:lang w:val="pt-BR" w:eastAsia="pt-BR"/>
              </w:rPr>
              <w:t>R</w:t>
            </w:r>
            <w:r>
              <w:rPr>
                <w:sz w:val="24"/>
                <w:szCs w:val="24"/>
                <w:vertAlign w:val="superscript"/>
                <w:lang w:val="pt-BR" w:eastAsia="pt-BR"/>
              </w:rPr>
              <w:t>2</w:t>
            </w:r>
          </w:p>
        </w:tc>
        <w:tc>
          <w:tcPr>
            <w:tcW w:w="1794" w:type="dxa"/>
            <w:tcBorders>
              <w:bottom w:val="single" w:sz="4" w:space="0" w:color="auto"/>
            </w:tcBorders>
            <w:vAlign w:val="center"/>
          </w:tcPr>
          <w:p w14:paraId="226EC7F4" w14:textId="77777777" w:rsidR="00E155F0" w:rsidRPr="00C3793F" w:rsidRDefault="00E155F0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</w:tcPr>
          <w:p w14:paraId="0EF9AC91" w14:textId="0B5C4472" w:rsidR="00E155F0" w:rsidRPr="00C3793F" w:rsidRDefault="00E155F0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>
              <w:rPr>
                <w:sz w:val="24"/>
                <w:szCs w:val="24"/>
                <w:lang w:val="pt-BR" w:eastAsia="pt-BR"/>
              </w:rPr>
              <w:t>0,99</w:t>
            </w:r>
            <w:r w:rsidR="00262417">
              <w:rPr>
                <w:sz w:val="24"/>
                <w:szCs w:val="24"/>
                <w:lang w:val="pt-BR" w:eastAsia="pt-BR"/>
              </w:rPr>
              <w:t>54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14:paraId="1B5DF0BF" w14:textId="7C3E7991" w:rsidR="00E155F0" w:rsidRPr="00A91199" w:rsidRDefault="00E155F0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>
              <w:rPr>
                <w:sz w:val="24"/>
                <w:szCs w:val="24"/>
                <w:lang w:val="pt-BR" w:eastAsia="pt-BR"/>
              </w:rPr>
              <w:t>0,00</w:t>
            </w:r>
            <w:r w:rsidR="00262417">
              <w:rPr>
                <w:sz w:val="24"/>
                <w:szCs w:val="24"/>
                <w:lang w:val="pt-BR" w:eastAsia="pt-BR"/>
              </w:rPr>
              <w:t>27</w:t>
            </w:r>
          </w:p>
        </w:tc>
        <w:tc>
          <w:tcPr>
            <w:tcW w:w="3372" w:type="dxa"/>
            <w:gridSpan w:val="2"/>
            <w:tcBorders>
              <w:bottom w:val="single" w:sz="4" w:space="0" w:color="auto"/>
            </w:tcBorders>
            <w:vAlign w:val="center"/>
          </w:tcPr>
          <w:p w14:paraId="7DE9A075" w14:textId="233AD0B1" w:rsidR="00E155F0" w:rsidRPr="00A91199" w:rsidRDefault="00E155F0" w:rsidP="0051483C">
            <w:pPr>
              <w:widowControl/>
              <w:autoSpaceDE/>
              <w:autoSpaceDN/>
              <w:jc w:val="center"/>
              <w:rPr>
                <w:sz w:val="24"/>
                <w:szCs w:val="24"/>
                <w:lang w:val="pt-BR" w:eastAsia="pt-BR"/>
              </w:rPr>
            </w:pPr>
            <w:r>
              <w:rPr>
                <w:sz w:val="24"/>
                <w:szCs w:val="24"/>
                <w:lang w:val="pt-BR" w:eastAsia="pt-BR"/>
              </w:rPr>
              <w:t>0,87</w:t>
            </w:r>
            <w:r w:rsidR="00E72B46">
              <w:rPr>
                <w:sz w:val="24"/>
                <w:szCs w:val="24"/>
                <w:lang w:val="pt-BR" w:eastAsia="pt-BR"/>
              </w:rPr>
              <w:t>90</w:t>
            </w:r>
          </w:p>
        </w:tc>
      </w:tr>
    </w:tbl>
    <w:p w14:paraId="7149C7E0" w14:textId="6560CE3E" w:rsidR="00C3793F" w:rsidRPr="00E72B46" w:rsidRDefault="00FB153B" w:rsidP="00FB153B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063782">
        <w:rPr>
          <w:rStyle w:val="Forte"/>
          <w:b w:val="0"/>
          <w:bCs w:val="0"/>
          <w:sz w:val="20"/>
          <w:szCs w:val="20"/>
        </w:rPr>
        <w:t>Fonte:</w:t>
      </w:r>
      <w:r w:rsidRPr="00063782">
        <w:rPr>
          <w:sz w:val="20"/>
          <w:szCs w:val="20"/>
        </w:rPr>
        <w:t xml:space="preserve"> Estação </w:t>
      </w:r>
      <w:proofErr w:type="spellStart"/>
      <w:r w:rsidRPr="00063782">
        <w:rPr>
          <w:sz w:val="20"/>
          <w:szCs w:val="20"/>
        </w:rPr>
        <w:t>Agrometeorológica</w:t>
      </w:r>
      <w:proofErr w:type="spellEnd"/>
      <w:r w:rsidRPr="00063782">
        <w:rPr>
          <w:sz w:val="20"/>
          <w:szCs w:val="20"/>
        </w:rPr>
        <w:t xml:space="preserve"> UEMG/Frutal</w:t>
      </w:r>
      <w:r w:rsidR="0090249A">
        <w:rPr>
          <w:sz w:val="20"/>
          <w:szCs w:val="20"/>
        </w:rPr>
        <w:t xml:space="preserve"> e </w:t>
      </w:r>
      <w:r w:rsidR="0090249A" w:rsidRPr="0090249A">
        <w:rPr>
          <w:i/>
          <w:iCs/>
          <w:sz w:val="20"/>
          <w:szCs w:val="20"/>
        </w:rPr>
        <w:t xml:space="preserve">Google Earth </w:t>
      </w:r>
      <w:proofErr w:type="spellStart"/>
      <w:r w:rsidR="0090249A" w:rsidRPr="0090249A">
        <w:rPr>
          <w:i/>
          <w:iCs/>
          <w:sz w:val="20"/>
          <w:szCs w:val="20"/>
        </w:rPr>
        <w:t>Engine</w:t>
      </w:r>
      <w:proofErr w:type="spellEnd"/>
      <w:r w:rsidRPr="00063782">
        <w:rPr>
          <w:sz w:val="20"/>
          <w:szCs w:val="20"/>
        </w:rPr>
        <w:t xml:space="preserve"> (202</w:t>
      </w:r>
      <w:r w:rsidR="0090249A">
        <w:rPr>
          <w:sz w:val="20"/>
          <w:szCs w:val="20"/>
        </w:rPr>
        <w:t>6</w:t>
      </w:r>
      <w:r w:rsidRPr="00063782">
        <w:rPr>
          <w:sz w:val="20"/>
          <w:szCs w:val="20"/>
        </w:rPr>
        <w:t>).</w:t>
      </w:r>
      <w:r w:rsidR="00717295">
        <w:rPr>
          <w:sz w:val="20"/>
          <w:szCs w:val="20"/>
        </w:rPr>
        <w:t xml:space="preserve"> </w:t>
      </w:r>
      <w:r w:rsidR="00E72B46">
        <w:rPr>
          <w:sz w:val="20"/>
          <w:szCs w:val="20"/>
        </w:rPr>
        <w:t>r</w:t>
      </w:r>
      <w:r w:rsidR="00717295">
        <w:rPr>
          <w:sz w:val="20"/>
          <w:szCs w:val="20"/>
        </w:rPr>
        <w:t xml:space="preserve"> = Co</w:t>
      </w:r>
      <w:r w:rsidR="00E72B46">
        <w:rPr>
          <w:sz w:val="20"/>
          <w:szCs w:val="20"/>
        </w:rPr>
        <w:t>eficiente de Correlação de Pearson (-1 a 1); R</w:t>
      </w:r>
      <w:r w:rsidR="00E72B46">
        <w:rPr>
          <w:sz w:val="20"/>
          <w:szCs w:val="20"/>
          <w:vertAlign w:val="superscript"/>
        </w:rPr>
        <w:t xml:space="preserve">2 </w:t>
      </w:r>
      <w:r w:rsidR="00E72B46">
        <w:rPr>
          <w:sz w:val="20"/>
          <w:szCs w:val="20"/>
        </w:rPr>
        <w:t>= Coeficiente de Determinação (0 a 1).</w:t>
      </w:r>
    </w:p>
    <w:p w14:paraId="2DBDC297" w14:textId="77777777" w:rsidR="00FB153B" w:rsidRPr="00FB153B" w:rsidRDefault="00FB153B" w:rsidP="00FB153B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</w:p>
    <w:p w14:paraId="0B2DA153" w14:textId="60EDED8B" w:rsidR="00063782" w:rsidRPr="00FB153B" w:rsidRDefault="00C3793F" w:rsidP="00FB153B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063782">
        <w:rPr>
          <w:sz w:val="24"/>
          <w:szCs w:val="24"/>
        </w:rPr>
        <w:t xml:space="preserve">A dinâmica temporal do CO₂flux acompanhou a variação do </w:t>
      </w:r>
      <w:r w:rsidRPr="00AF0B54">
        <w:rPr>
          <w:sz w:val="24"/>
          <w:szCs w:val="24"/>
        </w:rPr>
        <w:t>NDVI</w:t>
      </w:r>
      <w:r w:rsidRPr="00063782">
        <w:rPr>
          <w:sz w:val="24"/>
          <w:szCs w:val="24"/>
        </w:rPr>
        <w:t>, cujos maiores valores ocorreram entre janeiro (0,64) e fevereiro (0,62), indicando elevada densidade e vigor da cobertura vegetal</w:t>
      </w:r>
      <w:r w:rsidR="000726D9">
        <w:t xml:space="preserve">. </w:t>
      </w:r>
      <w:r w:rsidRPr="00063782">
        <w:rPr>
          <w:sz w:val="24"/>
          <w:szCs w:val="24"/>
        </w:rPr>
        <w:t>Em contrapartida, os menores valores do índice foram registrados entre agosto (0,32) e setembro (0,28), coincidindo com o período de maior déficit hídrico</w:t>
      </w:r>
      <w:r w:rsidR="00C764F5">
        <w:rPr>
          <w:sz w:val="24"/>
          <w:szCs w:val="24"/>
        </w:rPr>
        <w:t xml:space="preserve"> (</w:t>
      </w:r>
      <w:r w:rsidR="00262417">
        <w:rPr>
          <w:sz w:val="24"/>
          <w:szCs w:val="24"/>
        </w:rPr>
        <w:t>Figua</w:t>
      </w:r>
      <w:r w:rsidR="00C764F5">
        <w:rPr>
          <w:sz w:val="24"/>
          <w:szCs w:val="24"/>
        </w:rPr>
        <w:t xml:space="preserve"> 1)</w:t>
      </w:r>
      <w:r w:rsidRPr="00063782">
        <w:rPr>
          <w:sz w:val="24"/>
          <w:szCs w:val="24"/>
        </w:rPr>
        <w:t>. Essa relação confirma que a disponibilidade de biomassa fotossinteticamente ativa exerce influência direta sobre a capacidade de sequestro de carbono pela vegetação</w:t>
      </w:r>
      <w:r w:rsidR="000726D9">
        <w:t xml:space="preserve">, </w:t>
      </w:r>
      <w:r w:rsidR="000726D9" w:rsidRPr="000726D9">
        <w:rPr>
          <w:sz w:val="24"/>
          <w:szCs w:val="24"/>
        </w:rPr>
        <w:t xml:space="preserve">que apresentou </w:t>
      </w:r>
      <w:r w:rsidR="000726D9" w:rsidRPr="000726D9">
        <w:rPr>
          <w:rStyle w:val="Forte"/>
          <w:b w:val="0"/>
          <w:bCs w:val="0"/>
          <w:sz w:val="24"/>
          <w:szCs w:val="24"/>
        </w:rPr>
        <w:t>correlação positiva extremamente forte (</w:t>
      </w:r>
      <w:r w:rsidR="000726D9">
        <w:rPr>
          <w:rStyle w:val="Forte"/>
          <w:b w:val="0"/>
          <w:bCs w:val="0"/>
          <w:sz w:val="24"/>
          <w:szCs w:val="24"/>
        </w:rPr>
        <w:t>r</w:t>
      </w:r>
      <w:r w:rsidR="000726D9" w:rsidRPr="000726D9">
        <w:rPr>
          <w:rStyle w:val="Forte"/>
          <w:b w:val="0"/>
          <w:bCs w:val="0"/>
          <w:sz w:val="24"/>
          <w:szCs w:val="24"/>
        </w:rPr>
        <w:t xml:space="preserve"> = 0,9977)</w:t>
      </w:r>
      <w:r w:rsidR="000726D9" w:rsidRPr="000726D9">
        <w:rPr>
          <w:sz w:val="24"/>
          <w:szCs w:val="24"/>
        </w:rPr>
        <w:t xml:space="preserve"> e</w:t>
      </w:r>
      <w:r w:rsidR="000726D9" w:rsidRPr="000726D9">
        <w:rPr>
          <w:b/>
          <w:bCs/>
          <w:sz w:val="24"/>
          <w:szCs w:val="24"/>
        </w:rPr>
        <w:t xml:space="preserve"> </w:t>
      </w:r>
      <w:r w:rsidR="000726D9" w:rsidRPr="000726D9">
        <w:rPr>
          <w:rStyle w:val="Forte"/>
          <w:b w:val="0"/>
          <w:bCs w:val="0"/>
          <w:sz w:val="24"/>
          <w:szCs w:val="24"/>
        </w:rPr>
        <w:t>coeficiente de determinação de 99,54% (R² = 0,9954)</w:t>
      </w:r>
      <w:r w:rsidRPr="00063782">
        <w:rPr>
          <w:sz w:val="24"/>
          <w:szCs w:val="24"/>
        </w:rPr>
        <w:t>.</w:t>
      </w:r>
    </w:p>
    <w:p w14:paraId="7B406AEF" w14:textId="77777777" w:rsidR="00772D5B" w:rsidRDefault="000726D9" w:rsidP="00AF0B54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0726D9">
        <w:rPr>
          <w:sz w:val="24"/>
          <w:szCs w:val="24"/>
        </w:rPr>
        <w:t xml:space="preserve">A correlação entre CO₂flux e temperatura foi </w:t>
      </w:r>
      <w:r w:rsidRPr="000726D9">
        <w:rPr>
          <w:rStyle w:val="Forte"/>
          <w:b w:val="0"/>
          <w:bCs w:val="0"/>
          <w:sz w:val="24"/>
          <w:szCs w:val="24"/>
        </w:rPr>
        <w:t>muito fraca (</w:t>
      </w:r>
      <w:r>
        <w:rPr>
          <w:rStyle w:val="Forte"/>
          <w:b w:val="0"/>
          <w:bCs w:val="0"/>
          <w:sz w:val="24"/>
          <w:szCs w:val="24"/>
        </w:rPr>
        <w:t>r</w:t>
      </w:r>
      <w:r w:rsidRPr="000726D9">
        <w:rPr>
          <w:rStyle w:val="Forte"/>
          <w:b w:val="0"/>
          <w:bCs w:val="0"/>
          <w:sz w:val="24"/>
          <w:szCs w:val="24"/>
        </w:rPr>
        <w:t xml:space="preserve"> = 0,0519)</w:t>
      </w:r>
      <w:r w:rsidRPr="000726D9">
        <w:rPr>
          <w:b/>
          <w:bCs/>
          <w:sz w:val="24"/>
          <w:szCs w:val="24"/>
        </w:rPr>
        <w:t>,</w:t>
      </w:r>
      <w:r w:rsidRPr="000726D9">
        <w:rPr>
          <w:sz w:val="24"/>
          <w:szCs w:val="24"/>
        </w:rPr>
        <w:t xml:space="preserve"> com </w:t>
      </w:r>
      <w:r w:rsidRPr="000726D9">
        <w:rPr>
          <w:rStyle w:val="Forte"/>
          <w:b w:val="0"/>
          <w:bCs w:val="0"/>
          <w:sz w:val="24"/>
          <w:szCs w:val="24"/>
        </w:rPr>
        <w:t>R² = 0,0027</w:t>
      </w:r>
      <w:r w:rsidRPr="000726D9">
        <w:rPr>
          <w:sz w:val="24"/>
          <w:szCs w:val="24"/>
        </w:rPr>
        <w:t xml:space="preserve">, indicando que apenas </w:t>
      </w:r>
      <w:r w:rsidRPr="000726D9">
        <w:rPr>
          <w:rStyle w:val="Forte"/>
          <w:b w:val="0"/>
          <w:bCs w:val="0"/>
          <w:sz w:val="24"/>
          <w:szCs w:val="24"/>
        </w:rPr>
        <w:t>0,27%</w:t>
      </w:r>
      <w:r w:rsidRPr="000726D9">
        <w:rPr>
          <w:sz w:val="24"/>
          <w:szCs w:val="24"/>
        </w:rPr>
        <w:t xml:space="preserve"> da variação do fluxo de carbono pode ser explicada pela temperatura. </w:t>
      </w:r>
      <w:r w:rsidR="00C3793F" w:rsidRPr="00063782">
        <w:rPr>
          <w:sz w:val="24"/>
          <w:szCs w:val="24"/>
        </w:rPr>
        <w:t>A temperatura apresentou menor influência direta sobre a variabilidade do CO₂flux quando comparada à umidade relativa do ar. Embora as maiores temperaturas tenham sido registradas entre setembro e outubro, a absorção de carbono permaneceu reduzida nesse período, evidenciando que o estresse hídrico limita a atividade fotossintética mesmo sob elevada disponibilidade de radiação solar.</w:t>
      </w:r>
    </w:p>
    <w:p w14:paraId="2D468067" w14:textId="71535280" w:rsidR="00063782" w:rsidRDefault="00C3793F" w:rsidP="00AF0B54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063782">
        <w:rPr>
          <w:sz w:val="24"/>
          <w:szCs w:val="24"/>
        </w:rPr>
        <w:t xml:space="preserve">Em contrapartida, os meses com umidade relativa superior a aproximadamente 70% coincidiram com os maiores valores de CO₂flux, demonstrando que a disponibilidade hídrica </w:t>
      </w:r>
      <w:r w:rsidRPr="00063782">
        <w:rPr>
          <w:sz w:val="24"/>
          <w:szCs w:val="24"/>
        </w:rPr>
        <w:lastRenderedPageBreak/>
        <w:t>favorece o funcionamento fisiológico da vegetação.</w:t>
      </w:r>
      <w:r w:rsidR="00772D5B">
        <w:rPr>
          <w:sz w:val="24"/>
          <w:szCs w:val="24"/>
        </w:rPr>
        <w:t xml:space="preserve"> </w:t>
      </w:r>
      <w:r w:rsidR="00772D5B" w:rsidRPr="00772D5B">
        <w:rPr>
          <w:sz w:val="24"/>
          <w:szCs w:val="24"/>
        </w:rPr>
        <w:t xml:space="preserve">A análise estatística confirmou essa tendência, apresentando </w:t>
      </w:r>
      <w:r w:rsidR="00772D5B" w:rsidRPr="00772D5B">
        <w:rPr>
          <w:rStyle w:val="Forte"/>
          <w:b w:val="0"/>
          <w:bCs w:val="0"/>
          <w:sz w:val="24"/>
          <w:szCs w:val="24"/>
        </w:rPr>
        <w:t>correlação positiva muito forte entre CO₂flux e umidade relativa (</w:t>
      </w:r>
      <w:r w:rsidR="00772D5B">
        <w:rPr>
          <w:rStyle w:val="Forte"/>
          <w:b w:val="0"/>
          <w:bCs w:val="0"/>
          <w:sz w:val="24"/>
          <w:szCs w:val="24"/>
        </w:rPr>
        <w:t>r</w:t>
      </w:r>
      <w:r w:rsidR="00772D5B" w:rsidRPr="00772D5B">
        <w:rPr>
          <w:rStyle w:val="Forte"/>
          <w:b w:val="0"/>
          <w:bCs w:val="0"/>
          <w:sz w:val="24"/>
          <w:szCs w:val="24"/>
        </w:rPr>
        <w:t xml:space="preserve"> = 0,9375)</w:t>
      </w:r>
      <w:r w:rsidR="00772D5B" w:rsidRPr="00772D5B">
        <w:rPr>
          <w:sz w:val="24"/>
          <w:szCs w:val="24"/>
        </w:rPr>
        <w:t xml:space="preserve"> e</w:t>
      </w:r>
      <w:r w:rsidR="00772D5B" w:rsidRPr="00772D5B">
        <w:rPr>
          <w:b/>
          <w:bCs/>
          <w:sz w:val="24"/>
          <w:szCs w:val="24"/>
        </w:rPr>
        <w:t xml:space="preserve"> </w:t>
      </w:r>
      <w:r w:rsidR="00772D5B" w:rsidRPr="00772D5B">
        <w:rPr>
          <w:rStyle w:val="Forte"/>
          <w:b w:val="0"/>
          <w:bCs w:val="0"/>
          <w:sz w:val="24"/>
          <w:szCs w:val="24"/>
        </w:rPr>
        <w:t>coeficiente de determinação de 87,90% (R² = 0,8790)</w:t>
      </w:r>
      <w:r w:rsidR="00772D5B" w:rsidRPr="00772D5B">
        <w:rPr>
          <w:sz w:val="24"/>
          <w:szCs w:val="24"/>
        </w:rPr>
        <w:t>.</w:t>
      </w:r>
    </w:p>
    <w:p w14:paraId="7CAC9C2E" w14:textId="1C385222" w:rsidR="00262417" w:rsidRDefault="00262417" w:rsidP="00AF0B54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b/>
          <w:bCs/>
        </w:rPr>
        <w:t>Figura</w:t>
      </w:r>
      <w:r w:rsidRPr="00AF0B54">
        <w:rPr>
          <w:b/>
          <w:bCs/>
        </w:rPr>
        <w:t xml:space="preserve"> 1</w:t>
      </w:r>
      <w:r>
        <w:rPr>
          <w:b/>
          <w:bCs/>
        </w:rPr>
        <w:t xml:space="preserve"> – Imagem dos gráficos de CO2flux e NDVI, CO2flux e Temperatura do ar (°C) e CO2flux e Umidade Relativa do ar (%).</w:t>
      </w:r>
    </w:p>
    <w:p w14:paraId="66FDCEC0" w14:textId="1B214686" w:rsidR="000A317D" w:rsidRDefault="000A317D" w:rsidP="000A317D">
      <w:pPr>
        <w:pStyle w:val="Corpodetexto"/>
        <w:spacing w:before="1"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69B4D62" wp14:editId="19211975">
            <wp:extent cx="5762625" cy="3582035"/>
            <wp:effectExtent l="0" t="0" r="0" b="0"/>
            <wp:docPr id="2396822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682202" name="Imagem 23968220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B6791" w14:textId="45338187" w:rsidR="00262417" w:rsidRPr="00262417" w:rsidRDefault="00262417" w:rsidP="00262417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063782">
        <w:rPr>
          <w:rStyle w:val="Forte"/>
          <w:b w:val="0"/>
          <w:bCs w:val="0"/>
          <w:sz w:val="20"/>
          <w:szCs w:val="20"/>
        </w:rPr>
        <w:t>Fonte:</w:t>
      </w:r>
      <w:r w:rsidRPr="00063782">
        <w:rPr>
          <w:sz w:val="20"/>
          <w:szCs w:val="20"/>
        </w:rPr>
        <w:t xml:space="preserve"> </w:t>
      </w:r>
      <w:r>
        <w:rPr>
          <w:sz w:val="20"/>
          <w:szCs w:val="20"/>
        </w:rPr>
        <w:t>Elaborado pelo próprio autor (2026).</w:t>
      </w:r>
    </w:p>
    <w:p w14:paraId="31CA3118" w14:textId="485261E3" w:rsidR="00063782" w:rsidRPr="00063782" w:rsidRDefault="00C3793F" w:rsidP="0006378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063782">
        <w:rPr>
          <w:sz w:val="24"/>
          <w:szCs w:val="24"/>
        </w:rPr>
        <w:t xml:space="preserve">Esses resultados corroboram estudos desenvolvidos em ecossistemas do Cerrado, que demonstram forte sazonalidade da produtividade primária e do sequestro de carbono em função da alternância entre os períodos seco e chuvoso. A redução da absorção de CO₂ durante a estação seca está associada ao fechamento estomático das plantas, mecanismo de conservação de água que reduz a assimilação de carbono. Além disso, a metodologia proposta por Rahman </w:t>
      </w:r>
      <w:r w:rsidRPr="00A85788">
        <w:rPr>
          <w:i/>
          <w:iCs/>
          <w:sz w:val="24"/>
          <w:szCs w:val="24"/>
        </w:rPr>
        <w:t>et</w:t>
      </w:r>
      <w:r w:rsidRPr="00063782">
        <w:rPr>
          <w:sz w:val="24"/>
          <w:szCs w:val="24"/>
        </w:rPr>
        <w:t xml:space="preserve"> </w:t>
      </w:r>
      <w:r w:rsidRPr="00A85788">
        <w:rPr>
          <w:i/>
          <w:iCs/>
          <w:sz w:val="24"/>
          <w:szCs w:val="24"/>
        </w:rPr>
        <w:t>al</w:t>
      </w:r>
      <w:r w:rsidRPr="00063782">
        <w:rPr>
          <w:sz w:val="24"/>
          <w:szCs w:val="24"/>
        </w:rPr>
        <w:t>. (</w:t>
      </w:r>
      <w:r w:rsidR="00AB38FF">
        <w:rPr>
          <w:sz w:val="24"/>
          <w:szCs w:val="24"/>
        </w:rPr>
        <w:t>2001</w:t>
      </w:r>
      <w:r w:rsidRPr="00063782">
        <w:rPr>
          <w:sz w:val="24"/>
          <w:szCs w:val="24"/>
        </w:rPr>
        <w:t>), baseada na integração dos índices NDVI e sPRI, mostrou-se eficiente para representar a variabilidade espacial e temporal da atividade fotossintética utilizando dados de sensoriamento remoto, constituindo uma ferramenta de baixo custo e elevada aplicabilidade para o monitoramento ambiental.</w:t>
      </w:r>
    </w:p>
    <w:p w14:paraId="1C3C45DC" w14:textId="77777777" w:rsidR="00063782" w:rsidRDefault="00063782" w:rsidP="0006378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1C25DF7A" w14:textId="53E7F050" w:rsidR="00243512" w:rsidRPr="00063782" w:rsidRDefault="00243512" w:rsidP="00063782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Conclusão</w:t>
      </w:r>
    </w:p>
    <w:p w14:paraId="3EE9C9C8" w14:textId="77777777" w:rsidR="00A85788" w:rsidRPr="00A85788" w:rsidRDefault="00A85788" w:rsidP="00A85788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A85788">
        <w:rPr>
          <w:sz w:val="24"/>
          <w:szCs w:val="24"/>
        </w:rPr>
        <w:t xml:space="preserve">Os resultados alcançados atenderam ao objetivo geral da pesquisa ao analisar a relação entre a dinâmica do fluxo de CO₂ e os índices meteorológicos no município de Frutal (MG) durante o ano de 2025. A estimativa do fluxo de carbono por meio do índice espectral </w:t>
      </w:r>
      <w:r w:rsidRPr="00A85788">
        <w:rPr>
          <w:sz w:val="24"/>
          <w:szCs w:val="24"/>
        </w:rPr>
        <w:lastRenderedPageBreak/>
        <w:t>CO₂flux permitiu identificar uma acentuada sazonalidade, com maiores taxas de absorção de carbono durante o período chuvoso e redução significativa na estação seca.</w:t>
      </w:r>
    </w:p>
    <w:p w14:paraId="29EED8C5" w14:textId="527D4E76" w:rsidR="00A85788" w:rsidRPr="00A85788" w:rsidRDefault="00A344AD" w:rsidP="00A85788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="00A85788" w:rsidRPr="00A85788">
        <w:rPr>
          <w:sz w:val="24"/>
          <w:szCs w:val="24"/>
        </w:rPr>
        <w:t>oi possível estimar o fluxo de carbono da vegetação utilizando dados de sensoriamento remoto, avaliar sua variabilidade ao longo do ano e quantificar a influência das variáveis meteorológicas sobre esse processo. A forte correlação entre CO₂flux e NDVI (</w:t>
      </w:r>
      <w:r w:rsidR="00E72B46">
        <w:rPr>
          <w:sz w:val="24"/>
          <w:szCs w:val="24"/>
        </w:rPr>
        <w:t>r</w:t>
      </w:r>
      <w:r w:rsidR="00A85788" w:rsidRPr="00A85788">
        <w:rPr>
          <w:sz w:val="24"/>
          <w:szCs w:val="24"/>
        </w:rPr>
        <w:t xml:space="preserve"> = 0,9977; R² = 0,9954) confirmou a eficiência desse índice na representação da atividade fotossintética da vegetação. Da mesma forma, a elevada correlação com a umidade relativa do ar (</w:t>
      </w:r>
      <w:r w:rsidR="00E72B46">
        <w:rPr>
          <w:sz w:val="24"/>
          <w:szCs w:val="24"/>
        </w:rPr>
        <w:t>r</w:t>
      </w:r>
      <w:r w:rsidR="00A85788" w:rsidRPr="00A85788">
        <w:rPr>
          <w:sz w:val="24"/>
          <w:szCs w:val="24"/>
        </w:rPr>
        <w:t xml:space="preserve"> = 0,9375; R² = 0,8790) demonstrou que a disponibilidade hídrica é o principal fator ambiental associado ao aumento da absorção de carbono. Em contrapartida, a temperatura apresentou influência desprezível (</w:t>
      </w:r>
      <w:r w:rsidR="00E72B46">
        <w:rPr>
          <w:sz w:val="24"/>
          <w:szCs w:val="24"/>
        </w:rPr>
        <w:t>r</w:t>
      </w:r>
      <w:r w:rsidR="00A85788" w:rsidRPr="00A85788">
        <w:rPr>
          <w:sz w:val="24"/>
          <w:szCs w:val="24"/>
        </w:rPr>
        <w:t xml:space="preserve"> = 0,0519; R² = 0,0027), indicando que seu efeito depende da interação com outras condições ambientais.</w:t>
      </w:r>
    </w:p>
    <w:p w14:paraId="4AFED29C" w14:textId="77777777" w:rsidR="00A85788" w:rsidRPr="00A85788" w:rsidRDefault="00A85788" w:rsidP="00A85788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A85788">
        <w:rPr>
          <w:sz w:val="24"/>
          <w:szCs w:val="24"/>
        </w:rPr>
        <w:t>Dessa forma, conclui-se que a integração entre índices espectrais e dados meteorológicos constitui uma abordagem eficiente para o monitoramento da dinâmica do carbono no Cerrado, fornecendo informações relevantes para estudos sobre mudanças climáticas, conservação ambiental e gestão sustentável dos ecossistemas.</w:t>
      </w:r>
    </w:p>
    <w:p w14:paraId="1459CD48" w14:textId="77777777" w:rsidR="009C4B75" w:rsidRPr="005F70B0" w:rsidRDefault="009C4B75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58B32154" w14:textId="3AF5B758" w:rsidR="00624629" w:rsidRPr="005F70B0" w:rsidRDefault="00624629" w:rsidP="00F21B9B">
      <w:pPr>
        <w:pStyle w:val="Corpodetex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Agradecimentos</w:t>
      </w:r>
    </w:p>
    <w:p w14:paraId="731FE0DA" w14:textId="06953F4C" w:rsidR="005F70B0" w:rsidRDefault="00B22977" w:rsidP="00B22977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B22977">
        <w:rPr>
          <w:sz w:val="24"/>
          <w:szCs w:val="24"/>
        </w:rPr>
        <w:t xml:space="preserve">O presente trabalho foi realizado com o apoio da Coordenação de Aperfeiçoamento de Pessoal de Nível Superior (CAPES) e da </w:t>
      </w:r>
      <w:r w:rsidR="005C410B">
        <w:fldChar w:fldCharType="begin"/>
      </w:r>
      <w:r w:rsidR="005C410B">
        <w:instrText xml:space="preserve"> HYPERLINK "https://www.uemg.br/publicacoes/22820-e-mail-institucional-da-uemg-acesso-e-orientacoes-para-estudantes" \t "_blank" </w:instrText>
      </w:r>
      <w:r w:rsidR="005C410B">
        <w:fldChar w:fldCharType="separate"/>
      </w:r>
      <w:r w:rsidRPr="00B22977">
        <w:rPr>
          <w:sz w:val="24"/>
          <w:szCs w:val="24"/>
        </w:rPr>
        <w:t>Universidade do Estado de Minas Gerais (UEMG)</w:t>
      </w:r>
      <w:r w:rsidR="005C410B">
        <w:rPr>
          <w:sz w:val="24"/>
          <w:szCs w:val="24"/>
        </w:rPr>
        <w:fldChar w:fldCharType="end"/>
      </w:r>
      <w:r w:rsidRPr="00B22977">
        <w:rPr>
          <w:sz w:val="24"/>
          <w:szCs w:val="24"/>
        </w:rPr>
        <w:t>, por meio do Programa de Bolsas Institucionais de Pós-Graduação (ProBPG). Aos órgãos de fomento, minha sincera gratidão pelo apoio financeiro fundamental para o desenvolvimento desta pesquisa.</w:t>
      </w:r>
    </w:p>
    <w:p w14:paraId="29AC6C40" w14:textId="77777777" w:rsidR="009C4B75" w:rsidRDefault="009C4B75" w:rsidP="009C4B75">
      <w:pPr>
        <w:pStyle w:val="Corpodetexto"/>
        <w:spacing w:line="360" w:lineRule="auto"/>
        <w:jc w:val="both"/>
        <w:rPr>
          <w:sz w:val="24"/>
          <w:szCs w:val="24"/>
        </w:rPr>
      </w:pPr>
    </w:p>
    <w:p w14:paraId="288B7FFC" w14:textId="77777777" w:rsidR="00306730" w:rsidRDefault="00624629" w:rsidP="00A344AD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Referências</w:t>
      </w:r>
    </w:p>
    <w:p w14:paraId="554734E3" w14:textId="159C4EE6" w:rsidR="00772D5B" w:rsidRPr="00306730" w:rsidRDefault="00772D5B" w:rsidP="00F21B9B">
      <w:pPr>
        <w:pStyle w:val="Corpodetexto"/>
        <w:spacing w:after="120"/>
        <w:rPr>
          <w:sz w:val="32"/>
          <w:szCs w:val="32"/>
        </w:rPr>
      </w:pPr>
      <w:r w:rsidRPr="00306730">
        <w:rPr>
          <w:sz w:val="24"/>
          <w:szCs w:val="24"/>
        </w:rPr>
        <w:t xml:space="preserve">BAPTISTA, G. M. M. </w:t>
      </w:r>
      <w:r w:rsidRPr="00306730">
        <w:rPr>
          <w:rStyle w:val="Forte"/>
          <w:sz w:val="24"/>
          <w:szCs w:val="24"/>
        </w:rPr>
        <w:t>Mapeamento do sequestro de carbono e monitoramento dos ambientes tropicais por meio de sensoriamento remoto hiperespectral</w:t>
      </w:r>
      <w:r w:rsidRPr="00306730">
        <w:rPr>
          <w:sz w:val="24"/>
          <w:szCs w:val="24"/>
        </w:rPr>
        <w:t>. Brasília: Universidade de Brasília, 2004.</w:t>
      </w:r>
    </w:p>
    <w:p w14:paraId="27C4C96D" w14:textId="77777777" w:rsidR="00772D5B" w:rsidRDefault="00772D5B" w:rsidP="00262417">
      <w:pPr>
        <w:pStyle w:val="NormalWeb"/>
        <w:spacing w:before="120" w:beforeAutospacing="0" w:after="120" w:afterAutospacing="0"/>
      </w:pPr>
      <w:r>
        <w:t xml:space="preserve">CAMPOS, J. O. </w:t>
      </w:r>
      <w:r>
        <w:rPr>
          <w:rStyle w:val="nfase"/>
        </w:rPr>
        <w:t>et al.</w:t>
      </w:r>
      <w:r>
        <w:t xml:space="preserve"> Análise espaço-temporal do sequestro de carbono na microrregião do Brejo Paraibano, Paraíba, Brasil. </w:t>
      </w:r>
      <w:r>
        <w:rPr>
          <w:rStyle w:val="Forte"/>
        </w:rPr>
        <w:t>Boletim Alfenense de Geografia</w:t>
      </w:r>
      <w:r>
        <w:t xml:space="preserve">, v. 4, n. 7, p. 64-87, 2024. </w:t>
      </w:r>
    </w:p>
    <w:p w14:paraId="3D17FDBB" w14:textId="15C5A27F" w:rsidR="00772D5B" w:rsidRDefault="00772D5B" w:rsidP="00262417">
      <w:pPr>
        <w:pStyle w:val="NormalWeb"/>
        <w:spacing w:before="120" w:beforeAutospacing="0" w:after="120" w:afterAutospacing="0"/>
      </w:pPr>
      <w:r>
        <w:t xml:space="preserve">FRIEDLINGSTEIN, P. </w:t>
      </w:r>
      <w:r>
        <w:rPr>
          <w:rStyle w:val="nfase"/>
        </w:rPr>
        <w:t>et al.</w:t>
      </w:r>
      <w:r>
        <w:t xml:space="preserve"> </w:t>
      </w:r>
      <w:r w:rsidRPr="00962A0E">
        <w:rPr>
          <w:rStyle w:val="Forte"/>
          <w:b w:val="0"/>
          <w:bCs w:val="0"/>
          <w:i/>
          <w:iCs/>
        </w:rPr>
        <w:t>Global Carbon Budget</w:t>
      </w:r>
      <w:r w:rsidRPr="00306730">
        <w:rPr>
          <w:rStyle w:val="Forte"/>
          <w:b w:val="0"/>
          <w:bCs w:val="0"/>
        </w:rPr>
        <w:t xml:space="preserve"> 2024</w:t>
      </w:r>
      <w:r>
        <w:t xml:space="preserve">. </w:t>
      </w:r>
      <w:r w:rsidRPr="00306730">
        <w:rPr>
          <w:rStyle w:val="nfase"/>
          <w:b/>
          <w:bCs/>
        </w:rPr>
        <w:t>Earth System Science Data</w:t>
      </w:r>
      <w:r>
        <w:t>, 2024.</w:t>
      </w:r>
    </w:p>
    <w:p w14:paraId="744FFA28" w14:textId="3B3CBAC8" w:rsidR="00A344AD" w:rsidRDefault="00772D5B" w:rsidP="00262417">
      <w:pPr>
        <w:pStyle w:val="NormalWeb"/>
        <w:spacing w:before="120" w:beforeAutospacing="0" w:after="120" w:afterAutospacing="0"/>
      </w:pPr>
      <w:r>
        <w:t xml:space="preserve">IPCC. </w:t>
      </w:r>
      <w:proofErr w:type="spellStart"/>
      <w:r w:rsidRPr="00962A0E">
        <w:rPr>
          <w:rStyle w:val="Forte"/>
          <w:i/>
          <w:iCs/>
        </w:rPr>
        <w:t>Climate</w:t>
      </w:r>
      <w:proofErr w:type="spellEnd"/>
      <w:r w:rsidRPr="00962A0E">
        <w:rPr>
          <w:rStyle w:val="Forte"/>
          <w:i/>
          <w:iCs/>
        </w:rPr>
        <w:t xml:space="preserve"> </w:t>
      </w:r>
      <w:proofErr w:type="spellStart"/>
      <w:r w:rsidRPr="00962A0E">
        <w:rPr>
          <w:rStyle w:val="Forte"/>
          <w:i/>
          <w:iCs/>
        </w:rPr>
        <w:t>Change</w:t>
      </w:r>
      <w:proofErr w:type="spellEnd"/>
      <w:r>
        <w:rPr>
          <w:rStyle w:val="Forte"/>
        </w:rPr>
        <w:t xml:space="preserve"> 2021: </w:t>
      </w:r>
      <w:r w:rsidRPr="00962A0E">
        <w:rPr>
          <w:rStyle w:val="Forte"/>
          <w:i/>
          <w:iCs/>
        </w:rPr>
        <w:t xml:space="preserve">The </w:t>
      </w:r>
      <w:proofErr w:type="spellStart"/>
      <w:r w:rsidRPr="00962A0E">
        <w:rPr>
          <w:rStyle w:val="Forte"/>
          <w:i/>
          <w:iCs/>
        </w:rPr>
        <w:t>Physical</w:t>
      </w:r>
      <w:proofErr w:type="spellEnd"/>
      <w:r w:rsidRPr="00962A0E">
        <w:rPr>
          <w:rStyle w:val="Forte"/>
          <w:i/>
          <w:iCs/>
        </w:rPr>
        <w:t xml:space="preserve"> Science </w:t>
      </w:r>
      <w:proofErr w:type="spellStart"/>
      <w:r w:rsidRPr="00962A0E">
        <w:rPr>
          <w:rStyle w:val="Forte"/>
          <w:i/>
          <w:iCs/>
        </w:rPr>
        <w:t>Basis</w:t>
      </w:r>
      <w:proofErr w:type="spellEnd"/>
      <w:r w:rsidRPr="00962A0E">
        <w:rPr>
          <w:i/>
          <w:iCs/>
        </w:rPr>
        <w:t xml:space="preserve">. </w:t>
      </w:r>
      <w:proofErr w:type="spellStart"/>
      <w:r w:rsidRPr="00962A0E">
        <w:rPr>
          <w:i/>
          <w:iCs/>
        </w:rPr>
        <w:t>Contribution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of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Working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Group</w:t>
      </w:r>
      <w:proofErr w:type="spellEnd"/>
      <w:r w:rsidRPr="00962A0E">
        <w:rPr>
          <w:i/>
          <w:iCs/>
        </w:rPr>
        <w:t xml:space="preserve"> I </w:t>
      </w:r>
      <w:proofErr w:type="spellStart"/>
      <w:r w:rsidRPr="00962A0E">
        <w:rPr>
          <w:i/>
          <w:iCs/>
        </w:rPr>
        <w:t>to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the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Sixth</w:t>
      </w:r>
      <w:proofErr w:type="spellEnd"/>
      <w:r w:rsidRPr="00962A0E">
        <w:rPr>
          <w:i/>
          <w:iCs/>
        </w:rPr>
        <w:t xml:space="preserve"> Assessment Report </w:t>
      </w:r>
      <w:proofErr w:type="spellStart"/>
      <w:r w:rsidRPr="00962A0E">
        <w:rPr>
          <w:i/>
          <w:iCs/>
        </w:rPr>
        <w:t>of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the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Intergovernmental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Panel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on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Climate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Change</w:t>
      </w:r>
      <w:proofErr w:type="spellEnd"/>
      <w:r w:rsidRPr="00962A0E">
        <w:rPr>
          <w:i/>
          <w:iCs/>
        </w:rPr>
        <w:t xml:space="preserve">. Cambridge: Cambridge </w:t>
      </w:r>
      <w:proofErr w:type="spellStart"/>
      <w:r w:rsidRPr="00962A0E">
        <w:rPr>
          <w:i/>
          <w:iCs/>
        </w:rPr>
        <w:t>University</w:t>
      </w:r>
      <w:proofErr w:type="spellEnd"/>
      <w:r w:rsidRPr="00962A0E">
        <w:rPr>
          <w:i/>
          <w:iCs/>
        </w:rPr>
        <w:t xml:space="preserve"> Press</w:t>
      </w:r>
      <w:r>
        <w:t xml:space="preserve">, 2021. </w:t>
      </w:r>
    </w:p>
    <w:p w14:paraId="3F0DF14D" w14:textId="59F78C8B" w:rsidR="00772D5B" w:rsidRPr="00772D5B" w:rsidRDefault="00772D5B" w:rsidP="00262417">
      <w:pPr>
        <w:pStyle w:val="NormalWeb"/>
        <w:spacing w:before="120" w:beforeAutospacing="0" w:after="120" w:afterAutospacing="0"/>
      </w:pPr>
      <w:r>
        <w:t xml:space="preserve">RAHMAN, A. F.; GAMON, J. A.; FUENTES, D. A.; ROBERTS, D. A.; PRENTISS, D. </w:t>
      </w:r>
      <w:proofErr w:type="spellStart"/>
      <w:r w:rsidRPr="00962A0E">
        <w:rPr>
          <w:i/>
          <w:iCs/>
        </w:rPr>
        <w:t>Relationships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between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the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photochemical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reflectance</w:t>
      </w:r>
      <w:proofErr w:type="spellEnd"/>
      <w:r w:rsidRPr="00962A0E">
        <w:rPr>
          <w:i/>
          <w:iCs/>
        </w:rPr>
        <w:t xml:space="preserve"> index (PRI) </w:t>
      </w:r>
      <w:proofErr w:type="spellStart"/>
      <w:r w:rsidRPr="00962A0E">
        <w:rPr>
          <w:i/>
          <w:iCs/>
        </w:rPr>
        <w:t>and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carbon</w:t>
      </w:r>
      <w:proofErr w:type="spellEnd"/>
      <w:r w:rsidRPr="00962A0E">
        <w:rPr>
          <w:i/>
          <w:iCs/>
        </w:rPr>
        <w:t xml:space="preserve"> flux </w:t>
      </w:r>
      <w:proofErr w:type="spellStart"/>
      <w:r w:rsidRPr="00962A0E">
        <w:rPr>
          <w:i/>
          <w:iCs/>
        </w:rPr>
        <w:t>measured</w:t>
      </w:r>
      <w:proofErr w:type="spellEnd"/>
      <w:r w:rsidRPr="00962A0E">
        <w:rPr>
          <w:i/>
          <w:iCs/>
        </w:rPr>
        <w:t xml:space="preserve"> </w:t>
      </w:r>
      <w:proofErr w:type="spellStart"/>
      <w:r w:rsidRPr="00962A0E">
        <w:rPr>
          <w:i/>
          <w:iCs/>
        </w:rPr>
        <w:t>at</w:t>
      </w:r>
      <w:proofErr w:type="spellEnd"/>
      <w:r w:rsidRPr="00962A0E">
        <w:rPr>
          <w:i/>
          <w:iCs/>
        </w:rPr>
        <w:t xml:space="preserve"> a boreal </w:t>
      </w:r>
      <w:proofErr w:type="spellStart"/>
      <w:r w:rsidRPr="00962A0E">
        <w:rPr>
          <w:i/>
          <w:iCs/>
        </w:rPr>
        <w:t>forest</w:t>
      </w:r>
      <w:proofErr w:type="spellEnd"/>
      <w:r w:rsidRPr="00962A0E">
        <w:rPr>
          <w:i/>
          <w:iCs/>
        </w:rPr>
        <w:t xml:space="preserve"> site. </w:t>
      </w:r>
      <w:r w:rsidRPr="00962A0E">
        <w:rPr>
          <w:rStyle w:val="Forte"/>
          <w:i/>
          <w:iCs/>
        </w:rPr>
        <w:t xml:space="preserve">Remote </w:t>
      </w:r>
      <w:proofErr w:type="spellStart"/>
      <w:r w:rsidRPr="00962A0E">
        <w:rPr>
          <w:rStyle w:val="Forte"/>
          <w:i/>
          <w:iCs/>
        </w:rPr>
        <w:t>Sensing</w:t>
      </w:r>
      <w:proofErr w:type="spellEnd"/>
      <w:r w:rsidRPr="00962A0E">
        <w:rPr>
          <w:rStyle w:val="Forte"/>
          <w:i/>
          <w:iCs/>
        </w:rPr>
        <w:t xml:space="preserve"> </w:t>
      </w:r>
      <w:proofErr w:type="spellStart"/>
      <w:r w:rsidRPr="00962A0E">
        <w:rPr>
          <w:rStyle w:val="Forte"/>
          <w:i/>
          <w:iCs/>
        </w:rPr>
        <w:t>of</w:t>
      </w:r>
      <w:proofErr w:type="spellEnd"/>
      <w:r w:rsidRPr="00962A0E">
        <w:rPr>
          <w:rStyle w:val="Forte"/>
          <w:i/>
          <w:iCs/>
        </w:rPr>
        <w:t xml:space="preserve"> </w:t>
      </w:r>
      <w:proofErr w:type="spellStart"/>
      <w:r w:rsidRPr="00962A0E">
        <w:rPr>
          <w:rStyle w:val="Forte"/>
          <w:i/>
          <w:iCs/>
        </w:rPr>
        <w:t>Environment</w:t>
      </w:r>
      <w:proofErr w:type="spellEnd"/>
      <w:r>
        <w:t>, 200</w:t>
      </w:r>
      <w:r w:rsidR="00AB38FF">
        <w:t>1</w:t>
      </w:r>
      <w:r>
        <w:t>.</w:t>
      </w:r>
    </w:p>
    <w:sectPr w:rsidR="00772D5B" w:rsidRPr="00772D5B" w:rsidSect="008913F4">
      <w:headerReference w:type="default" r:id="rId8"/>
      <w:footerReference w:type="default" r:id="rId9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39DC64" w14:textId="77777777" w:rsidR="0047059D" w:rsidRDefault="0047059D">
      <w:r>
        <w:separator/>
      </w:r>
    </w:p>
  </w:endnote>
  <w:endnote w:type="continuationSeparator" w:id="0">
    <w:p w14:paraId="2589176B" w14:textId="77777777" w:rsidR="0047059D" w:rsidRDefault="0047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4F83AF" w14:textId="77777777" w:rsidR="0047059D" w:rsidRDefault="0047059D">
      <w:r>
        <w:separator/>
      </w:r>
    </w:p>
  </w:footnote>
  <w:footnote w:type="continuationSeparator" w:id="0">
    <w:p w14:paraId="5D514CAE" w14:textId="77777777" w:rsidR="0047059D" w:rsidRDefault="00470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3B03A1"/>
    <w:multiLevelType w:val="multilevel"/>
    <w:tmpl w:val="AF469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8324550">
    <w:abstractNumId w:val="0"/>
  </w:num>
  <w:num w:numId="2" w16cid:durableId="184289967">
    <w:abstractNumId w:val="2"/>
  </w:num>
  <w:num w:numId="3" w16cid:durableId="993877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5BCC"/>
    <w:rsid w:val="0000726E"/>
    <w:rsid w:val="00012483"/>
    <w:rsid w:val="00020169"/>
    <w:rsid w:val="000449F4"/>
    <w:rsid w:val="00063782"/>
    <w:rsid w:val="000726D9"/>
    <w:rsid w:val="000815CB"/>
    <w:rsid w:val="000A317D"/>
    <w:rsid w:val="000D5173"/>
    <w:rsid w:val="000E523F"/>
    <w:rsid w:val="000F46B9"/>
    <w:rsid w:val="00157AC0"/>
    <w:rsid w:val="00167BB2"/>
    <w:rsid w:val="001B2777"/>
    <w:rsid w:val="001C5BCC"/>
    <w:rsid w:val="001E4366"/>
    <w:rsid w:val="00243512"/>
    <w:rsid w:val="00262417"/>
    <w:rsid w:val="00306730"/>
    <w:rsid w:val="0036697E"/>
    <w:rsid w:val="003F5578"/>
    <w:rsid w:val="0047059D"/>
    <w:rsid w:val="004D3545"/>
    <w:rsid w:val="0051483C"/>
    <w:rsid w:val="005259CE"/>
    <w:rsid w:val="00583E73"/>
    <w:rsid w:val="005C410B"/>
    <w:rsid w:val="005F70B0"/>
    <w:rsid w:val="00624629"/>
    <w:rsid w:val="00647D17"/>
    <w:rsid w:val="00694319"/>
    <w:rsid w:val="006A1037"/>
    <w:rsid w:val="00700113"/>
    <w:rsid w:val="00717295"/>
    <w:rsid w:val="007561D8"/>
    <w:rsid w:val="00772D5B"/>
    <w:rsid w:val="007A24CB"/>
    <w:rsid w:val="00846C90"/>
    <w:rsid w:val="008858BD"/>
    <w:rsid w:val="008913F4"/>
    <w:rsid w:val="008A193F"/>
    <w:rsid w:val="008E0DBD"/>
    <w:rsid w:val="0090249A"/>
    <w:rsid w:val="00962A0E"/>
    <w:rsid w:val="009C4B75"/>
    <w:rsid w:val="00A33E6F"/>
    <w:rsid w:val="00A344AD"/>
    <w:rsid w:val="00A85788"/>
    <w:rsid w:val="00A91199"/>
    <w:rsid w:val="00AA4C86"/>
    <w:rsid w:val="00AB38FF"/>
    <w:rsid w:val="00AC6713"/>
    <w:rsid w:val="00AC6D4D"/>
    <w:rsid w:val="00AD22F1"/>
    <w:rsid w:val="00AD2D91"/>
    <w:rsid w:val="00AF0B54"/>
    <w:rsid w:val="00AF5124"/>
    <w:rsid w:val="00B22977"/>
    <w:rsid w:val="00C3793F"/>
    <w:rsid w:val="00C44CDC"/>
    <w:rsid w:val="00C538C1"/>
    <w:rsid w:val="00C60F3C"/>
    <w:rsid w:val="00C764F5"/>
    <w:rsid w:val="00CB7608"/>
    <w:rsid w:val="00CD7F9D"/>
    <w:rsid w:val="00D5253D"/>
    <w:rsid w:val="00D67938"/>
    <w:rsid w:val="00E155F0"/>
    <w:rsid w:val="00E3782C"/>
    <w:rsid w:val="00E72B46"/>
    <w:rsid w:val="00EA25BE"/>
    <w:rsid w:val="00EC1A8A"/>
    <w:rsid w:val="00F135CC"/>
    <w:rsid w:val="00F21B9B"/>
    <w:rsid w:val="00F95292"/>
    <w:rsid w:val="00FB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6D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6D4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customStyle="1" w:styleId="isselectedend">
    <w:name w:val="isselectedend"/>
    <w:basedOn w:val="Normal"/>
    <w:rsid w:val="00AA4C8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AA4C8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AA4C86"/>
    <w:rPr>
      <w:b/>
      <w:bCs/>
    </w:rPr>
  </w:style>
  <w:style w:type="character" w:customStyle="1" w:styleId="ng-star-inserted">
    <w:name w:val="ng-star-inserted"/>
    <w:basedOn w:val="Fontepargpadro"/>
    <w:rsid w:val="00020169"/>
  </w:style>
  <w:style w:type="character" w:customStyle="1" w:styleId="mord">
    <w:name w:val="mord"/>
    <w:basedOn w:val="Fontepargpadro"/>
    <w:rsid w:val="00020169"/>
  </w:style>
  <w:style w:type="character" w:customStyle="1" w:styleId="vlist-s">
    <w:name w:val="vlist-s"/>
    <w:basedOn w:val="Fontepargpadro"/>
    <w:rsid w:val="00020169"/>
  </w:style>
  <w:style w:type="character" w:customStyle="1" w:styleId="Ttulo3Char">
    <w:name w:val="Título 3 Char"/>
    <w:basedOn w:val="Fontepargpadro"/>
    <w:link w:val="Ttulo3"/>
    <w:uiPriority w:val="9"/>
    <w:semiHidden/>
    <w:rsid w:val="00AC6D4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6D4D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character" w:styleId="nfase">
    <w:name w:val="Emphasis"/>
    <w:basedOn w:val="Fontepargpadro"/>
    <w:uiPriority w:val="20"/>
    <w:qFormat/>
    <w:rsid w:val="00AC6D4D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B2297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3793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5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0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3423</TotalTime>
  <Pages>6</Pages>
  <Words>2101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Fabrício Júnior Martins Assunção</cp:lastModifiedBy>
  <cp:revision>25</cp:revision>
  <dcterms:created xsi:type="dcterms:W3CDTF">2026-01-27T16:39:00Z</dcterms:created>
  <dcterms:modified xsi:type="dcterms:W3CDTF">2026-06-30T17:57:00Z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