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B3E8" w14:textId="3D0DF718" w:rsidR="004E4E08" w:rsidRPr="00844166" w:rsidRDefault="004E4E08" w:rsidP="00B31D32">
      <w:pPr>
        <w:widowControl w:val="0"/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Grupo de Trabalho</w:t>
      </w:r>
      <w:r w:rsidRPr="0084416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844166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Backlash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e Efetividade</w:t>
      </w:r>
    </w:p>
    <w:p w14:paraId="4FE91B23" w14:textId="38099186" w:rsidR="00290DA5" w:rsidRPr="00B31D32" w:rsidRDefault="004E4E08" w:rsidP="00B31D32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Reflexões </w:t>
      </w:r>
      <w:r>
        <w:rPr>
          <w:rFonts w:ascii="Times New Roman" w:eastAsia="Times New Roman" w:hAnsi="Times New Roman"/>
          <w:b/>
          <w:sz w:val="24"/>
          <w:szCs w:val="24"/>
        </w:rPr>
        <w:t>sobre o cumprimento da primeira sentença da Corte Interamericana de Direitos Humanos em relação ao Brasil</w:t>
      </w:r>
    </w:p>
    <w:p w14:paraId="5663EA04" w14:textId="791B7DD1" w:rsidR="00B31D32" w:rsidRPr="00844166" w:rsidRDefault="00B31D32" w:rsidP="00B31D32">
      <w:pPr>
        <w:widowControl w:val="0"/>
        <w:spacing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Taiz Marrão Batista da Costa</w:t>
      </w:r>
      <w:r w:rsidRPr="00844166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</w:p>
    <w:p w14:paraId="46FF9878" w14:textId="5794C082" w:rsidR="004E4E08" w:rsidRDefault="004E4E08" w:rsidP="004E4E08">
      <w:pPr>
        <w:jc w:val="right"/>
      </w:pPr>
    </w:p>
    <w:p w14:paraId="1B8DA124" w14:textId="190A43B8" w:rsidR="00321EC7" w:rsidRDefault="00321EC7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artigo 68.1 da Convenção Americana Sobre Direitos Humanos, conforme desenvolvido pela jurisprudência da Corte Interamericana de Direitos Humanos, impõe aos Estados-Partes as obrigações de cumprir as sentenças, garantindo o efeito útil das disposições convencionais, e de informar sobre as medidas adotadas. O cumprimento de determinadas espécies de reparação </w:t>
      </w:r>
      <w:r w:rsidR="00CD12CF">
        <w:rPr>
          <w:rFonts w:ascii="Times New Roman" w:hAnsi="Times New Roman"/>
          <w:sz w:val="24"/>
          <w:szCs w:val="24"/>
        </w:rPr>
        <w:t>ordenadas</w:t>
      </w:r>
      <w:r>
        <w:rPr>
          <w:rFonts w:ascii="Times New Roman" w:hAnsi="Times New Roman"/>
          <w:sz w:val="24"/>
          <w:szCs w:val="24"/>
        </w:rPr>
        <w:t xml:space="preserve"> pela Corte tem se apresentado desafiador aos Estados da região. </w:t>
      </w:r>
    </w:p>
    <w:p w14:paraId="278AE7C2" w14:textId="72AE5611" w:rsidR="005368BD" w:rsidRDefault="005368BD" w:rsidP="005368B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partir da análise da jurisprudência da Corte Interamericana a respeito do cumprimento de suas decisões e de material bibliográfico relacionado à temática</w:t>
      </w:r>
      <w:r>
        <w:rPr>
          <w:rFonts w:ascii="Times New Roman" w:hAnsi="Times New Roman"/>
          <w:sz w:val="24"/>
          <w:szCs w:val="24"/>
        </w:rPr>
        <w:t xml:space="preserve"> do cumprimento e da relação </w:t>
      </w:r>
      <w:r>
        <w:rPr>
          <w:rFonts w:ascii="Times New Roman" w:hAnsi="Times New Roman"/>
          <w:sz w:val="24"/>
          <w:szCs w:val="24"/>
        </w:rPr>
        <w:t>entre as jurisdições interna e internacional no contexto do cumprimento d</w:t>
      </w:r>
      <w:r>
        <w:rPr>
          <w:rFonts w:ascii="Times New Roman" w:hAnsi="Times New Roman"/>
          <w:sz w:val="24"/>
          <w:szCs w:val="24"/>
        </w:rPr>
        <w:t>as decisões internacionais, a</w:t>
      </w:r>
      <w:r>
        <w:rPr>
          <w:rFonts w:ascii="Times New Roman" w:hAnsi="Times New Roman"/>
          <w:sz w:val="24"/>
          <w:szCs w:val="24"/>
        </w:rPr>
        <w:t xml:space="preserve"> última resolução da Corte Interamericana na supervisão de cumprimento da sentença do caso </w:t>
      </w:r>
      <w:r w:rsidRPr="00F956C9">
        <w:rPr>
          <w:rFonts w:ascii="Times New Roman" w:hAnsi="Times New Roman"/>
          <w:i/>
          <w:iCs/>
          <w:sz w:val="24"/>
          <w:szCs w:val="24"/>
        </w:rPr>
        <w:t>Ximenes Lopes Vs. Brasil</w:t>
      </w:r>
      <w:r>
        <w:rPr>
          <w:rFonts w:ascii="Times New Roman" w:hAnsi="Times New Roman"/>
          <w:sz w:val="24"/>
          <w:szCs w:val="24"/>
        </w:rPr>
        <w:t xml:space="preserve">, o primeiro sentenciado em relação ao país, permite reflexões quanto à implementação das decisões do Tribunal, em especial quanto ao problema do descumprimento. </w:t>
      </w:r>
    </w:p>
    <w:p w14:paraId="442C21D9" w14:textId="221CEECE" w:rsidR="00254AB3" w:rsidRDefault="00254AB3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possível </w:t>
      </w:r>
      <w:r w:rsidR="00321EC7">
        <w:rPr>
          <w:rFonts w:ascii="Times New Roman" w:hAnsi="Times New Roman"/>
          <w:sz w:val="24"/>
          <w:szCs w:val="24"/>
        </w:rPr>
        <w:t xml:space="preserve">distinguir a situação de declaração de descumprimento no caso em relação </w:t>
      </w:r>
      <w:r w:rsidR="007B591E">
        <w:rPr>
          <w:rFonts w:ascii="Times New Roman" w:hAnsi="Times New Roman"/>
          <w:sz w:val="24"/>
          <w:szCs w:val="24"/>
        </w:rPr>
        <w:t>a</w:t>
      </w:r>
      <w:r w:rsidR="00680C8F">
        <w:rPr>
          <w:rFonts w:ascii="Times New Roman" w:hAnsi="Times New Roman"/>
          <w:sz w:val="24"/>
          <w:szCs w:val="24"/>
        </w:rPr>
        <w:t xml:space="preserve"> </w:t>
      </w:r>
      <w:r w:rsidR="00321EC7">
        <w:rPr>
          <w:rFonts w:ascii="Times New Roman" w:hAnsi="Times New Roman"/>
          <w:sz w:val="24"/>
          <w:szCs w:val="24"/>
        </w:rPr>
        <w:t xml:space="preserve">situações em que a Corte </w:t>
      </w:r>
      <w:r>
        <w:rPr>
          <w:rFonts w:ascii="Times New Roman" w:hAnsi="Times New Roman"/>
          <w:sz w:val="24"/>
          <w:szCs w:val="24"/>
        </w:rPr>
        <w:t xml:space="preserve">se </w:t>
      </w:r>
      <w:r w:rsidR="00321EC7">
        <w:rPr>
          <w:rFonts w:ascii="Times New Roman" w:hAnsi="Times New Roman"/>
          <w:sz w:val="24"/>
          <w:szCs w:val="24"/>
        </w:rPr>
        <w:t>manifestou pelo descumprimento de medidas de reparação de forma associada ao descumprimento sistemático do dever de informar, ocasionando a aplicação do artigo 65 da Convenção. Ademais, a relação entre o Tribunal internacional e as instâncias internas</w:t>
      </w:r>
      <w:r w:rsidR="00CD12CF">
        <w:rPr>
          <w:rFonts w:ascii="Times New Roman" w:hAnsi="Times New Roman"/>
          <w:sz w:val="24"/>
          <w:szCs w:val="24"/>
        </w:rPr>
        <w:t>, temática ventilada na resolução,</w:t>
      </w:r>
      <w:r w:rsidR="00321E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nos </w:t>
      </w:r>
      <w:r w:rsidR="00321EC7">
        <w:rPr>
          <w:rFonts w:ascii="Times New Roman" w:hAnsi="Times New Roman"/>
          <w:sz w:val="24"/>
          <w:szCs w:val="24"/>
        </w:rPr>
        <w:t>permit</w:t>
      </w:r>
      <w:r>
        <w:rPr>
          <w:rFonts w:ascii="Times New Roman" w:hAnsi="Times New Roman"/>
          <w:sz w:val="24"/>
          <w:szCs w:val="24"/>
        </w:rPr>
        <w:t>e</w:t>
      </w:r>
      <w:r w:rsidR="00321EC7">
        <w:rPr>
          <w:rFonts w:ascii="Times New Roman" w:hAnsi="Times New Roman"/>
          <w:sz w:val="24"/>
          <w:szCs w:val="24"/>
        </w:rPr>
        <w:t xml:space="preserve"> observar que, embora as sentenças da Corte sejam dotadas de obrigatoriedade, sua efetividade é centralmente dependente da atuação dos atores internos. Em sua resolução, a Corte parece consciente de tal realidade e convida as instâncias internas</w:t>
      </w:r>
      <w:r w:rsidR="005368BD">
        <w:rPr>
          <w:rFonts w:ascii="Times New Roman" w:hAnsi="Times New Roman"/>
          <w:sz w:val="24"/>
          <w:szCs w:val="24"/>
        </w:rPr>
        <w:t xml:space="preserve"> </w:t>
      </w:r>
      <w:r w:rsidR="00321EC7">
        <w:rPr>
          <w:rFonts w:ascii="Times New Roman" w:hAnsi="Times New Roman"/>
          <w:sz w:val="24"/>
          <w:szCs w:val="24"/>
        </w:rPr>
        <w:t xml:space="preserve">ao envolvimento na promoção das medidas de </w:t>
      </w:r>
      <w:r w:rsidR="00CD12CF">
        <w:rPr>
          <w:rFonts w:ascii="Times New Roman" w:hAnsi="Times New Roman"/>
          <w:sz w:val="24"/>
          <w:szCs w:val="24"/>
        </w:rPr>
        <w:t>reparação</w:t>
      </w:r>
      <w:r w:rsidR="00321E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F4B74D" w14:textId="325E62C5" w:rsidR="00254AB3" w:rsidRDefault="00321EC7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0B59">
        <w:rPr>
          <w:rFonts w:ascii="Times New Roman" w:hAnsi="Times New Roman"/>
          <w:sz w:val="24"/>
          <w:szCs w:val="24"/>
        </w:rPr>
        <w:t>Desde sua primeira decisão, a Corte Interamericana interpreta as normas interamericanas, i</w:t>
      </w:r>
      <w:r w:rsidRPr="00746B0B">
        <w:rPr>
          <w:rFonts w:ascii="Times New Roman" w:hAnsi="Times New Roman"/>
          <w:sz w:val="24"/>
          <w:szCs w:val="24"/>
        </w:rPr>
        <w:t>nstrumentos firmados</w:t>
      </w:r>
      <w:r w:rsidRPr="00000B59">
        <w:rPr>
          <w:rFonts w:ascii="Times New Roman" w:hAnsi="Times New Roman"/>
          <w:sz w:val="24"/>
          <w:szCs w:val="24"/>
        </w:rPr>
        <w:t xml:space="preserve"> </w:t>
      </w:r>
      <w:r w:rsidRPr="00746B0B">
        <w:rPr>
          <w:rFonts w:ascii="Times New Roman" w:hAnsi="Times New Roman"/>
          <w:sz w:val="24"/>
          <w:szCs w:val="24"/>
        </w:rPr>
        <w:t xml:space="preserve">com o objetivo de promover os direitos humanos </w:t>
      </w:r>
      <w:r w:rsidRPr="00746B0B">
        <w:rPr>
          <w:rFonts w:ascii="Times New Roman" w:hAnsi="Times New Roman"/>
          <w:sz w:val="24"/>
          <w:szCs w:val="24"/>
        </w:rPr>
        <w:lastRenderedPageBreak/>
        <w:t>oferecendo uma proteção internacional complementar em relação à proteção que oferece o direito interno de cada Estado</w:t>
      </w:r>
      <w:r w:rsidRPr="00000B59">
        <w:rPr>
          <w:rFonts w:ascii="Times New Roman" w:hAnsi="Times New Roman"/>
          <w:sz w:val="24"/>
          <w:szCs w:val="24"/>
        </w:rPr>
        <w:t>, de forma a lhes conferir o máximo alcanc</w:t>
      </w:r>
      <w:r w:rsidR="004C456F">
        <w:rPr>
          <w:rFonts w:ascii="Times New Roman" w:hAnsi="Times New Roman"/>
          <w:sz w:val="24"/>
          <w:szCs w:val="24"/>
        </w:rPr>
        <w:t xml:space="preserve">e </w:t>
      </w:r>
      <w:r w:rsidRPr="00000B59">
        <w:rPr>
          <w:rFonts w:ascii="Times New Roman" w:hAnsi="Times New Roman"/>
          <w:sz w:val="24"/>
          <w:szCs w:val="24"/>
        </w:rPr>
        <w:t>(CONTESSE, 2016</w:t>
      </w:r>
      <w:r>
        <w:rPr>
          <w:rFonts w:ascii="Times New Roman" w:hAnsi="Times New Roman"/>
          <w:sz w:val="24"/>
          <w:szCs w:val="24"/>
        </w:rPr>
        <w:t>, p. 124</w:t>
      </w:r>
      <w:r w:rsidRPr="00000B59">
        <w:rPr>
          <w:rFonts w:ascii="Times New Roman" w:hAnsi="Times New Roman"/>
          <w:sz w:val="24"/>
          <w:szCs w:val="24"/>
        </w:rPr>
        <w:t xml:space="preserve">). </w:t>
      </w:r>
    </w:p>
    <w:p w14:paraId="2B5047EA" w14:textId="58A64EC0" w:rsidR="00254AB3" w:rsidRDefault="00321EC7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C40F8">
        <w:rPr>
          <w:rFonts w:ascii="Times New Roman" w:hAnsi="Times New Roman"/>
          <w:sz w:val="24"/>
          <w:szCs w:val="24"/>
        </w:rPr>
        <w:t xml:space="preserve">Em </w:t>
      </w:r>
      <w:r w:rsidRPr="00CC40F8">
        <w:rPr>
          <w:rFonts w:ascii="Times New Roman" w:hAnsi="Times New Roman"/>
          <w:i/>
          <w:iCs/>
          <w:sz w:val="24"/>
          <w:szCs w:val="24"/>
        </w:rPr>
        <w:t xml:space="preserve">Velásquez </w:t>
      </w:r>
      <w:proofErr w:type="spellStart"/>
      <w:r w:rsidRPr="00CC40F8">
        <w:rPr>
          <w:rFonts w:ascii="Times New Roman" w:hAnsi="Times New Roman"/>
          <w:i/>
          <w:iCs/>
          <w:sz w:val="24"/>
          <w:szCs w:val="24"/>
        </w:rPr>
        <w:t>Rodrígues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Vs. Honduras</w:t>
      </w:r>
      <w:r w:rsidRPr="00CC40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embora a Corte esclareça que o requisito do prévio esgotamento dos recursos internos repousa sobre a primariedade atribuída ao Estado para a proteção dos direitos humanos em seu território (Corte IDH, 1988, p. 13), ela excepciona </w:t>
      </w:r>
      <w:r w:rsidR="00C61F26">
        <w:rPr>
          <w:rFonts w:ascii="Times New Roman" w:hAnsi="Times New Roman"/>
          <w:sz w:val="24"/>
          <w:szCs w:val="24"/>
        </w:rPr>
        <w:t>sua</w:t>
      </w:r>
      <w:r>
        <w:rPr>
          <w:rFonts w:ascii="Times New Roman" w:hAnsi="Times New Roman"/>
          <w:sz w:val="24"/>
          <w:szCs w:val="24"/>
        </w:rPr>
        <w:t xml:space="preserve"> aplicação (Corte IDH, 1987, p. 17-18). Ao excepcionar o requisito, firmou a Corte, já em seu primeiro precedente, que </w:t>
      </w:r>
      <w:r w:rsidR="007B591E">
        <w:rPr>
          <w:rFonts w:ascii="Times New Roman" w:hAnsi="Times New Roman"/>
          <w:sz w:val="24"/>
          <w:szCs w:val="24"/>
        </w:rPr>
        <w:t>s</w:t>
      </w:r>
      <w:r w:rsidRPr="00A91929">
        <w:rPr>
          <w:rFonts w:ascii="Times New Roman" w:hAnsi="Times New Roman"/>
          <w:sz w:val="24"/>
          <w:szCs w:val="24"/>
        </w:rPr>
        <w:t>empre que o peticionário alegue q</w:t>
      </w:r>
      <w:r>
        <w:rPr>
          <w:rFonts w:ascii="Times New Roman" w:hAnsi="Times New Roman"/>
          <w:sz w:val="24"/>
          <w:szCs w:val="24"/>
        </w:rPr>
        <w:t>ue os recursos internos não existem ou são ilusórios, a proteção internacional pode ser necessária, limitando-se o alcance da regra convencional sobre o prévio esgotamento e a aplicabilidade do princípio da subsidiariedade</w:t>
      </w:r>
      <w:r w:rsidR="00254AB3">
        <w:rPr>
          <w:rFonts w:ascii="Times New Roman" w:hAnsi="Times New Roman"/>
          <w:sz w:val="24"/>
          <w:szCs w:val="24"/>
        </w:rPr>
        <w:t>.</w:t>
      </w:r>
    </w:p>
    <w:p w14:paraId="20F34A29" w14:textId="45DDCBF7" w:rsidR="00192F3B" w:rsidRDefault="00321EC7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observa</w:t>
      </w:r>
      <w:r w:rsidRPr="00000B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Contesse</w:t>
      </w:r>
      <w:proofErr w:type="spellEnd"/>
      <w:r w:rsidRPr="00000B59">
        <w:rPr>
          <w:rFonts w:ascii="Times New Roman" w:hAnsi="Times New Roman"/>
          <w:sz w:val="24"/>
          <w:szCs w:val="24"/>
        </w:rPr>
        <w:t xml:space="preserve">, embora a Corte tenha passado por distintas fases </w:t>
      </w:r>
      <w:r>
        <w:rPr>
          <w:rFonts w:ascii="Times New Roman" w:hAnsi="Times New Roman"/>
          <w:sz w:val="24"/>
          <w:szCs w:val="24"/>
        </w:rPr>
        <w:t>e</w:t>
      </w:r>
      <w:r w:rsidR="007B5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já não se debruce na maior parte dos casos sobre atos de regimes autoritários, o </w:t>
      </w:r>
      <w:proofErr w:type="spellStart"/>
      <w:r w:rsidRPr="00D936F7">
        <w:rPr>
          <w:rFonts w:ascii="Times New Roman" w:hAnsi="Times New Roman"/>
          <w:i/>
          <w:iCs/>
          <w:sz w:val="24"/>
          <w:szCs w:val="24"/>
        </w:rPr>
        <w:t>ethos</w:t>
      </w:r>
      <w:proofErr w:type="spellEnd"/>
      <w:r>
        <w:rPr>
          <w:rFonts w:ascii="Times New Roman" w:hAnsi="Times New Roman"/>
          <w:sz w:val="24"/>
          <w:szCs w:val="24"/>
        </w:rPr>
        <w:t xml:space="preserve"> cunhado nos casos iniciais, em que se confrontou com políticas de Estado que implicaram em violações massivas e sistemáticas de direitos humanos, segue bastante presente. </w:t>
      </w:r>
      <w:r w:rsidRPr="00FB4EF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forte</w:t>
      </w:r>
      <w:r w:rsidRPr="00FB4EF5">
        <w:rPr>
          <w:rFonts w:ascii="Times New Roman" w:hAnsi="Times New Roman"/>
          <w:sz w:val="24"/>
          <w:szCs w:val="24"/>
        </w:rPr>
        <w:t xml:space="preserve"> autoridade que pretende exercer a Corte Interamericana</w:t>
      </w:r>
      <w:r>
        <w:rPr>
          <w:rFonts w:ascii="Times New Roman" w:hAnsi="Times New Roman"/>
          <w:sz w:val="24"/>
          <w:szCs w:val="24"/>
        </w:rPr>
        <w:t>, naturalmente,</w:t>
      </w:r>
      <w:r w:rsidRPr="00FB4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 gerar descontentamento</w:t>
      </w:r>
      <w:r w:rsidR="007B591E">
        <w:rPr>
          <w:rFonts w:ascii="Times New Roman" w:hAnsi="Times New Roman"/>
          <w:sz w:val="24"/>
          <w:szCs w:val="24"/>
        </w:rPr>
        <w:t>s</w:t>
      </w:r>
      <w:r w:rsidR="00CD12CF">
        <w:rPr>
          <w:rFonts w:ascii="Times New Roman" w:hAnsi="Times New Roman"/>
          <w:sz w:val="24"/>
          <w:szCs w:val="24"/>
        </w:rPr>
        <w:t xml:space="preserve"> </w:t>
      </w:r>
      <w:r w:rsidRPr="00347012">
        <w:rPr>
          <w:rFonts w:ascii="Times New Roman" w:hAnsi="Times New Roman"/>
        </w:rPr>
        <w:t>(CONTESSE, 2016, p. 133).</w:t>
      </w:r>
    </w:p>
    <w:p w14:paraId="045427D4" w14:textId="3D944D40" w:rsidR="00192F3B" w:rsidRDefault="00321EC7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Desde seu </w:t>
      </w:r>
      <w:proofErr w:type="spellStart"/>
      <w:r w:rsidRPr="00D87170">
        <w:rPr>
          <w:rFonts w:ascii="Times New Roman" w:hAnsi="Times New Roman"/>
          <w:i/>
          <w:iCs/>
          <w:sz w:val="24"/>
          <w:szCs w:val="24"/>
        </w:rPr>
        <w:t>ethos</w:t>
      </w:r>
      <w:proofErr w:type="spellEnd"/>
      <w:r w:rsidRPr="00D8717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original, a Corte IDH aprofundou uma visão robusta sobre sua autoridade </w:t>
      </w:r>
      <w:r w:rsidRPr="00100151">
        <w:rPr>
          <w:rFonts w:ascii="Times New Roman" w:hAnsi="Times New Roman"/>
          <w:sz w:val="24"/>
          <w:szCs w:val="24"/>
        </w:rPr>
        <w:t>(SOLEY; STEININGER, 2018</w:t>
      </w:r>
      <w:r>
        <w:rPr>
          <w:rFonts w:ascii="Times New Roman" w:hAnsi="Times New Roman"/>
          <w:sz w:val="24"/>
          <w:szCs w:val="24"/>
        </w:rPr>
        <w:t>, p. 2</w:t>
      </w:r>
      <w:r w:rsidRPr="0010015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se estabelecendo de forma expressa como intérprete final da Convenção Americana</w:t>
      </w:r>
      <w:r w:rsidR="00254AB3">
        <w:rPr>
          <w:rFonts w:ascii="Times New Roman" w:hAnsi="Times New Roman"/>
          <w:sz w:val="24"/>
          <w:szCs w:val="24"/>
        </w:rPr>
        <w:t xml:space="preserve"> </w:t>
      </w:r>
      <w:r w:rsidRPr="00254AB3">
        <w:rPr>
          <w:rFonts w:ascii="Times New Roman" w:hAnsi="Times New Roman"/>
        </w:rPr>
        <w:t>(Corte IDH, 2010, p.</w:t>
      </w:r>
      <w:r w:rsidR="004C456F">
        <w:rPr>
          <w:rFonts w:ascii="Times New Roman" w:hAnsi="Times New Roman"/>
        </w:rPr>
        <w:t xml:space="preserve"> </w:t>
      </w:r>
      <w:r w:rsidRPr="00254AB3">
        <w:rPr>
          <w:rFonts w:ascii="Times New Roman" w:hAnsi="Times New Roman"/>
        </w:rPr>
        <w:t>86)</w:t>
      </w:r>
      <w:r w:rsidR="00254AB3">
        <w:rPr>
          <w:rFonts w:ascii="Times New Roman" w:hAnsi="Times New Roman"/>
        </w:rPr>
        <w:t>.</w:t>
      </w:r>
      <w:r w:rsidR="007B591E">
        <w:rPr>
          <w:rFonts w:ascii="Times New Roman" w:hAnsi="Times New Roman"/>
          <w:sz w:val="24"/>
          <w:szCs w:val="24"/>
        </w:rPr>
        <w:t xml:space="preserve"> </w:t>
      </w:r>
      <w:r w:rsidRPr="00100151">
        <w:rPr>
          <w:rFonts w:ascii="Times New Roman" w:hAnsi="Times New Roman"/>
          <w:sz w:val="24"/>
          <w:szCs w:val="24"/>
        </w:rPr>
        <w:t>Os desenvolvimentos jurisprud</w:t>
      </w:r>
      <w:r>
        <w:rPr>
          <w:rFonts w:ascii="Times New Roman" w:hAnsi="Times New Roman"/>
          <w:sz w:val="24"/>
          <w:szCs w:val="24"/>
        </w:rPr>
        <w:t>e</w:t>
      </w:r>
      <w:r w:rsidRPr="00100151">
        <w:rPr>
          <w:rFonts w:ascii="Times New Roman" w:hAnsi="Times New Roman"/>
          <w:sz w:val="24"/>
          <w:szCs w:val="24"/>
        </w:rPr>
        <w:t>ncia</w:t>
      </w:r>
      <w:r>
        <w:rPr>
          <w:rFonts w:ascii="Times New Roman" w:hAnsi="Times New Roman"/>
          <w:sz w:val="24"/>
          <w:szCs w:val="24"/>
        </w:rPr>
        <w:t>i</w:t>
      </w:r>
      <w:r w:rsidRPr="00100151">
        <w:rPr>
          <w:rFonts w:ascii="Times New Roman" w:hAnsi="Times New Roman"/>
          <w:sz w:val="24"/>
          <w:szCs w:val="24"/>
        </w:rPr>
        <w:t>s da Corte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151">
        <w:rPr>
          <w:rFonts w:ascii="Times New Roman" w:hAnsi="Times New Roman"/>
          <w:sz w:val="24"/>
          <w:szCs w:val="24"/>
        </w:rPr>
        <w:t>permitiram</w:t>
      </w:r>
      <w:r w:rsidR="00CD12CF">
        <w:rPr>
          <w:rFonts w:ascii="Times New Roman" w:hAnsi="Times New Roman"/>
          <w:sz w:val="24"/>
          <w:szCs w:val="24"/>
        </w:rPr>
        <w:t xml:space="preserve"> também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151">
        <w:rPr>
          <w:rFonts w:ascii="Times New Roman" w:hAnsi="Times New Roman"/>
          <w:sz w:val="24"/>
          <w:szCs w:val="24"/>
        </w:rPr>
        <w:t>a criação de um peculiar sistema de supervisão do cumprimento das decisões pela Corte, com um dever aos Estados de relatarem seus esforços para o cumprimento</w:t>
      </w:r>
      <w:r w:rsidR="007B591E">
        <w:rPr>
          <w:rFonts w:ascii="Times New Roman" w:hAnsi="Times New Roman"/>
          <w:sz w:val="24"/>
          <w:szCs w:val="24"/>
        </w:rPr>
        <w:t xml:space="preserve"> e</w:t>
      </w:r>
      <w:r w:rsidR="00CD12CF">
        <w:rPr>
          <w:rFonts w:ascii="Times New Roman" w:hAnsi="Times New Roman"/>
          <w:sz w:val="24"/>
          <w:szCs w:val="24"/>
        </w:rPr>
        <w:t xml:space="preserve"> a</w:t>
      </w:r>
      <w:r w:rsidRPr="00100151">
        <w:rPr>
          <w:rFonts w:ascii="Times New Roman" w:hAnsi="Times New Roman"/>
          <w:sz w:val="24"/>
          <w:szCs w:val="24"/>
        </w:rPr>
        <w:t xml:space="preserve"> publicização periódica </w:t>
      </w:r>
      <w:r>
        <w:rPr>
          <w:rFonts w:ascii="Times New Roman" w:hAnsi="Times New Roman"/>
          <w:sz w:val="24"/>
          <w:szCs w:val="24"/>
        </w:rPr>
        <w:t xml:space="preserve">sobre o grau </w:t>
      </w:r>
      <w:r w:rsidRPr="00100151">
        <w:rPr>
          <w:rFonts w:ascii="Times New Roman" w:hAnsi="Times New Roman"/>
          <w:sz w:val="24"/>
          <w:szCs w:val="24"/>
        </w:rPr>
        <w:t>de cumprimento dos casos (HUNEEUS, 2013)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D02F8E3" w14:textId="3420ACAE" w:rsidR="00192F3B" w:rsidRDefault="00321EC7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Apesar da visão robusta sobre sua autoridade, a realidade revela fragilidades </w:t>
      </w:r>
      <w:r w:rsidR="00CD12C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atuação da Corte, a indicar que o papel regional transformador que busca exercer depende do êxito em lidar com os diversos atores institucionais e manter o equilíbrio político e jurídico no Sistema Interamericano. O alcance e a manutenção de tal </w:t>
      </w:r>
      <w:r w:rsidRPr="00AE1EDA">
        <w:rPr>
          <w:rFonts w:ascii="Times New Roman" w:hAnsi="Times New Roman"/>
          <w:sz w:val="24"/>
          <w:szCs w:val="24"/>
        </w:rPr>
        <w:t>equilíbrio</w:t>
      </w:r>
      <w:r>
        <w:rPr>
          <w:rFonts w:ascii="Times New Roman" w:hAnsi="Times New Roman"/>
          <w:sz w:val="24"/>
          <w:szCs w:val="24"/>
        </w:rPr>
        <w:t xml:space="preserve"> pode exigir </w:t>
      </w:r>
      <w:r w:rsidRPr="00AE1EDA">
        <w:rPr>
          <w:rFonts w:ascii="Times New Roman" w:hAnsi="Times New Roman"/>
          <w:sz w:val="24"/>
          <w:szCs w:val="24"/>
        </w:rPr>
        <w:t>enfoques de deferência em relação aos Estados, trabalhando</w:t>
      </w:r>
      <w:r>
        <w:rPr>
          <w:rFonts w:ascii="Times New Roman" w:hAnsi="Times New Roman"/>
          <w:sz w:val="24"/>
          <w:szCs w:val="24"/>
        </w:rPr>
        <w:t xml:space="preserve"> a Corte</w:t>
      </w:r>
      <w:r w:rsidRPr="00AE1EDA">
        <w:rPr>
          <w:rFonts w:ascii="Times New Roman" w:hAnsi="Times New Roman"/>
          <w:sz w:val="24"/>
          <w:szCs w:val="24"/>
        </w:rPr>
        <w:t xml:space="preserve"> em um “modelo bilateral de superação de situações estruturais ou políticas que causam a vulnerabilidade dos direitos humanos” (ROA </w:t>
      </w:r>
      <w:proofErr w:type="spellStart"/>
      <w:r w:rsidRPr="00AE1EDA">
        <w:rPr>
          <w:rFonts w:ascii="Times New Roman" w:hAnsi="Times New Roman"/>
          <w:sz w:val="24"/>
          <w:szCs w:val="24"/>
        </w:rPr>
        <w:t>ROA</w:t>
      </w:r>
      <w:proofErr w:type="spellEnd"/>
      <w:r w:rsidRPr="00AE1EDA">
        <w:rPr>
          <w:rFonts w:ascii="Times New Roman" w:hAnsi="Times New Roman"/>
          <w:sz w:val="24"/>
          <w:szCs w:val="24"/>
        </w:rPr>
        <w:t xml:space="preserve">; </w:t>
      </w:r>
      <w:r w:rsidRPr="00AE1EDA">
        <w:rPr>
          <w:rFonts w:ascii="Times New Roman" w:hAnsi="Times New Roman"/>
          <w:color w:val="000000"/>
          <w:sz w:val="24"/>
          <w:szCs w:val="24"/>
        </w:rPr>
        <w:t>CHUEIRI, 2018, p. 12)</w:t>
      </w:r>
      <w:r w:rsidR="00254AB3">
        <w:rPr>
          <w:rFonts w:ascii="Times New Roman" w:hAnsi="Times New Roman"/>
          <w:color w:val="000000"/>
          <w:sz w:val="24"/>
          <w:szCs w:val="24"/>
        </w:rPr>
        <w:t>.</w:t>
      </w:r>
    </w:p>
    <w:p w14:paraId="273EA95A" w14:textId="3CA11822" w:rsidR="00192F3B" w:rsidRDefault="00321EC7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resolução de 28 de janeiro de 2021 de supervisão de cumprimento da sentença do caso </w:t>
      </w:r>
      <w:r w:rsidRPr="00576DA7">
        <w:rPr>
          <w:rFonts w:ascii="Times New Roman" w:hAnsi="Times New Roman"/>
          <w:i/>
          <w:iCs/>
          <w:sz w:val="24"/>
          <w:szCs w:val="24"/>
        </w:rPr>
        <w:t>Ximenes Lopes Vs. Brasil</w:t>
      </w:r>
      <w:r>
        <w:rPr>
          <w:rFonts w:ascii="Times New Roman" w:hAnsi="Times New Roman"/>
          <w:sz w:val="24"/>
          <w:szCs w:val="24"/>
        </w:rPr>
        <w:t>, a Corte, pela primeira vez, declarou de forma expressa o descumprimento de uma obrigação de reparar pelo país. A resolução sobre o caso é ilustrativa quanto aos limites do órgão internacional e ilumina a centralidade da atuação das instituições internas</w:t>
      </w:r>
      <w:r w:rsidR="005368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para a força da autoridade do Tribunal internacional. A realidade revela, como apontam </w:t>
      </w:r>
      <w:proofErr w:type="spellStart"/>
      <w:r>
        <w:rPr>
          <w:rFonts w:ascii="Times New Roman" w:hAnsi="Times New Roman"/>
          <w:sz w:val="24"/>
          <w:szCs w:val="24"/>
        </w:rPr>
        <w:t>Lustig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Weiler</w:t>
      </w:r>
      <w:proofErr w:type="spellEnd"/>
      <w:r>
        <w:rPr>
          <w:rFonts w:ascii="Times New Roman" w:hAnsi="Times New Roman"/>
          <w:sz w:val="24"/>
          <w:szCs w:val="24"/>
        </w:rPr>
        <w:t xml:space="preserve"> (2018, p. 328), que as Cortes nacionais são o mais efetivo mecanismo de efetivação do direito internacional.</w:t>
      </w:r>
    </w:p>
    <w:p w14:paraId="0CE70569" w14:textId="77777777" w:rsidR="007B591E" w:rsidRDefault="00475694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7BD1">
        <w:rPr>
          <w:rFonts w:ascii="Times New Roman" w:hAnsi="Times New Roman"/>
          <w:sz w:val="24"/>
          <w:szCs w:val="24"/>
        </w:rPr>
        <w:t xml:space="preserve">É preciso cuidado ao se analisar e aplicar o conceito de </w:t>
      </w:r>
      <w:proofErr w:type="spellStart"/>
      <w:r w:rsidRPr="003D7BD1">
        <w:rPr>
          <w:rFonts w:ascii="Times New Roman" w:hAnsi="Times New Roman"/>
          <w:i/>
          <w:iCs/>
          <w:sz w:val="24"/>
          <w:szCs w:val="24"/>
        </w:rPr>
        <w:t>backlash</w:t>
      </w:r>
      <w:proofErr w:type="spellEnd"/>
      <w:r w:rsidRPr="003D7BD1">
        <w:rPr>
          <w:rFonts w:ascii="Times New Roman" w:hAnsi="Times New Roman"/>
          <w:sz w:val="24"/>
          <w:szCs w:val="24"/>
        </w:rPr>
        <w:t xml:space="preserve"> em relação às diversas reações que uma Corte que busca exercer uma autoridade tão robusta como a que vem emanando a Corte Interamericana </w:t>
      </w:r>
      <w:r>
        <w:rPr>
          <w:rFonts w:ascii="Times New Roman" w:hAnsi="Times New Roman"/>
          <w:sz w:val="24"/>
          <w:szCs w:val="24"/>
        </w:rPr>
        <w:t>pode suscitar</w:t>
      </w:r>
      <w:r w:rsidRPr="003D7BD1">
        <w:rPr>
          <w:rFonts w:ascii="Times New Roman" w:hAnsi="Times New Roman"/>
          <w:sz w:val="24"/>
          <w:szCs w:val="24"/>
        </w:rPr>
        <w:t xml:space="preserve">. </w:t>
      </w:r>
    </w:p>
    <w:p w14:paraId="09F023AE" w14:textId="0FE70352" w:rsidR="00192F3B" w:rsidRDefault="00475694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Ximena </w:t>
      </w:r>
      <w:proofErr w:type="spellStart"/>
      <w:r>
        <w:rPr>
          <w:rFonts w:ascii="Times New Roman" w:hAnsi="Times New Roman"/>
          <w:sz w:val="24"/>
          <w:szCs w:val="24"/>
        </w:rPr>
        <w:t>Soley</w:t>
      </w:r>
      <w:proofErr w:type="spellEnd"/>
      <w:r>
        <w:rPr>
          <w:rFonts w:ascii="Times New Roman" w:hAnsi="Times New Roman"/>
          <w:sz w:val="24"/>
          <w:szCs w:val="24"/>
        </w:rPr>
        <w:t xml:space="preserve"> e Silvia </w:t>
      </w:r>
      <w:proofErr w:type="spellStart"/>
      <w:r>
        <w:rPr>
          <w:rFonts w:ascii="Times New Roman" w:hAnsi="Times New Roman"/>
          <w:sz w:val="24"/>
          <w:szCs w:val="24"/>
        </w:rPr>
        <w:t>Steininger</w:t>
      </w:r>
      <w:proofErr w:type="spellEnd"/>
      <w:r>
        <w:rPr>
          <w:rFonts w:ascii="Times New Roman" w:hAnsi="Times New Roman"/>
          <w:sz w:val="24"/>
          <w:szCs w:val="24"/>
        </w:rPr>
        <w:t xml:space="preserve"> trazem uma categorização equilibrada quanto às reações dos Estados ao atuar da Corte Interamericana.</w:t>
      </w:r>
      <w:r w:rsidR="00192F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autoras esclarecem que, embora muitos relacionem a questão do não cumprimento das decisões das Cortes com o debate sobre </w:t>
      </w:r>
      <w:proofErr w:type="spellStart"/>
      <w:r w:rsidRPr="000521A4">
        <w:rPr>
          <w:rFonts w:ascii="Times New Roman" w:hAnsi="Times New Roman"/>
          <w:i/>
          <w:iCs/>
          <w:sz w:val="24"/>
          <w:szCs w:val="24"/>
        </w:rPr>
        <w:t>backlash</w:t>
      </w:r>
      <w:proofErr w:type="spellEnd"/>
      <w:r>
        <w:rPr>
          <w:rFonts w:ascii="Times New Roman" w:hAnsi="Times New Roman"/>
          <w:sz w:val="24"/>
          <w:szCs w:val="24"/>
        </w:rPr>
        <w:t>, tal relação, no contexto das Cortes internacionais, pode ser problemática porque a maioria dos casos de não cumprimento de uma decisão internacional não são acompanhados por uma crítica à Corte</w:t>
      </w:r>
      <w:r w:rsidR="00FE6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00151">
        <w:rPr>
          <w:rFonts w:ascii="Times New Roman" w:hAnsi="Times New Roman"/>
          <w:sz w:val="24"/>
          <w:szCs w:val="24"/>
        </w:rPr>
        <w:t>SOLEY; STEININGER, 2018</w:t>
      </w:r>
      <w:r>
        <w:rPr>
          <w:rFonts w:ascii="Times New Roman" w:hAnsi="Times New Roman"/>
          <w:sz w:val="24"/>
          <w:szCs w:val="24"/>
        </w:rPr>
        <w:t>, p. 7).</w:t>
      </w:r>
    </w:p>
    <w:p w14:paraId="5AA73DD6" w14:textId="7B6D43C9" w:rsidR="00192F3B" w:rsidRDefault="00475694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autoras propõem uma gradação das possíveis reações à Corte. Nas reações de </w:t>
      </w:r>
      <w:proofErr w:type="spellStart"/>
      <w:r w:rsidRPr="003F5288">
        <w:rPr>
          <w:rFonts w:ascii="Times New Roman" w:hAnsi="Times New Roman"/>
          <w:i/>
          <w:iCs/>
          <w:sz w:val="24"/>
          <w:szCs w:val="24"/>
        </w:rPr>
        <w:t>backlash</w:t>
      </w:r>
      <w:proofErr w:type="spellEnd"/>
      <w:r>
        <w:rPr>
          <w:rFonts w:ascii="Times New Roman" w:hAnsi="Times New Roman"/>
          <w:sz w:val="24"/>
          <w:szCs w:val="24"/>
        </w:rPr>
        <w:t xml:space="preserve"> e resistência, a Corte é desafiada enquanto instituição. Nas reações de contestação e objeção, decisões do Tribunal podem ser de forma ordinária objeto de crítica, sem ameaças para</w:t>
      </w:r>
      <w:r w:rsidR="00FE6644">
        <w:rPr>
          <w:rFonts w:ascii="Times New Roman" w:hAnsi="Times New Roman"/>
          <w:sz w:val="24"/>
          <w:szCs w:val="24"/>
        </w:rPr>
        <w:t xml:space="preserve"> seu</w:t>
      </w:r>
      <w:r>
        <w:rPr>
          <w:rFonts w:ascii="Times New Roman" w:hAnsi="Times New Roman"/>
          <w:sz w:val="24"/>
          <w:szCs w:val="24"/>
        </w:rPr>
        <w:t xml:space="preserve"> funcionamento. As o</w:t>
      </w:r>
      <w:r w:rsidRPr="003F5288">
        <w:rPr>
          <w:rFonts w:ascii="Times New Roman" w:hAnsi="Times New Roman"/>
          <w:sz w:val="24"/>
          <w:szCs w:val="24"/>
        </w:rPr>
        <w:t xml:space="preserve">bjeções são parte do </w:t>
      </w:r>
      <w:r>
        <w:rPr>
          <w:rFonts w:ascii="Times New Roman" w:hAnsi="Times New Roman"/>
          <w:sz w:val="24"/>
          <w:szCs w:val="24"/>
        </w:rPr>
        <w:t>processo judicial e o que as autoras chamam de contestação</w:t>
      </w:r>
      <w:r w:rsidR="00FE6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envolveria a crítica não</w:t>
      </w:r>
      <w:r w:rsidR="00CD12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uma decisão em si, mas do uso das normas e procedimentos pela instituição. A resistência abarcaria críticas à instituição e tentativas de reforma do Tribunal, mas sem a sua rejeição</w:t>
      </w:r>
      <w:r w:rsidR="00FE66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644">
        <w:rPr>
          <w:rFonts w:ascii="Times New Roman" w:hAnsi="Times New Roman"/>
          <w:i/>
          <w:iCs/>
          <w:sz w:val="24"/>
          <w:szCs w:val="24"/>
        </w:rPr>
        <w:t>B</w:t>
      </w:r>
      <w:r w:rsidRPr="00425237">
        <w:rPr>
          <w:rFonts w:ascii="Times New Roman" w:hAnsi="Times New Roman"/>
          <w:i/>
          <w:iCs/>
          <w:sz w:val="24"/>
          <w:szCs w:val="24"/>
        </w:rPr>
        <w:t>acklash</w:t>
      </w:r>
      <w:proofErr w:type="spellEnd"/>
      <w:r>
        <w:rPr>
          <w:rFonts w:ascii="Times New Roman" w:hAnsi="Times New Roman"/>
          <w:sz w:val="24"/>
          <w:szCs w:val="24"/>
        </w:rPr>
        <w:t xml:space="preserve"> ocorreria nas formas mais severas de crítica, </w:t>
      </w:r>
      <w:r w:rsidR="00FE6644">
        <w:rPr>
          <w:rFonts w:ascii="Times New Roman" w:hAnsi="Times New Roman"/>
          <w:sz w:val="24"/>
          <w:szCs w:val="24"/>
        </w:rPr>
        <w:t xml:space="preserve">por </w:t>
      </w:r>
      <w:r>
        <w:rPr>
          <w:rFonts w:ascii="Times New Roman" w:hAnsi="Times New Roman"/>
          <w:sz w:val="24"/>
          <w:szCs w:val="24"/>
        </w:rPr>
        <w:t>ações que buscariam diminuir o poder da Corte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00151">
        <w:rPr>
          <w:rFonts w:ascii="Times New Roman" w:hAnsi="Times New Roman"/>
          <w:sz w:val="24"/>
          <w:szCs w:val="24"/>
        </w:rPr>
        <w:t>SOLEY; STEININGER, 2018</w:t>
      </w:r>
      <w:r>
        <w:rPr>
          <w:rFonts w:ascii="Times New Roman" w:hAnsi="Times New Roman"/>
          <w:sz w:val="24"/>
          <w:szCs w:val="24"/>
        </w:rPr>
        <w:t>, p. 8-9).</w:t>
      </w:r>
    </w:p>
    <w:p w14:paraId="4F4DC053" w14:textId="0B15FAA2" w:rsidR="00192F3B" w:rsidRDefault="00475694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E6355">
        <w:rPr>
          <w:rFonts w:ascii="Times New Roman" w:hAnsi="Times New Roman"/>
          <w:sz w:val="24"/>
          <w:szCs w:val="24"/>
        </w:rPr>
        <w:t>Como recordou a Corte em sua resolução de 28 de janeiro de 2021, os Estados</w:t>
      </w:r>
      <w:r w:rsidR="009D2F30">
        <w:rPr>
          <w:rFonts w:ascii="Times New Roman" w:hAnsi="Times New Roman"/>
          <w:sz w:val="24"/>
          <w:szCs w:val="24"/>
        </w:rPr>
        <w:t>-Partes</w:t>
      </w:r>
      <w:r w:rsidRPr="003E6355">
        <w:rPr>
          <w:rFonts w:ascii="Times New Roman" w:hAnsi="Times New Roman"/>
          <w:sz w:val="24"/>
          <w:szCs w:val="24"/>
        </w:rPr>
        <w:t xml:space="preserve"> se comp</w:t>
      </w:r>
      <w:r>
        <w:rPr>
          <w:rFonts w:ascii="Times New Roman" w:hAnsi="Times New Roman"/>
          <w:sz w:val="24"/>
          <w:szCs w:val="24"/>
        </w:rPr>
        <w:t>rometem</w:t>
      </w:r>
      <w:r w:rsidRPr="003E6355">
        <w:rPr>
          <w:rFonts w:ascii="Times New Roman" w:hAnsi="Times New Roman"/>
          <w:sz w:val="24"/>
          <w:szCs w:val="24"/>
        </w:rPr>
        <w:t xml:space="preserve"> a cumprir </w:t>
      </w:r>
      <w:r>
        <w:rPr>
          <w:rFonts w:ascii="Times New Roman" w:hAnsi="Times New Roman"/>
          <w:sz w:val="24"/>
          <w:szCs w:val="24"/>
        </w:rPr>
        <w:t>sua</w:t>
      </w:r>
      <w:r w:rsidR="009D2F30">
        <w:rPr>
          <w:rFonts w:ascii="Times New Roman" w:hAnsi="Times New Roman"/>
          <w:sz w:val="24"/>
          <w:szCs w:val="24"/>
        </w:rPr>
        <w:t>s</w:t>
      </w:r>
      <w:r w:rsidRPr="003E6355">
        <w:rPr>
          <w:rFonts w:ascii="Times New Roman" w:hAnsi="Times New Roman"/>
          <w:sz w:val="24"/>
          <w:szCs w:val="24"/>
        </w:rPr>
        <w:t xml:space="preserve"> decis</w:t>
      </w:r>
      <w:r w:rsidR="009D2F30">
        <w:rPr>
          <w:rFonts w:ascii="Times New Roman" w:hAnsi="Times New Roman"/>
          <w:sz w:val="24"/>
          <w:szCs w:val="24"/>
        </w:rPr>
        <w:t>ões</w:t>
      </w:r>
      <w:r w:rsidR="00C61F26">
        <w:rPr>
          <w:rFonts w:ascii="Times New Roman" w:hAnsi="Times New Roman"/>
          <w:sz w:val="24"/>
          <w:szCs w:val="24"/>
        </w:rPr>
        <w:t xml:space="preserve"> e</w:t>
      </w:r>
      <w:r w:rsidRPr="003E63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dever de garantir</w:t>
      </w:r>
      <w:r w:rsidRPr="003E6355">
        <w:rPr>
          <w:rFonts w:ascii="Times New Roman" w:hAnsi="Times New Roman"/>
          <w:sz w:val="24"/>
          <w:szCs w:val="24"/>
        </w:rPr>
        <w:t xml:space="preserve"> o cumprimento inclui o dever de informar sobre as medidas adotada</w:t>
      </w:r>
      <w:r>
        <w:rPr>
          <w:rFonts w:ascii="Times New Roman" w:hAnsi="Times New Roman"/>
          <w:sz w:val="24"/>
          <w:szCs w:val="24"/>
        </w:rPr>
        <w:t>s.</w:t>
      </w:r>
      <w:r w:rsidR="00FF5FFE">
        <w:rPr>
          <w:rFonts w:ascii="Times New Roman" w:hAnsi="Times New Roman"/>
          <w:sz w:val="24"/>
          <w:szCs w:val="24"/>
        </w:rPr>
        <w:t xml:space="preserve"> </w:t>
      </w:r>
      <w:r w:rsidRPr="007E535B">
        <w:rPr>
          <w:rFonts w:ascii="Times New Roman" w:hAnsi="Times New Roman"/>
          <w:sz w:val="24"/>
          <w:szCs w:val="24"/>
        </w:rPr>
        <w:t>C</w:t>
      </w:r>
      <w:r w:rsidR="00FE6644">
        <w:rPr>
          <w:rFonts w:ascii="Times New Roman" w:hAnsi="Times New Roman"/>
          <w:sz w:val="24"/>
          <w:szCs w:val="24"/>
        </w:rPr>
        <w:t>omo</w:t>
      </w:r>
      <w:r w:rsidRPr="007E535B">
        <w:rPr>
          <w:rFonts w:ascii="Times New Roman" w:hAnsi="Times New Roman"/>
          <w:sz w:val="24"/>
          <w:szCs w:val="24"/>
        </w:rPr>
        <w:t xml:space="preserve"> decidiu em</w:t>
      </w:r>
      <w:r w:rsidR="0004268F">
        <w:rPr>
          <w:rFonts w:ascii="Times New Roman" w:hAnsi="Times New Roman"/>
          <w:sz w:val="24"/>
          <w:szCs w:val="24"/>
        </w:rPr>
        <w:t xml:space="preserve"> casos</w:t>
      </w:r>
      <w:r w:rsidRPr="007E535B">
        <w:rPr>
          <w:rFonts w:ascii="Times New Roman" w:hAnsi="Times New Roman"/>
          <w:sz w:val="24"/>
          <w:szCs w:val="24"/>
        </w:rPr>
        <w:t xml:space="preserve"> precedentes</w:t>
      </w:r>
      <w:r>
        <w:rPr>
          <w:rFonts w:ascii="Times New Roman" w:hAnsi="Times New Roman"/>
          <w:sz w:val="24"/>
          <w:szCs w:val="24"/>
        </w:rPr>
        <w:t>,</w:t>
      </w:r>
      <w:r w:rsidRPr="007E5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Corte compreende que</w:t>
      </w:r>
      <w:r w:rsidRPr="003E6355">
        <w:rPr>
          <w:rFonts w:ascii="Times New Roman" w:hAnsi="Times New Roman"/>
          <w:sz w:val="24"/>
          <w:szCs w:val="24"/>
        </w:rPr>
        <w:t xml:space="preserve"> a falta do</w:t>
      </w:r>
      <w:r>
        <w:rPr>
          <w:rFonts w:ascii="Times New Roman" w:hAnsi="Times New Roman"/>
          <w:sz w:val="24"/>
          <w:szCs w:val="24"/>
        </w:rPr>
        <w:t>s</w:t>
      </w:r>
      <w:r w:rsidRPr="003E6355">
        <w:rPr>
          <w:rFonts w:ascii="Times New Roman" w:hAnsi="Times New Roman"/>
          <w:sz w:val="24"/>
          <w:szCs w:val="24"/>
        </w:rPr>
        <w:t xml:space="preserve"> Estado</w:t>
      </w:r>
      <w:r>
        <w:rPr>
          <w:rFonts w:ascii="Times New Roman" w:hAnsi="Times New Roman"/>
          <w:sz w:val="24"/>
          <w:szCs w:val="24"/>
        </w:rPr>
        <w:t>s</w:t>
      </w:r>
      <w:r w:rsidRPr="003E6355">
        <w:rPr>
          <w:rFonts w:ascii="Times New Roman" w:hAnsi="Times New Roman"/>
          <w:sz w:val="24"/>
          <w:szCs w:val="24"/>
        </w:rPr>
        <w:t xml:space="preserve"> em cumprir com </w:t>
      </w:r>
      <w:r>
        <w:rPr>
          <w:rFonts w:ascii="Times New Roman" w:hAnsi="Times New Roman"/>
          <w:sz w:val="24"/>
          <w:szCs w:val="24"/>
        </w:rPr>
        <w:t>o</w:t>
      </w:r>
      <w:r w:rsidRPr="003E6355">
        <w:rPr>
          <w:rFonts w:ascii="Times New Roman" w:hAnsi="Times New Roman"/>
          <w:sz w:val="24"/>
          <w:szCs w:val="24"/>
        </w:rPr>
        <w:t xml:space="preserve"> dever de informar constitui uma violação das obrigações convencionais estabelecidas nos artigos 67</w:t>
      </w:r>
      <w:r w:rsidR="00AA1938">
        <w:rPr>
          <w:rFonts w:ascii="Times New Roman" w:hAnsi="Times New Roman"/>
          <w:sz w:val="24"/>
          <w:szCs w:val="24"/>
        </w:rPr>
        <w:t xml:space="preserve"> </w:t>
      </w:r>
      <w:r w:rsidRPr="003E6355">
        <w:rPr>
          <w:rFonts w:ascii="Times New Roman" w:hAnsi="Times New Roman"/>
          <w:sz w:val="24"/>
          <w:szCs w:val="24"/>
        </w:rPr>
        <w:t xml:space="preserve">e 68.1 da </w:t>
      </w:r>
      <w:r w:rsidR="00FE6644">
        <w:rPr>
          <w:rFonts w:ascii="Times New Roman" w:hAnsi="Times New Roman"/>
          <w:sz w:val="24"/>
          <w:szCs w:val="24"/>
        </w:rPr>
        <w:t>Convenção</w:t>
      </w:r>
      <w:r w:rsidR="00AA1938">
        <w:rPr>
          <w:rFonts w:ascii="Times New Roman" w:hAnsi="Times New Roman"/>
          <w:sz w:val="24"/>
          <w:szCs w:val="24"/>
        </w:rPr>
        <w:t xml:space="preserve"> </w:t>
      </w:r>
      <w:r w:rsidRPr="003E6355">
        <w:rPr>
          <w:rFonts w:ascii="Times New Roman" w:hAnsi="Times New Roman"/>
          <w:sz w:val="24"/>
          <w:szCs w:val="24"/>
        </w:rPr>
        <w:t>e retira o efeito útil da C</w:t>
      </w:r>
      <w:r>
        <w:rPr>
          <w:rFonts w:ascii="Times New Roman" w:hAnsi="Times New Roman"/>
          <w:sz w:val="24"/>
          <w:szCs w:val="24"/>
        </w:rPr>
        <w:t>onvenção</w:t>
      </w:r>
      <w:r w:rsidRPr="003E6355">
        <w:rPr>
          <w:rFonts w:ascii="Times New Roman" w:hAnsi="Times New Roman"/>
          <w:sz w:val="24"/>
          <w:szCs w:val="24"/>
        </w:rPr>
        <w:t xml:space="preserve"> no caso concreto</w:t>
      </w:r>
      <w:r w:rsidRPr="007E535B">
        <w:rPr>
          <w:rFonts w:ascii="Times New Roman" w:hAnsi="Times New Roman"/>
          <w:sz w:val="24"/>
          <w:szCs w:val="24"/>
        </w:rPr>
        <w:t xml:space="preserve">. </w:t>
      </w:r>
    </w:p>
    <w:p w14:paraId="3A033083" w14:textId="7653154F" w:rsidR="00192F3B" w:rsidRDefault="00FE6644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</w:t>
      </w:r>
      <w:r w:rsidR="00475694">
        <w:rPr>
          <w:rFonts w:ascii="Times New Roman" w:hAnsi="Times New Roman"/>
          <w:sz w:val="24"/>
          <w:szCs w:val="24"/>
        </w:rPr>
        <w:t xml:space="preserve">m </w:t>
      </w:r>
      <w:r w:rsidR="00475694" w:rsidRPr="007E535B">
        <w:rPr>
          <w:rFonts w:ascii="Times New Roman" w:hAnsi="Times New Roman"/>
          <w:sz w:val="24"/>
          <w:szCs w:val="24"/>
        </w:rPr>
        <w:t xml:space="preserve">casos em que </w:t>
      </w:r>
      <w:r w:rsidR="00475694">
        <w:rPr>
          <w:rFonts w:ascii="Times New Roman" w:hAnsi="Times New Roman"/>
          <w:sz w:val="24"/>
          <w:szCs w:val="24"/>
        </w:rPr>
        <w:t>um</w:t>
      </w:r>
      <w:r w:rsidR="00475694" w:rsidRPr="007E535B">
        <w:rPr>
          <w:rFonts w:ascii="Times New Roman" w:hAnsi="Times New Roman"/>
          <w:sz w:val="24"/>
          <w:szCs w:val="24"/>
        </w:rPr>
        <w:t xml:space="preserve"> Estado faltou com o dever de informar, </w:t>
      </w:r>
      <w:r w:rsidR="00475694">
        <w:rPr>
          <w:rFonts w:ascii="Times New Roman" w:hAnsi="Times New Roman"/>
          <w:sz w:val="24"/>
          <w:szCs w:val="24"/>
        </w:rPr>
        <w:t xml:space="preserve">geralmente no bojo de um processo de crítica sistemática, </w:t>
      </w:r>
      <w:r w:rsidR="00475694" w:rsidRPr="007E535B">
        <w:rPr>
          <w:rFonts w:ascii="Times New Roman" w:hAnsi="Times New Roman"/>
          <w:sz w:val="24"/>
          <w:szCs w:val="24"/>
        </w:rPr>
        <w:t>a Corte recorreu à aplicação do artigo 65 da Convenção</w:t>
      </w:r>
      <w:r w:rsidR="00475694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="00475694">
        <w:rPr>
          <w:rFonts w:ascii="Times New Roman" w:hAnsi="Times New Roman"/>
          <w:sz w:val="24"/>
          <w:szCs w:val="24"/>
        </w:rPr>
        <w:t xml:space="preserve">. O dispositivo </w:t>
      </w:r>
      <w:r w:rsidR="00475694" w:rsidRPr="007E535B">
        <w:rPr>
          <w:rFonts w:ascii="Times New Roman" w:hAnsi="Times New Roman"/>
          <w:sz w:val="24"/>
          <w:szCs w:val="24"/>
        </w:rPr>
        <w:t xml:space="preserve">possibilita ao Tribunal indicar </w:t>
      </w:r>
      <w:r w:rsidR="00475694" w:rsidRPr="003E6355">
        <w:rPr>
          <w:rFonts w:ascii="Times New Roman" w:hAnsi="Times New Roman"/>
          <w:sz w:val="24"/>
          <w:szCs w:val="24"/>
        </w:rPr>
        <w:t>em seu relatório à Assembleia Geral da O</w:t>
      </w:r>
      <w:r w:rsidR="00475694" w:rsidRPr="007E535B">
        <w:rPr>
          <w:rFonts w:ascii="Times New Roman" w:hAnsi="Times New Roman"/>
          <w:sz w:val="24"/>
          <w:szCs w:val="24"/>
        </w:rPr>
        <w:t xml:space="preserve">rganização dos Estados </w:t>
      </w:r>
      <w:r w:rsidR="00475694" w:rsidRPr="00CD12CF">
        <w:rPr>
          <w:rFonts w:ascii="Times New Roman" w:hAnsi="Times New Roman"/>
          <w:sz w:val="24"/>
          <w:szCs w:val="24"/>
        </w:rPr>
        <w:t>Americanos, os casos em que um Estado não tenha dado cumprimento a suas sentenças. Ao acionar a prerrogativa contida no artigo 65, a Corte, confrontada com uma situação limite para o exercício de sua autoridade, recorre ao sistema de garantia coletiva</w:t>
      </w:r>
      <w:r w:rsidR="009944F8">
        <w:rPr>
          <w:rFonts w:ascii="Times New Roman" w:hAnsi="Times New Roman"/>
          <w:sz w:val="24"/>
          <w:szCs w:val="24"/>
        </w:rPr>
        <w:t xml:space="preserve"> </w:t>
      </w:r>
      <w:r w:rsidR="00475694" w:rsidRPr="00CD12CF">
        <w:rPr>
          <w:rFonts w:ascii="Times New Roman" w:hAnsi="Times New Roman"/>
          <w:sz w:val="24"/>
          <w:szCs w:val="24"/>
        </w:rPr>
        <w:t>(Corte IDH, 2015, p.3-7)</w:t>
      </w:r>
      <w:r w:rsidR="00475694" w:rsidRPr="00CD12CF">
        <w:rPr>
          <w:rFonts w:ascii="Times New Roman" w:hAnsi="Times New Roman"/>
          <w:sz w:val="24"/>
          <w:szCs w:val="24"/>
        </w:rPr>
        <w:t>.</w:t>
      </w:r>
    </w:p>
    <w:p w14:paraId="0CDFC9A8" w14:textId="33BFD826" w:rsidR="00192F3B" w:rsidRDefault="00475694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36465">
        <w:rPr>
          <w:rFonts w:ascii="Times New Roman" w:hAnsi="Times New Roman"/>
          <w:sz w:val="24"/>
          <w:szCs w:val="24"/>
        </w:rPr>
        <w:t>Como classificou Calabria</w:t>
      </w:r>
      <w:r w:rsidRPr="000D1F37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>s situações de</w:t>
      </w:r>
      <w:r w:rsidRPr="000D1F37">
        <w:rPr>
          <w:rFonts w:ascii="Times New Roman" w:hAnsi="Times New Roman"/>
          <w:sz w:val="24"/>
          <w:szCs w:val="24"/>
        </w:rPr>
        <w:t xml:space="preserve"> aplicação do artigo 65 da Convenção denota</w:t>
      </w:r>
      <w:r>
        <w:rPr>
          <w:rFonts w:ascii="Times New Roman" w:hAnsi="Times New Roman"/>
          <w:sz w:val="24"/>
          <w:szCs w:val="24"/>
        </w:rPr>
        <w:t>m</w:t>
      </w:r>
      <w:r w:rsidRPr="000D1F37">
        <w:rPr>
          <w:rFonts w:ascii="Times New Roman" w:hAnsi="Times New Roman"/>
          <w:sz w:val="24"/>
          <w:szCs w:val="24"/>
        </w:rPr>
        <w:t xml:space="preserve"> um grau crítico de ineficácia da decisão da Corte e de inatividade do Estado diante das medidas de reparação (CALABRIA, 2017, 1337-1338). </w:t>
      </w:r>
      <w:r>
        <w:rPr>
          <w:rFonts w:ascii="Times New Roman" w:hAnsi="Times New Roman"/>
          <w:sz w:val="24"/>
          <w:szCs w:val="24"/>
        </w:rPr>
        <w:t>Tal grau crítico de inatividade estatal parece ocorrer em situações dotadas de excepcionalidade, em um contexto</w:t>
      </w:r>
      <w:r w:rsidR="00FE6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sistêmico de crítica </w:t>
      </w:r>
      <w:r w:rsidR="00FE664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 Tribunal. Ao revés, o descumprimento de</w:t>
      </w:r>
      <w:r w:rsidR="00FE6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reparações fora de referido contexto, permanecendo íntegro o dever estatal de informar e</w:t>
      </w:r>
      <w:r w:rsidR="00FE6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sem que se vislumbre abandono do Sistema ou tentativa de diminuição do poder do Tribunal, não se situa no mesmo patamar.</w:t>
      </w:r>
    </w:p>
    <w:p w14:paraId="52F1217E" w14:textId="49AD4AB0" w:rsidR="00192F3B" w:rsidRDefault="00FE6644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75694">
        <w:rPr>
          <w:rFonts w:ascii="Times New Roman" w:hAnsi="Times New Roman"/>
          <w:sz w:val="24"/>
          <w:szCs w:val="24"/>
        </w:rPr>
        <w:t xml:space="preserve"> modalidade de reparação frequentemente determinada pela Corte consistente na obrigação de realizar a persecução e a responsabilização penal pelas violações de direitos humanos, </w:t>
      </w:r>
      <w:r w:rsidR="00475694" w:rsidRPr="000D1F37">
        <w:rPr>
          <w:rFonts w:ascii="Times New Roman" w:hAnsi="Times New Roman"/>
          <w:sz w:val="24"/>
          <w:szCs w:val="24"/>
        </w:rPr>
        <w:t xml:space="preserve">reparação </w:t>
      </w:r>
      <w:r w:rsidR="00475694">
        <w:rPr>
          <w:rFonts w:ascii="Times New Roman" w:hAnsi="Times New Roman"/>
          <w:sz w:val="24"/>
          <w:szCs w:val="24"/>
        </w:rPr>
        <w:t xml:space="preserve">declarada descumprida pela </w:t>
      </w:r>
      <w:r w:rsidR="00475694" w:rsidRPr="000D1F37">
        <w:rPr>
          <w:rFonts w:ascii="Times New Roman" w:hAnsi="Times New Roman"/>
          <w:sz w:val="24"/>
          <w:szCs w:val="24"/>
        </w:rPr>
        <w:t xml:space="preserve">Corte na resolução de 28 de janeiro de 2021 na supervisão de cumprimento da sentença do caso </w:t>
      </w:r>
      <w:r w:rsidR="00475694" w:rsidRPr="009311F7">
        <w:rPr>
          <w:rFonts w:ascii="Times New Roman" w:hAnsi="Times New Roman"/>
          <w:i/>
          <w:iCs/>
          <w:sz w:val="24"/>
          <w:szCs w:val="24"/>
        </w:rPr>
        <w:t>Ximenes Lopes Vs. Brasil</w:t>
      </w:r>
      <w:r w:rsidR="00475694" w:rsidRPr="000D1F37">
        <w:rPr>
          <w:rFonts w:ascii="Times New Roman" w:hAnsi="Times New Roman"/>
          <w:sz w:val="24"/>
          <w:szCs w:val="24"/>
        </w:rPr>
        <w:t>,</w:t>
      </w:r>
      <w:r w:rsidR="00475694">
        <w:rPr>
          <w:rFonts w:ascii="Times New Roman" w:hAnsi="Times New Roman"/>
          <w:sz w:val="24"/>
          <w:szCs w:val="24"/>
        </w:rPr>
        <w:t xml:space="preserve"> apresenta uma inefetividade de certa forma generalizada entre os casos da região.</w:t>
      </w:r>
    </w:p>
    <w:p w14:paraId="5133BCD8" w14:textId="6D51C614" w:rsidR="00192F3B" w:rsidRDefault="00475694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D1F37">
        <w:rPr>
          <w:rFonts w:ascii="Times New Roman" w:hAnsi="Times New Roman"/>
          <w:sz w:val="24"/>
          <w:szCs w:val="24"/>
        </w:rPr>
        <w:t xml:space="preserve">omo apurou Andrea da Silva ao verificar a situação de cumprimento dessa modalidade de reparação pelos países integrantes do Sistema, </w:t>
      </w:r>
      <w:r>
        <w:rPr>
          <w:rFonts w:ascii="Times New Roman" w:hAnsi="Times New Roman"/>
          <w:sz w:val="24"/>
          <w:szCs w:val="24"/>
        </w:rPr>
        <w:t xml:space="preserve">é possível apontar para a </w:t>
      </w:r>
      <w:r w:rsidRPr="000D1F37">
        <w:rPr>
          <w:rFonts w:ascii="Times New Roman" w:hAnsi="Times New Roman"/>
          <w:sz w:val="24"/>
          <w:szCs w:val="24"/>
        </w:rPr>
        <w:t>exist</w:t>
      </w:r>
      <w:r>
        <w:rPr>
          <w:rFonts w:ascii="Times New Roman" w:hAnsi="Times New Roman"/>
          <w:sz w:val="24"/>
          <w:szCs w:val="24"/>
        </w:rPr>
        <w:t>ência de</w:t>
      </w:r>
      <w:r w:rsidRPr="000D1F37">
        <w:rPr>
          <w:rFonts w:ascii="Times New Roman" w:hAnsi="Times New Roman"/>
          <w:sz w:val="24"/>
          <w:szCs w:val="24"/>
        </w:rPr>
        <w:t xml:space="preserve"> um </w:t>
      </w:r>
      <w:r w:rsidRPr="00F452DA">
        <w:rPr>
          <w:rFonts w:ascii="Times New Roman" w:hAnsi="Times New Roman"/>
          <w:i/>
          <w:iCs/>
          <w:sz w:val="24"/>
          <w:szCs w:val="24"/>
        </w:rPr>
        <w:t xml:space="preserve">déficit </w:t>
      </w:r>
      <w:r w:rsidRPr="000D1F37">
        <w:rPr>
          <w:rFonts w:ascii="Times New Roman" w:hAnsi="Times New Roman"/>
          <w:sz w:val="24"/>
          <w:szCs w:val="24"/>
        </w:rPr>
        <w:t>estrutural no cumprimento.</w:t>
      </w:r>
      <w:r w:rsidR="00FE6644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erificou a autora</w:t>
      </w:r>
      <w:r w:rsidR="00FE6644">
        <w:rPr>
          <w:rFonts w:ascii="Times New Roman" w:hAnsi="Times New Roman"/>
          <w:sz w:val="24"/>
          <w:szCs w:val="24"/>
        </w:rPr>
        <w:t xml:space="preserve"> que</w:t>
      </w:r>
      <w:r>
        <w:rPr>
          <w:rFonts w:ascii="Times New Roman" w:hAnsi="Times New Roman"/>
          <w:sz w:val="24"/>
          <w:szCs w:val="24"/>
        </w:rPr>
        <w:t xml:space="preserve"> </w:t>
      </w:r>
      <w:r w:rsidR="00FE6644">
        <w:rPr>
          <w:rFonts w:ascii="Times New Roman" w:hAnsi="Times New Roman"/>
          <w:sz w:val="24"/>
          <w:szCs w:val="24"/>
        </w:rPr>
        <w:t xml:space="preserve">entre </w:t>
      </w:r>
      <w:r w:rsidRPr="000D1F37">
        <w:rPr>
          <w:rFonts w:ascii="Times New Roman" w:hAnsi="Times New Roman"/>
          <w:sz w:val="24"/>
          <w:szCs w:val="24"/>
        </w:rPr>
        <w:t>os casos</w:t>
      </w:r>
      <w:r w:rsidR="00FE6644">
        <w:rPr>
          <w:rFonts w:ascii="Times New Roman" w:hAnsi="Times New Roman"/>
          <w:sz w:val="24"/>
          <w:szCs w:val="24"/>
        </w:rPr>
        <w:t xml:space="preserve"> na Corte Interamericana</w:t>
      </w:r>
      <w:r w:rsidRPr="000D1F37">
        <w:rPr>
          <w:rFonts w:ascii="Times New Roman" w:hAnsi="Times New Roman"/>
          <w:sz w:val="24"/>
          <w:szCs w:val="24"/>
        </w:rPr>
        <w:t xml:space="preserve"> </w:t>
      </w:r>
      <w:r w:rsidR="00FE6644">
        <w:rPr>
          <w:rFonts w:ascii="Times New Roman" w:hAnsi="Times New Roman"/>
          <w:sz w:val="24"/>
          <w:szCs w:val="24"/>
        </w:rPr>
        <w:t xml:space="preserve">já </w:t>
      </w:r>
      <w:r w:rsidRPr="000D1F37">
        <w:rPr>
          <w:rFonts w:ascii="Times New Roman" w:hAnsi="Times New Roman"/>
          <w:sz w:val="24"/>
          <w:szCs w:val="24"/>
        </w:rPr>
        <w:t>arquivados pelo cumprimento</w:t>
      </w:r>
      <w:r w:rsidR="00FE6644">
        <w:rPr>
          <w:rFonts w:ascii="Times New Roman" w:hAnsi="Times New Roman"/>
          <w:sz w:val="24"/>
          <w:szCs w:val="24"/>
        </w:rPr>
        <w:t xml:space="preserve"> da sentença</w:t>
      </w:r>
      <w:r w:rsidRPr="000D1F37">
        <w:rPr>
          <w:rFonts w:ascii="Times New Roman" w:hAnsi="Times New Roman"/>
          <w:sz w:val="24"/>
          <w:szCs w:val="24"/>
        </w:rPr>
        <w:t>, apenas uma sentença determinava a persecução penal. Entre os casos em supervisão, apenas três conteriam determinação de realização de persecução penal tida como integralmente cumprida (SILVA, 2021, p. 5).</w:t>
      </w:r>
    </w:p>
    <w:p w14:paraId="257B592F" w14:textId="1CD42EB3" w:rsidR="00192F3B" w:rsidRDefault="00475694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 descumprimento fora de um contexto sistêmico de crítica ou abandono do Sistema Interamericano, parte da referida situação geral de </w:t>
      </w:r>
      <w:r w:rsidRPr="009311F7">
        <w:rPr>
          <w:rFonts w:ascii="Times New Roman" w:hAnsi="Times New Roman"/>
          <w:i/>
          <w:iCs/>
          <w:sz w:val="24"/>
          <w:szCs w:val="24"/>
        </w:rPr>
        <w:t>déficit</w:t>
      </w:r>
      <w:r>
        <w:rPr>
          <w:rFonts w:ascii="Times New Roman" w:hAnsi="Times New Roman"/>
          <w:sz w:val="24"/>
          <w:szCs w:val="24"/>
        </w:rPr>
        <w:t xml:space="preserve"> de eficácia das decisões da Corte quanto à obrigação de persecução e responsabilização penal, não parece</w:t>
      </w:r>
      <w:r w:rsidR="00994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 situação que possa ser classificada como resistência ou </w:t>
      </w:r>
      <w:proofErr w:type="spellStart"/>
      <w:r w:rsidRPr="0060060E">
        <w:rPr>
          <w:rFonts w:ascii="Times New Roman" w:hAnsi="Times New Roman"/>
          <w:i/>
          <w:iCs/>
          <w:sz w:val="24"/>
          <w:szCs w:val="24"/>
        </w:rPr>
        <w:t>backlash</w:t>
      </w:r>
      <w:proofErr w:type="spellEnd"/>
      <w:r w:rsidRPr="006006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060E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r parte dos Estados. </w:t>
      </w:r>
    </w:p>
    <w:p w14:paraId="37169EF3" w14:textId="2FB10994" w:rsidR="00192F3B" w:rsidRDefault="00475694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Corte Interamericana, no conjunto de casos julgados em relação ao Brasil, pela primeira vez declarou que o Estado teria </w:t>
      </w:r>
      <w:r w:rsidRPr="00347012">
        <w:rPr>
          <w:rFonts w:ascii="Times New Roman" w:hAnsi="Times New Roman"/>
          <w:sz w:val="24"/>
          <w:szCs w:val="24"/>
        </w:rPr>
        <w:t>descumprido uma reparação imposta por sentença, decidindo dar por concluída a supervisão de cumprimento quanto ao ponto resolutivo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012">
        <w:rPr>
          <w:rFonts w:ascii="Times New Roman" w:hAnsi="Times New Roman"/>
          <w:sz w:val="24"/>
          <w:szCs w:val="24"/>
        </w:rPr>
        <w:t>que determina</w:t>
      </w:r>
      <w:r>
        <w:rPr>
          <w:rFonts w:ascii="Times New Roman" w:hAnsi="Times New Roman"/>
          <w:sz w:val="24"/>
          <w:szCs w:val="24"/>
        </w:rPr>
        <w:t>v</w:t>
      </w:r>
      <w:r w:rsidRPr="00347012">
        <w:rPr>
          <w:rFonts w:ascii="Times New Roman" w:hAnsi="Times New Roman"/>
          <w:sz w:val="24"/>
          <w:szCs w:val="24"/>
        </w:rPr>
        <w:t>a a obrigação de garantir, em um prazo razoável, que o processo interno destinado a investigar e sancionar os responsáveis pelos fatos do caso surtisse seus devidos efeitos.</w:t>
      </w:r>
    </w:p>
    <w:p w14:paraId="77C39DAB" w14:textId="1D4EDC9F" w:rsidR="00192F3B" w:rsidRDefault="00475694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47012">
        <w:rPr>
          <w:rFonts w:ascii="Times New Roman" w:hAnsi="Times New Roman"/>
          <w:sz w:val="24"/>
          <w:szCs w:val="24"/>
        </w:rPr>
        <w:t xml:space="preserve">Embora em </w:t>
      </w:r>
      <w:proofErr w:type="spellStart"/>
      <w:r w:rsidRPr="00347012">
        <w:rPr>
          <w:rFonts w:ascii="Times New Roman" w:hAnsi="Times New Roman"/>
          <w:i/>
          <w:iCs/>
          <w:color w:val="000000"/>
          <w:sz w:val="24"/>
          <w:szCs w:val="24"/>
        </w:rPr>
        <w:t>Escher</w:t>
      </w:r>
      <w:proofErr w:type="spellEnd"/>
      <w:r w:rsidRPr="00347012">
        <w:rPr>
          <w:rFonts w:ascii="Times New Roman" w:hAnsi="Times New Roman"/>
          <w:i/>
          <w:iCs/>
          <w:color w:val="000000"/>
          <w:sz w:val="24"/>
          <w:szCs w:val="24"/>
        </w:rPr>
        <w:t xml:space="preserve"> Vs. Brasil</w:t>
      </w:r>
      <w:r w:rsidRPr="00347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2F3B" w:rsidRPr="00914F0E">
        <w:rPr>
          <w:rFonts w:ascii="Times New Roman" w:hAnsi="Times New Roman"/>
        </w:rPr>
        <w:t>(CORTE IDH, 2012, p. 7</w:t>
      </w:r>
      <w:r w:rsidR="00192F3B">
        <w:rPr>
          <w:rFonts w:ascii="Times New Roman" w:hAnsi="Times New Roman"/>
        </w:rPr>
        <w:t>)</w:t>
      </w:r>
      <w:r w:rsidR="00192F3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47012">
        <w:rPr>
          <w:rFonts w:ascii="Times New Roman" w:hAnsi="Times New Roman"/>
          <w:color w:val="000000"/>
          <w:sz w:val="24"/>
          <w:szCs w:val="24"/>
        </w:rPr>
        <w:t xml:space="preserve">a Corte </w:t>
      </w:r>
      <w:r>
        <w:rPr>
          <w:rFonts w:ascii="Times New Roman" w:hAnsi="Times New Roman"/>
          <w:color w:val="000000"/>
          <w:sz w:val="24"/>
          <w:szCs w:val="24"/>
        </w:rPr>
        <w:t>também tenha</w:t>
      </w:r>
      <w:r w:rsidRPr="00347012">
        <w:rPr>
          <w:rFonts w:ascii="Times New Roman" w:hAnsi="Times New Roman"/>
          <w:color w:val="000000"/>
          <w:sz w:val="24"/>
          <w:szCs w:val="24"/>
        </w:rPr>
        <w:t xml:space="preserve"> concluído a supervisão de cumprimento em relação ao ponto</w:t>
      </w:r>
      <w:r>
        <w:rPr>
          <w:rFonts w:ascii="Times New Roman" w:hAnsi="Times New Roman"/>
          <w:color w:val="000000"/>
          <w:sz w:val="24"/>
          <w:szCs w:val="24"/>
        </w:rPr>
        <w:t xml:space="preserve"> que determinava o dever de investigar os fatos que geraram as violações de direitos humanos, naquela ocasião, não houve uma declaração expressa de descumprimento da obrigação. </w:t>
      </w:r>
    </w:p>
    <w:p w14:paraId="4AE6AE04" w14:textId="3B384E77" w:rsidR="00192F3B" w:rsidRDefault="00192F3B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s</w:t>
      </w:r>
      <w:r w:rsidR="00475694" w:rsidRPr="009D3639">
        <w:rPr>
          <w:rFonts w:ascii="Times New Roman" w:hAnsi="Times New Roman"/>
          <w:color w:val="000000"/>
          <w:sz w:val="24"/>
          <w:szCs w:val="24"/>
        </w:rPr>
        <w:t>oluções dadas pela Corte aos casos se aproximam, c</w:t>
      </w:r>
      <w:r w:rsidR="00475694">
        <w:rPr>
          <w:rFonts w:ascii="Times New Roman" w:hAnsi="Times New Roman"/>
          <w:color w:val="000000"/>
          <w:sz w:val="24"/>
          <w:szCs w:val="24"/>
        </w:rPr>
        <w:t>ontudo, tendo a Corte, em ambos, compreendido que, ao ordenar que o Estado procedesse à persecução penal, não teria descartado a possibilidade de, à luz das provas e da legislação interna, a ação penal pudesse prescrever. N</w:t>
      </w:r>
      <w:r w:rsidR="00475694" w:rsidRPr="00CD12D1">
        <w:rPr>
          <w:rFonts w:ascii="Times New Roman" w:hAnsi="Times New Roman"/>
          <w:color w:val="000000"/>
          <w:sz w:val="24"/>
          <w:szCs w:val="24"/>
        </w:rPr>
        <w:t>enhum dos casos</w:t>
      </w:r>
      <w:r w:rsidR="004756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5694" w:rsidRPr="00CD12D1">
        <w:rPr>
          <w:rFonts w:ascii="Times New Roman" w:hAnsi="Times New Roman"/>
          <w:color w:val="000000"/>
          <w:sz w:val="24"/>
          <w:szCs w:val="24"/>
        </w:rPr>
        <w:t>s</w:t>
      </w:r>
      <w:r w:rsidR="00475694">
        <w:rPr>
          <w:rFonts w:ascii="Times New Roman" w:hAnsi="Times New Roman"/>
          <w:color w:val="000000"/>
          <w:sz w:val="24"/>
          <w:szCs w:val="24"/>
        </w:rPr>
        <w:t>e enquadraria nas hipóteses em que o direito internacional consideraria inadmissível ou inaplicável a regra da prescrição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28334C4" w14:textId="70B1CCF2" w:rsidR="008E47AD" w:rsidRDefault="008E47AD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</w:t>
      </w:r>
      <w:r w:rsidR="00475694">
        <w:rPr>
          <w:rFonts w:ascii="Times New Roman" w:hAnsi="Times New Roman"/>
          <w:sz w:val="24"/>
          <w:szCs w:val="24"/>
        </w:rPr>
        <w:t xml:space="preserve">nto </w:t>
      </w:r>
      <w:proofErr w:type="spellStart"/>
      <w:r w:rsidR="00475694" w:rsidRPr="00347012">
        <w:rPr>
          <w:rFonts w:ascii="Times New Roman" w:hAnsi="Times New Roman"/>
          <w:i/>
          <w:iCs/>
          <w:color w:val="000000"/>
          <w:sz w:val="24"/>
          <w:szCs w:val="24"/>
        </w:rPr>
        <w:t>Escher</w:t>
      </w:r>
      <w:proofErr w:type="spellEnd"/>
      <w:r w:rsidR="00475694" w:rsidRPr="00347012">
        <w:rPr>
          <w:rFonts w:ascii="Times New Roman" w:hAnsi="Times New Roman"/>
          <w:i/>
          <w:iCs/>
          <w:color w:val="000000"/>
          <w:sz w:val="24"/>
          <w:szCs w:val="24"/>
        </w:rPr>
        <w:t xml:space="preserve"> Vs. Brasil</w:t>
      </w:r>
      <w:r w:rsidR="0047569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475694">
        <w:rPr>
          <w:rFonts w:ascii="Times New Roman" w:hAnsi="Times New Roman"/>
          <w:color w:val="000000"/>
          <w:sz w:val="24"/>
          <w:szCs w:val="24"/>
        </w:rPr>
        <w:t xml:space="preserve">quanto </w:t>
      </w:r>
      <w:r w:rsidR="00475694" w:rsidRPr="009311F7">
        <w:rPr>
          <w:rFonts w:ascii="Times New Roman" w:hAnsi="Times New Roman"/>
          <w:i/>
          <w:iCs/>
          <w:sz w:val="24"/>
          <w:szCs w:val="24"/>
        </w:rPr>
        <w:t>Ximenes Lopes Vs. Brasil</w:t>
      </w:r>
      <w:r w:rsidR="00475694">
        <w:rPr>
          <w:rFonts w:ascii="Times New Roman" w:hAnsi="Times New Roman"/>
          <w:sz w:val="24"/>
          <w:szCs w:val="24"/>
        </w:rPr>
        <w:t xml:space="preserve"> parecem se enquadrar</w:t>
      </w:r>
      <w:r w:rsidR="005368BD">
        <w:rPr>
          <w:rFonts w:ascii="Times New Roman" w:hAnsi="Times New Roman"/>
          <w:sz w:val="24"/>
          <w:szCs w:val="24"/>
        </w:rPr>
        <w:t>, portanto,</w:t>
      </w:r>
      <w:r w:rsidR="00475694">
        <w:rPr>
          <w:rFonts w:ascii="Times New Roman" w:hAnsi="Times New Roman"/>
          <w:sz w:val="24"/>
          <w:szCs w:val="24"/>
        </w:rPr>
        <w:t xml:space="preserve"> </w:t>
      </w:r>
      <w:r w:rsidR="00475694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475694">
        <w:rPr>
          <w:rFonts w:ascii="Times New Roman" w:hAnsi="Times New Roman"/>
          <w:sz w:val="24"/>
          <w:szCs w:val="24"/>
        </w:rPr>
        <w:t xml:space="preserve">situação geral de </w:t>
      </w:r>
      <w:r w:rsidR="00475694" w:rsidRPr="009311F7">
        <w:rPr>
          <w:rFonts w:ascii="Times New Roman" w:hAnsi="Times New Roman"/>
          <w:i/>
          <w:iCs/>
          <w:sz w:val="24"/>
          <w:szCs w:val="24"/>
        </w:rPr>
        <w:t>déficit</w:t>
      </w:r>
      <w:r w:rsidR="00475694">
        <w:rPr>
          <w:rFonts w:ascii="Times New Roman" w:hAnsi="Times New Roman"/>
          <w:sz w:val="24"/>
          <w:szCs w:val="24"/>
        </w:rPr>
        <w:t xml:space="preserve"> de eficácia das decisões da Corte Interamericana quanto à obrigação de persecução e responsabilização penal. </w:t>
      </w:r>
    </w:p>
    <w:p w14:paraId="50D4B556" w14:textId="697758AD" w:rsidR="008E47AD" w:rsidRDefault="00475694" w:rsidP="0004268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limites que se verificam na efetividade das decisões do Tribunal sugerem que a robusta autoridade</w:t>
      </w:r>
      <w:r w:rsidR="008D15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 a Corte Interamericana tem buscado exercer na região depende, para sua consolidação, da pavimentação de uma relação de mais envolvimento com as instâncias internas. </w:t>
      </w:r>
      <w:r w:rsidRPr="007B7EE4">
        <w:rPr>
          <w:rFonts w:ascii="Times New Roman" w:hAnsi="Times New Roman"/>
          <w:sz w:val="24"/>
          <w:szCs w:val="24"/>
        </w:rPr>
        <w:t xml:space="preserve">A existência de parceiros </w:t>
      </w:r>
      <w:r>
        <w:rPr>
          <w:rFonts w:ascii="Times New Roman" w:hAnsi="Times New Roman"/>
          <w:sz w:val="24"/>
          <w:szCs w:val="24"/>
        </w:rPr>
        <w:t xml:space="preserve">institucionais </w:t>
      </w:r>
      <w:r w:rsidRPr="007B7EE4">
        <w:rPr>
          <w:rFonts w:ascii="Times New Roman" w:hAnsi="Times New Roman"/>
          <w:sz w:val="24"/>
          <w:szCs w:val="24"/>
        </w:rPr>
        <w:t>internos no cumprimento é</w:t>
      </w:r>
      <w:r>
        <w:rPr>
          <w:rFonts w:ascii="Times New Roman" w:hAnsi="Times New Roman"/>
          <w:sz w:val="24"/>
          <w:szCs w:val="24"/>
        </w:rPr>
        <w:t>, portanto,</w:t>
      </w:r>
      <w:r w:rsidRPr="007B7E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uma estratégia central, não apenas para que a Corte melhor administre eventuais descontentamentos (SOLEY; STEININGER, 2018, p. 20-21), mas</w:t>
      </w:r>
      <w:r w:rsidR="00994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 a concretização de sua autoridade</w:t>
      </w:r>
      <w:r>
        <w:rPr>
          <w:rFonts w:ascii="Times New Roman" w:hAnsi="Times New Roman"/>
          <w:sz w:val="24"/>
          <w:szCs w:val="24"/>
        </w:rPr>
        <w:t>.</w:t>
      </w:r>
    </w:p>
    <w:p w14:paraId="0DA68E9C" w14:textId="695F0B8C" w:rsidR="009E76FE" w:rsidRDefault="008D152F" w:rsidP="0082731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75694" w:rsidRPr="005734D5">
        <w:rPr>
          <w:rFonts w:ascii="Times New Roman" w:hAnsi="Times New Roman"/>
          <w:sz w:val="24"/>
          <w:szCs w:val="24"/>
        </w:rPr>
        <w:t xml:space="preserve"> centralidade das instâncias internas</w:t>
      </w:r>
      <w:r w:rsidR="00FF56E2">
        <w:rPr>
          <w:rFonts w:ascii="Times New Roman" w:hAnsi="Times New Roman"/>
          <w:sz w:val="24"/>
          <w:szCs w:val="24"/>
        </w:rPr>
        <w:t xml:space="preserve"> para o cumprimento</w:t>
      </w:r>
      <w:r w:rsidR="008A129E">
        <w:rPr>
          <w:rFonts w:ascii="Times New Roman" w:hAnsi="Times New Roman"/>
          <w:sz w:val="24"/>
          <w:szCs w:val="24"/>
        </w:rPr>
        <w:t xml:space="preserve"> </w:t>
      </w:r>
      <w:r w:rsidR="00475694" w:rsidRPr="005734D5">
        <w:rPr>
          <w:rFonts w:ascii="Times New Roman" w:hAnsi="Times New Roman"/>
          <w:sz w:val="24"/>
          <w:szCs w:val="24"/>
        </w:rPr>
        <w:t>parec</w:t>
      </w:r>
      <w:r w:rsidR="00FF56E2">
        <w:rPr>
          <w:rFonts w:ascii="Times New Roman" w:hAnsi="Times New Roman"/>
          <w:sz w:val="24"/>
          <w:szCs w:val="24"/>
        </w:rPr>
        <w:t>e ter sido considerada</w:t>
      </w:r>
      <w:r w:rsidR="00475694" w:rsidRPr="005734D5">
        <w:rPr>
          <w:rFonts w:ascii="Times New Roman" w:hAnsi="Times New Roman"/>
          <w:sz w:val="24"/>
          <w:szCs w:val="24"/>
        </w:rPr>
        <w:t xml:space="preserve"> pela Corte</w:t>
      </w:r>
      <w:r w:rsidR="00FF56E2">
        <w:rPr>
          <w:rFonts w:ascii="Times New Roman" w:hAnsi="Times New Roman"/>
          <w:sz w:val="24"/>
          <w:szCs w:val="24"/>
        </w:rPr>
        <w:t xml:space="preserve"> </w:t>
      </w:r>
      <w:r w:rsidR="00AA1938">
        <w:rPr>
          <w:rFonts w:ascii="Times New Roman" w:hAnsi="Times New Roman"/>
          <w:sz w:val="24"/>
          <w:szCs w:val="24"/>
        </w:rPr>
        <w:t xml:space="preserve">na </w:t>
      </w:r>
      <w:r w:rsidR="00475694" w:rsidRPr="005734D5">
        <w:rPr>
          <w:rFonts w:ascii="Times New Roman" w:hAnsi="Times New Roman"/>
          <w:sz w:val="24"/>
          <w:szCs w:val="24"/>
        </w:rPr>
        <w:t>resolução</w:t>
      </w:r>
      <w:r>
        <w:rPr>
          <w:rFonts w:ascii="Times New Roman" w:hAnsi="Times New Roman"/>
          <w:sz w:val="24"/>
          <w:szCs w:val="24"/>
        </w:rPr>
        <w:t xml:space="preserve"> de 28 de janeiro de 2021</w:t>
      </w:r>
      <w:r w:rsidR="00475694" w:rsidRPr="005734D5">
        <w:rPr>
          <w:rFonts w:ascii="Times New Roman" w:hAnsi="Times New Roman"/>
          <w:sz w:val="24"/>
          <w:szCs w:val="24"/>
        </w:rPr>
        <w:t xml:space="preserve">. </w:t>
      </w:r>
      <w:r w:rsidR="00475694">
        <w:rPr>
          <w:rFonts w:ascii="Times New Roman" w:hAnsi="Times New Roman"/>
          <w:sz w:val="24"/>
          <w:szCs w:val="24"/>
        </w:rPr>
        <w:t>O</w:t>
      </w:r>
      <w:r w:rsidR="00475694" w:rsidRPr="005734D5">
        <w:rPr>
          <w:rFonts w:ascii="Times New Roman" w:hAnsi="Times New Roman"/>
          <w:sz w:val="24"/>
          <w:szCs w:val="24"/>
        </w:rPr>
        <w:t xml:space="preserve"> Tribunal record</w:t>
      </w:r>
      <w:r>
        <w:rPr>
          <w:rFonts w:ascii="Times New Roman" w:hAnsi="Times New Roman"/>
          <w:sz w:val="24"/>
          <w:szCs w:val="24"/>
        </w:rPr>
        <w:t>ou</w:t>
      </w:r>
      <w:r w:rsidR="00475694" w:rsidRPr="005734D5">
        <w:rPr>
          <w:rFonts w:ascii="Times New Roman" w:hAnsi="Times New Roman"/>
          <w:sz w:val="24"/>
          <w:szCs w:val="24"/>
        </w:rPr>
        <w:t xml:space="preserve"> que </w:t>
      </w:r>
      <w:r w:rsidR="00475694" w:rsidRPr="005734D5">
        <w:rPr>
          <w:rFonts w:ascii="Times New Roman" w:hAnsi="Times New Roman"/>
          <w:sz w:val="24"/>
          <w:szCs w:val="24"/>
        </w:rPr>
        <w:lastRenderedPageBreak/>
        <w:t xml:space="preserve">o cumprimento de suas sentenças pode ser beneficiado </w:t>
      </w:r>
      <w:r w:rsidR="00FF56E2">
        <w:rPr>
          <w:rFonts w:ascii="Times New Roman" w:hAnsi="Times New Roman"/>
          <w:sz w:val="24"/>
          <w:szCs w:val="24"/>
        </w:rPr>
        <w:t>pela</w:t>
      </w:r>
      <w:r w:rsidR="00475694" w:rsidRPr="005734D5">
        <w:rPr>
          <w:rFonts w:ascii="Times New Roman" w:hAnsi="Times New Roman"/>
          <w:sz w:val="24"/>
          <w:szCs w:val="24"/>
        </w:rPr>
        <w:t xml:space="preserve"> participação de </w:t>
      </w:r>
      <w:r w:rsidR="009944F8">
        <w:rPr>
          <w:rFonts w:ascii="Times New Roman" w:hAnsi="Times New Roman"/>
          <w:sz w:val="24"/>
          <w:szCs w:val="24"/>
        </w:rPr>
        <w:t>instituições</w:t>
      </w:r>
      <w:r>
        <w:rPr>
          <w:rFonts w:ascii="Times New Roman" w:hAnsi="Times New Roman"/>
          <w:sz w:val="24"/>
          <w:szCs w:val="24"/>
        </w:rPr>
        <w:t xml:space="preserve"> </w:t>
      </w:r>
      <w:r w:rsidR="00475694" w:rsidRPr="005734D5">
        <w:rPr>
          <w:rFonts w:ascii="Times New Roman" w:hAnsi="Times New Roman"/>
          <w:sz w:val="24"/>
          <w:szCs w:val="24"/>
        </w:rPr>
        <w:t>e tribunais nacionais com competência para exigir e dar cumprimento às ações concretas que permitam a execução das reparações. No contexto, a Corte</w:t>
      </w:r>
      <w:r>
        <w:rPr>
          <w:rFonts w:ascii="Times New Roman" w:hAnsi="Times New Roman"/>
          <w:sz w:val="24"/>
          <w:szCs w:val="24"/>
        </w:rPr>
        <w:t xml:space="preserve"> </w:t>
      </w:r>
      <w:r w:rsidR="00475694" w:rsidRPr="005734D5">
        <w:rPr>
          <w:rFonts w:ascii="Times New Roman" w:hAnsi="Times New Roman"/>
          <w:sz w:val="24"/>
          <w:szCs w:val="24"/>
        </w:rPr>
        <w:t xml:space="preserve">ressaltou o papel que poderia ser cumprido pelo Conselho Nacional de Justiça no </w:t>
      </w:r>
      <w:r w:rsidR="0004268F">
        <w:rPr>
          <w:rFonts w:ascii="Times New Roman" w:hAnsi="Times New Roman"/>
          <w:sz w:val="24"/>
          <w:szCs w:val="24"/>
        </w:rPr>
        <w:t>bojo</w:t>
      </w:r>
      <w:r w:rsidR="00475694" w:rsidRPr="005734D5">
        <w:rPr>
          <w:rFonts w:ascii="Times New Roman" w:hAnsi="Times New Roman"/>
          <w:sz w:val="24"/>
          <w:szCs w:val="24"/>
        </w:rPr>
        <w:t xml:space="preserve"> do cumprimento das sentenças da Corte</w:t>
      </w:r>
      <w:r w:rsidR="00475694" w:rsidRPr="005734D5">
        <w:rPr>
          <w:rFonts w:ascii="Times New Roman" w:hAnsi="Times New Roman"/>
          <w:color w:val="000000"/>
          <w:sz w:val="24"/>
          <w:szCs w:val="24"/>
        </w:rPr>
        <w:t xml:space="preserve"> (CORTE IDH, 2021, p. 13)</w:t>
      </w:r>
      <w:r w:rsidR="00475694">
        <w:rPr>
          <w:rFonts w:ascii="Times New Roman" w:hAnsi="Times New Roman"/>
          <w:color w:val="000000"/>
          <w:sz w:val="24"/>
          <w:szCs w:val="24"/>
        </w:rPr>
        <w:t>.</w:t>
      </w:r>
    </w:p>
    <w:p w14:paraId="4A030022" w14:textId="258214D6" w:rsidR="00192F3B" w:rsidRPr="00192F3B" w:rsidRDefault="00192F3B" w:rsidP="00827314">
      <w:pPr>
        <w:widowControl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4166">
        <w:rPr>
          <w:rFonts w:ascii="Times New Roman" w:eastAsia="Times New Roman" w:hAnsi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Corte Interamericana de Direitos Humanos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9D2F30">
        <w:rPr>
          <w:rFonts w:ascii="Times New Roman" w:eastAsia="Times New Roman" w:hAnsi="Times New Roman"/>
          <w:sz w:val="24"/>
          <w:szCs w:val="24"/>
        </w:rPr>
        <w:t xml:space="preserve">Cumprimento. </w:t>
      </w:r>
      <w:r>
        <w:rPr>
          <w:rFonts w:ascii="Times New Roman" w:eastAsia="Times New Roman" w:hAnsi="Times New Roman"/>
          <w:sz w:val="24"/>
          <w:szCs w:val="24"/>
        </w:rPr>
        <w:t>Envolvimento. Poderes Internos.</w:t>
      </w:r>
    </w:p>
    <w:p w14:paraId="064ADD9F" w14:textId="77777777" w:rsidR="00475694" w:rsidRPr="00192F3B" w:rsidRDefault="00475694" w:rsidP="00827314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2F3B">
        <w:rPr>
          <w:rFonts w:ascii="Times New Roman" w:hAnsi="Times New Roman"/>
          <w:b/>
          <w:bCs/>
          <w:sz w:val="24"/>
          <w:szCs w:val="24"/>
        </w:rPr>
        <w:t>Referências</w:t>
      </w:r>
    </w:p>
    <w:p w14:paraId="0124CBF9" w14:textId="77777777" w:rsidR="00475694" w:rsidRPr="000D1F37" w:rsidRDefault="00475694" w:rsidP="008273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1F37">
        <w:rPr>
          <w:rFonts w:ascii="Times New Roman" w:hAnsi="Times New Roman"/>
          <w:sz w:val="24"/>
          <w:szCs w:val="24"/>
        </w:rPr>
        <w:t xml:space="preserve">CALABRIA, Carina. Alterações normativas, transformações sociojurídicas: analisando a eficácia da Corte Interamericana de Direitos Humanos. Rev. Direito e </w:t>
      </w:r>
      <w:proofErr w:type="spellStart"/>
      <w:r w:rsidRPr="000D1F37">
        <w:rPr>
          <w:rFonts w:ascii="Times New Roman" w:hAnsi="Times New Roman"/>
          <w:sz w:val="24"/>
          <w:szCs w:val="24"/>
        </w:rPr>
        <w:t>Práx</w:t>
      </w:r>
      <w:proofErr w:type="spellEnd"/>
      <w:r w:rsidRPr="000D1F37">
        <w:rPr>
          <w:rFonts w:ascii="Times New Roman" w:hAnsi="Times New Roman"/>
          <w:sz w:val="24"/>
          <w:szCs w:val="24"/>
        </w:rPr>
        <w:t>., Rio de Janeiro, Vol. 8, N. 2, 2017, p. 1286-1355.</w:t>
      </w:r>
    </w:p>
    <w:p w14:paraId="7BB1AD33" w14:textId="77777777" w:rsidR="00475694" w:rsidRPr="00635353" w:rsidRDefault="00475694" w:rsidP="00827314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35353">
        <w:rPr>
          <w:rFonts w:ascii="Times New Roman" w:hAnsi="Times New Roman"/>
          <w:sz w:val="24"/>
          <w:szCs w:val="24"/>
          <w:lang w:val="en-US"/>
        </w:rPr>
        <w:t>CONTESSE, Jorge. Contestation and Deference in the Inter-American Human Rights System, LAW AND CONTEMPORARY PROBLEMS [Vol. 79:123 No. 2 2016].</w:t>
      </w:r>
    </w:p>
    <w:p w14:paraId="6A4E8200" w14:textId="77777777" w:rsidR="00475694" w:rsidRPr="00475694" w:rsidRDefault="00475694" w:rsidP="00827314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35353">
        <w:rPr>
          <w:rFonts w:ascii="Times New Roman" w:hAnsi="Times New Roman"/>
          <w:sz w:val="24"/>
          <w:szCs w:val="24"/>
          <w:lang w:val="en-US"/>
        </w:rPr>
        <w:t xml:space="preserve">_______________.  ‘The final word? Constitutional dialogue and the Inter-American Court of Human Rights’. </w:t>
      </w:r>
      <w:r w:rsidRPr="00475694">
        <w:rPr>
          <w:rFonts w:ascii="Times New Roman" w:hAnsi="Times New Roman"/>
          <w:sz w:val="24"/>
          <w:szCs w:val="24"/>
          <w:lang w:val="en-US"/>
        </w:rPr>
        <w:t>(2017) 15 Internacional Journal of Constitutional Law, 414–435.</w:t>
      </w:r>
    </w:p>
    <w:p w14:paraId="60DE24C5" w14:textId="77777777" w:rsidR="00475694" w:rsidRPr="00475694" w:rsidRDefault="00475694" w:rsidP="00827314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75694">
        <w:rPr>
          <w:rFonts w:ascii="Times New Roman" w:hAnsi="Times New Roman"/>
          <w:sz w:val="24"/>
          <w:szCs w:val="24"/>
          <w:lang w:val="en-US"/>
        </w:rPr>
        <w:t xml:space="preserve">Corte IDH. Caso </w:t>
      </w:r>
      <w:proofErr w:type="spellStart"/>
      <w:r w:rsidRPr="00475694">
        <w:rPr>
          <w:rFonts w:ascii="Times New Roman" w:hAnsi="Times New Roman"/>
          <w:sz w:val="24"/>
          <w:szCs w:val="24"/>
          <w:lang w:val="en-US"/>
        </w:rPr>
        <w:t>Velásquez</w:t>
      </w:r>
      <w:proofErr w:type="spellEnd"/>
      <w:r w:rsidRPr="00475694">
        <w:rPr>
          <w:rFonts w:ascii="Times New Roman" w:hAnsi="Times New Roman"/>
          <w:sz w:val="24"/>
          <w:szCs w:val="24"/>
          <w:lang w:val="en-US"/>
        </w:rPr>
        <w:t xml:space="preserve"> Rodríguez Vs. Honduras. </w:t>
      </w:r>
      <w:proofErr w:type="spellStart"/>
      <w:r w:rsidRPr="00475694">
        <w:rPr>
          <w:rFonts w:ascii="Times New Roman" w:hAnsi="Times New Roman"/>
          <w:sz w:val="24"/>
          <w:szCs w:val="24"/>
          <w:lang w:val="en-US"/>
        </w:rPr>
        <w:t>Excepciones</w:t>
      </w:r>
      <w:proofErr w:type="spellEnd"/>
      <w:r w:rsidRPr="004756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5694">
        <w:rPr>
          <w:rFonts w:ascii="Times New Roman" w:hAnsi="Times New Roman"/>
          <w:sz w:val="24"/>
          <w:szCs w:val="24"/>
          <w:lang w:val="en-US"/>
        </w:rPr>
        <w:t>Preliminares</w:t>
      </w:r>
      <w:proofErr w:type="spellEnd"/>
      <w:r w:rsidRPr="0047569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475694">
        <w:rPr>
          <w:rFonts w:ascii="Times New Roman" w:hAnsi="Times New Roman"/>
          <w:sz w:val="24"/>
          <w:szCs w:val="24"/>
          <w:lang w:val="en-US"/>
        </w:rPr>
        <w:t>Sentencia</w:t>
      </w:r>
      <w:proofErr w:type="spellEnd"/>
      <w:r w:rsidRPr="00475694">
        <w:rPr>
          <w:rFonts w:ascii="Times New Roman" w:hAnsi="Times New Roman"/>
          <w:sz w:val="24"/>
          <w:szCs w:val="24"/>
          <w:lang w:val="en-US"/>
        </w:rPr>
        <w:t xml:space="preserve"> de 26 de </w:t>
      </w:r>
      <w:proofErr w:type="spellStart"/>
      <w:r w:rsidRPr="00475694">
        <w:rPr>
          <w:rFonts w:ascii="Times New Roman" w:hAnsi="Times New Roman"/>
          <w:sz w:val="24"/>
          <w:szCs w:val="24"/>
          <w:lang w:val="en-US"/>
        </w:rPr>
        <w:t>junio</w:t>
      </w:r>
      <w:proofErr w:type="spellEnd"/>
      <w:r w:rsidRPr="00475694">
        <w:rPr>
          <w:rFonts w:ascii="Times New Roman" w:hAnsi="Times New Roman"/>
          <w:sz w:val="24"/>
          <w:szCs w:val="24"/>
          <w:lang w:val="en-US"/>
        </w:rPr>
        <w:t xml:space="preserve"> de 1987. Serie C No. 1. </w:t>
      </w:r>
    </w:p>
    <w:p w14:paraId="4535938D" w14:textId="77777777" w:rsidR="00475694" w:rsidRPr="00635353" w:rsidRDefault="00475694" w:rsidP="00827314">
      <w:pPr>
        <w:spacing w:line="360" w:lineRule="auto"/>
        <w:jc w:val="both"/>
        <w:rPr>
          <w:rFonts w:ascii="Times New Roman" w:hAnsi="Times New Roman"/>
          <w:sz w:val="24"/>
          <w:szCs w:val="24"/>
          <w:lang w:val="es-419"/>
        </w:rPr>
      </w:pPr>
      <w:r w:rsidRPr="00635353">
        <w:rPr>
          <w:rFonts w:ascii="Times New Roman" w:hAnsi="Times New Roman"/>
          <w:sz w:val="24"/>
          <w:szCs w:val="24"/>
          <w:lang w:val="es-419"/>
        </w:rPr>
        <w:t xml:space="preserve">Corte IDH, Caso Velásquez Rodríguez Vs. </w:t>
      </w:r>
      <w:r w:rsidRPr="00635353">
        <w:rPr>
          <w:rFonts w:ascii="Times New Roman" w:hAnsi="Times New Roman"/>
          <w:sz w:val="24"/>
          <w:szCs w:val="24"/>
          <w:lang w:val="es-ES"/>
        </w:rPr>
        <w:t xml:space="preserve">Honduras. Fondo. Sentencia de 29 de julio de 1988. </w:t>
      </w:r>
      <w:r w:rsidRPr="00635353">
        <w:rPr>
          <w:rFonts w:ascii="Times New Roman" w:hAnsi="Times New Roman"/>
          <w:sz w:val="24"/>
          <w:szCs w:val="24"/>
          <w:lang w:val="es-419"/>
        </w:rPr>
        <w:t xml:space="preserve">Serie C No. 4. </w:t>
      </w:r>
    </w:p>
    <w:p w14:paraId="336A56F9" w14:textId="77777777" w:rsidR="00475694" w:rsidRPr="007170D8" w:rsidRDefault="00475694" w:rsidP="00827314">
      <w:pP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635353">
        <w:rPr>
          <w:rFonts w:ascii="Times New Roman" w:hAnsi="Times New Roman"/>
          <w:sz w:val="24"/>
          <w:szCs w:val="24"/>
          <w:lang w:val="es-ES"/>
        </w:rPr>
        <w:t xml:space="preserve">Corte IDH. Caso Cabrera García y Montiel Flores Vs. México. Excepción Preliminar, Fondo, Reparaciones y Costas. </w:t>
      </w:r>
      <w:r w:rsidRPr="007170D8">
        <w:rPr>
          <w:rFonts w:ascii="Times New Roman" w:hAnsi="Times New Roman"/>
          <w:sz w:val="24"/>
          <w:szCs w:val="24"/>
          <w:lang w:val="es-ES"/>
        </w:rPr>
        <w:t>Sentencia de 26 de noviembre de 2010. Serie C No. 220.</w:t>
      </w:r>
    </w:p>
    <w:p w14:paraId="119764A1" w14:textId="77777777" w:rsidR="00475694" w:rsidRPr="00635353" w:rsidRDefault="00475694" w:rsidP="0082731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35353">
        <w:rPr>
          <w:rFonts w:ascii="Times New Roman" w:hAnsi="Times New Roman"/>
          <w:sz w:val="24"/>
          <w:szCs w:val="24"/>
          <w:lang w:val="es-419"/>
        </w:rPr>
        <w:t xml:space="preserve">Corte IDH. </w:t>
      </w:r>
      <w:r w:rsidRPr="00635353">
        <w:rPr>
          <w:rFonts w:ascii="Times New Roman" w:eastAsia="Times New Roman" w:hAnsi="Times New Roman"/>
          <w:sz w:val="24"/>
          <w:szCs w:val="24"/>
          <w:shd w:val="clear" w:color="auto" w:fill="FFFFFF"/>
          <w:lang w:val="es-419" w:eastAsia="pt-BR"/>
        </w:rPr>
        <w:t xml:space="preserve">Corte IDH. Caso Escher y otros Vs. Brasil. </w:t>
      </w:r>
      <w:proofErr w:type="spellStart"/>
      <w:r w:rsidRPr="007170D8">
        <w:rPr>
          <w:rFonts w:ascii="Times New Roman" w:eastAsia="Times New Roman" w:hAnsi="Times New Roman"/>
          <w:sz w:val="24"/>
          <w:szCs w:val="24"/>
          <w:shd w:val="clear" w:color="auto" w:fill="FFFFFF"/>
          <w:lang w:val="es-ES" w:eastAsia="pt-BR"/>
        </w:rPr>
        <w:t>Supervisão</w:t>
      </w:r>
      <w:proofErr w:type="spellEnd"/>
      <w:r w:rsidRPr="007170D8">
        <w:rPr>
          <w:rFonts w:ascii="Times New Roman" w:eastAsia="Times New Roman" w:hAnsi="Times New Roman"/>
          <w:sz w:val="24"/>
          <w:szCs w:val="24"/>
          <w:shd w:val="clear" w:color="auto" w:fill="FFFFFF"/>
          <w:lang w:val="es-ES" w:eastAsia="pt-BR"/>
        </w:rPr>
        <w:t xml:space="preserve"> de </w:t>
      </w:r>
      <w:proofErr w:type="spellStart"/>
      <w:r w:rsidRPr="007170D8">
        <w:rPr>
          <w:rFonts w:ascii="Times New Roman" w:eastAsia="Times New Roman" w:hAnsi="Times New Roman"/>
          <w:sz w:val="24"/>
          <w:szCs w:val="24"/>
          <w:shd w:val="clear" w:color="auto" w:fill="FFFFFF"/>
          <w:lang w:val="es-ES" w:eastAsia="pt-BR"/>
        </w:rPr>
        <w:t>Cumprimento</w:t>
      </w:r>
      <w:proofErr w:type="spellEnd"/>
      <w:r w:rsidRPr="007170D8">
        <w:rPr>
          <w:rFonts w:ascii="Times New Roman" w:eastAsia="Times New Roman" w:hAnsi="Times New Roman"/>
          <w:sz w:val="24"/>
          <w:szCs w:val="24"/>
          <w:shd w:val="clear" w:color="auto" w:fill="FFFFFF"/>
          <w:lang w:val="es-ES" w:eastAsia="pt-BR"/>
        </w:rPr>
        <w:t xml:space="preserve"> de </w:t>
      </w:r>
      <w:proofErr w:type="spellStart"/>
      <w:r w:rsidRPr="007170D8">
        <w:rPr>
          <w:rFonts w:ascii="Times New Roman" w:eastAsia="Times New Roman" w:hAnsi="Times New Roman"/>
          <w:sz w:val="24"/>
          <w:szCs w:val="24"/>
          <w:shd w:val="clear" w:color="auto" w:fill="FFFFFF"/>
          <w:lang w:val="es-ES" w:eastAsia="pt-BR"/>
        </w:rPr>
        <w:t>Sentença</w:t>
      </w:r>
      <w:proofErr w:type="spellEnd"/>
      <w:r w:rsidRPr="007170D8">
        <w:rPr>
          <w:rFonts w:ascii="Times New Roman" w:eastAsia="Times New Roman" w:hAnsi="Times New Roman"/>
          <w:sz w:val="24"/>
          <w:szCs w:val="24"/>
          <w:shd w:val="clear" w:color="auto" w:fill="FFFFFF"/>
          <w:lang w:val="es-ES" w:eastAsia="pt-BR"/>
        </w:rPr>
        <w:t xml:space="preserve">. </w:t>
      </w:r>
      <w:r w:rsidRPr="0063535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Resolução da Corte Interamericana de Direitos Humanos de 19 de junho de 2012.</w:t>
      </w:r>
    </w:p>
    <w:p w14:paraId="77FC239D" w14:textId="77777777" w:rsidR="00475694" w:rsidRPr="007170D8" w:rsidRDefault="00475694" w:rsidP="00827314">
      <w:pPr>
        <w:spacing w:line="360" w:lineRule="auto"/>
        <w:jc w:val="both"/>
        <w:rPr>
          <w:rFonts w:ascii="Times New Roman" w:hAnsi="Times New Roman"/>
          <w:sz w:val="24"/>
          <w:szCs w:val="24"/>
          <w:lang w:val="es-419"/>
        </w:rPr>
      </w:pPr>
      <w:r w:rsidRPr="00635353">
        <w:rPr>
          <w:rFonts w:ascii="Times New Roman" w:hAnsi="Times New Roman"/>
          <w:sz w:val="24"/>
          <w:szCs w:val="24"/>
        </w:rPr>
        <w:t xml:space="preserve">Corte IDH. Caso </w:t>
      </w:r>
      <w:proofErr w:type="spellStart"/>
      <w:r w:rsidRPr="00635353">
        <w:rPr>
          <w:rFonts w:ascii="Times New Roman" w:hAnsi="Times New Roman"/>
          <w:sz w:val="24"/>
          <w:szCs w:val="24"/>
        </w:rPr>
        <w:t>Yatama</w:t>
      </w:r>
      <w:proofErr w:type="spellEnd"/>
      <w:r w:rsidRPr="00635353">
        <w:rPr>
          <w:rFonts w:ascii="Times New Roman" w:hAnsi="Times New Roman"/>
          <w:sz w:val="24"/>
          <w:szCs w:val="24"/>
        </w:rPr>
        <w:t xml:space="preserve"> Vs. </w:t>
      </w:r>
      <w:r w:rsidRPr="007170D8">
        <w:rPr>
          <w:rFonts w:ascii="Times New Roman" w:hAnsi="Times New Roman"/>
          <w:sz w:val="24"/>
          <w:szCs w:val="24"/>
          <w:lang w:val="es-419"/>
        </w:rPr>
        <w:t xml:space="preserve">Nicaragua. </w:t>
      </w:r>
      <w:r w:rsidRPr="00635353">
        <w:rPr>
          <w:rFonts w:ascii="Times New Roman" w:hAnsi="Times New Roman"/>
          <w:sz w:val="24"/>
          <w:szCs w:val="24"/>
          <w:lang w:val="es-ES"/>
        </w:rPr>
        <w:t xml:space="preserve">Resolución de 20 de noviembre de 2015. </w:t>
      </w:r>
      <w:r w:rsidRPr="007170D8">
        <w:rPr>
          <w:rFonts w:ascii="Times New Roman" w:hAnsi="Times New Roman"/>
          <w:sz w:val="24"/>
          <w:szCs w:val="24"/>
          <w:lang w:val="es-419"/>
        </w:rPr>
        <w:t>Supervisión de Cumplimiento de Sentencia.</w:t>
      </w:r>
    </w:p>
    <w:p w14:paraId="1EEF47E8" w14:textId="77777777" w:rsidR="00475694" w:rsidRPr="007170D8" w:rsidRDefault="00475694" w:rsidP="008273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70D8">
        <w:rPr>
          <w:rFonts w:ascii="Times New Roman" w:hAnsi="Times New Roman"/>
          <w:sz w:val="24"/>
          <w:szCs w:val="24"/>
          <w:lang w:val="es-419"/>
        </w:rPr>
        <w:t xml:space="preserve">Corte IDH. Caso Cinco Pensionistas Vs. </w:t>
      </w:r>
      <w:proofErr w:type="spellStart"/>
      <w:r w:rsidRPr="007170D8">
        <w:rPr>
          <w:rFonts w:ascii="Times New Roman" w:hAnsi="Times New Roman"/>
          <w:sz w:val="24"/>
          <w:szCs w:val="24"/>
          <w:lang w:val="es-419"/>
        </w:rPr>
        <w:t>Peru</w:t>
      </w:r>
      <w:proofErr w:type="spellEnd"/>
      <w:r w:rsidRPr="007170D8">
        <w:rPr>
          <w:rFonts w:ascii="Times New Roman" w:hAnsi="Times New Roman"/>
          <w:sz w:val="24"/>
          <w:szCs w:val="24"/>
          <w:lang w:val="es-419"/>
        </w:rPr>
        <w:t xml:space="preserve">. </w:t>
      </w:r>
      <w:r w:rsidRPr="00635353">
        <w:rPr>
          <w:rFonts w:ascii="Times New Roman" w:hAnsi="Times New Roman"/>
          <w:sz w:val="24"/>
          <w:szCs w:val="24"/>
          <w:lang w:val="es-419"/>
        </w:rPr>
        <w:t xml:space="preserve">Resolución de 20 de octubre de 2016. </w:t>
      </w:r>
      <w:proofErr w:type="spellStart"/>
      <w:r w:rsidRPr="007170D8">
        <w:rPr>
          <w:rFonts w:ascii="Times New Roman" w:hAnsi="Times New Roman"/>
          <w:sz w:val="24"/>
          <w:szCs w:val="24"/>
        </w:rPr>
        <w:t>Supervisión</w:t>
      </w:r>
      <w:proofErr w:type="spellEnd"/>
      <w:r w:rsidRPr="007170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170D8">
        <w:rPr>
          <w:rFonts w:ascii="Times New Roman" w:hAnsi="Times New Roman"/>
          <w:sz w:val="24"/>
          <w:szCs w:val="24"/>
        </w:rPr>
        <w:t>Cumplimiento</w:t>
      </w:r>
      <w:proofErr w:type="spellEnd"/>
      <w:r w:rsidRPr="007170D8">
        <w:rPr>
          <w:rFonts w:ascii="Times New Roman" w:hAnsi="Times New Roman"/>
          <w:sz w:val="24"/>
          <w:szCs w:val="24"/>
        </w:rPr>
        <w:t xml:space="preserve"> de Sentencia.</w:t>
      </w:r>
    </w:p>
    <w:p w14:paraId="5CA64B26" w14:textId="77777777" w:rsidR="00475694" w:rsidRPr="00635353" w:rsidRDefault="00475694" w:rsidP="0082731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70D8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lastRenderedPageBreak/>
        <w:t xml:space="preserve">Corte IDH. </w:t>
      </w:r>
      <w:r w:rsidRPr="00914F0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Caso Ximenes Lopes Vs. </w:t>
      </w:r>
      <w:r w:rsidRPr="007170D8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Brasil. </w:t>
      </w:r>
      <w:r w:rsidRPr="00914F0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Supervis</w:t>
      </w:r>
      <w:r w:rsidRPr="0063535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ão</w:t>
      </w:r>
      <w:r w:rsidRPr="00914F0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de Cump</w:t>
      </w:r>
      <w:r w:rsidRPr="0063535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rimento</w:t>
      </w:r>
      <w:r w:rsidRPr="00914F0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de Senten</w:t>
      </w:r>
      <w:r w:rsidRPr="0063535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ça</w:t>
      </w:r>
      <w:r w:rsidRPr="00914F0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. Resolu</w:t>
      </w:r>
      <w:r w:rsidRPr="0063535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ção</w:t>
      </w:r>
      <w:r w:rsidRPr="00914F0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da Corte Interamericana de D</w:t>
      </w:r>
      <w:r w:rsidRPr="0063535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ireitos</w:t>
      </w:r>
      <w:r w:rsidRPr="00914F0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Humanos de 28 de </w:t>
      </w:r>
      <w:r w:rsidRPr="0063535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janeiro</w:t>
      </w:r>
      <w:r w:rsidRPr="00914F0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de 2021</w:t>
      </w:r>
      <w:r w:rsidRPr="0063535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.</w:t>
      </w:r>
    </w:p>
    <w:p w14:paraId="729DCFA9" w14:textId="77777777" w:rsidR="00475694" w:rsidRPr="00635353" w:rsidRDefault="00475694" w:rsidP="0082731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2DEA04" w14:textId="792A292F" w:rsidR="00475694" w:rsidRPr="00192F3B" w:rsidRDefault="00475694" w:rsidP="00827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35353">
        <w:rPr>
          <w:rFonts w:ascii="Times New Roman" w:hAnsi="Times New Roman"/>
          <w:sz w:val="24"/>
          <w:szCs w:val="24"/>
          <w:lang w:val="en-US"/>
        </w:rPr>
        <w:t>Huneeus</w:t>
      </w:r>
      <w:proofErr w:type="spellEnd"/>
      <w:r w:rsidRPr="00635353">
        <w:rPr>
          <w:rFonts w:ascii="Times New Roman" w:hAnsi="Times New Roman"/>
          <w:sz w:val="24"/>
          <w:szCs w:val="24"/>
          <w:lang w:val="en-US"/>
        </w:rPr>
        <w:t xml:space="preserve">, Alexandra (2011) "Courts Resisting Courts: Lessons from the Inter-American Court’s Struggle to Enforce Human Rights," </w:t>
      </w:r>
      <w:r w:rsidRPr="00635353">
        <w:rPr>
          <w:rFonts w:ascii="Times New Roman" w:hAnsi="Times New Roman"/>
          <w:i/>
          <w:iCs/>
          <w:sz w:val="24"/>
          <w:szCs w:val="24"/>
          <w:lang w:val="en-US"/>
        </w:rPr>
        <w:t>Cornell International Law Journal</w:t>
      </w:r>
      <w:r w:rsidRPr="00635353">
        <w:rPr>
          <w:rFonts w:ascii="Times New Roman" w:hAnsi="Times New Roman"/>
          <w:sz w:val="24"/>
          <w:szCs w:val="24"/>
          <w:lang w:val="en-US"/>
        </w:rPr>
        <w:t xml:space="preserve">: Vol. 44: </w:t>
      </w:r>
      <w:proofErr w:type="spellStart"/>
      <w:r w:rsidRPr="00635353">
        <w:rPr>
          <w:rFonts w:ascii="Times New Roman" w:hAnsi="Times New Roman"/>
          <w:sz w:val="24"/>
          <w:szCs w:val="24"/>
          <w:lang w:val="en-US"/>
        </w:rPr>
        <w:t>Iss</w:t>
      </w:r>
      <w:proofErr w:type="spellEnd"/>
      <w:r w:rsidRPr="00635353">
        <w:rPr>
          <w:rFonts w:ascii="Times New Roman" w:hAnsi="Times New Roman"/>
          <w:sz w:val="24"/>
          <w:szCs w:val="24"/>
          <w:lang w:val="en-US"/>
        </w:rPr>
        <w:t>. 3, Article 2.</w:t>
      </w:r>
    </w:p>
    <w:p w14:paraId="12ACE406" w14:textId="77777777" w:rsidR="00475694" w:rsidRPr="00635353" w:rsidRDefault="00475694" w:rsidP="0082731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0DB48689" w14:textId="77777777" w:rsidR="00475694" w:rsidRPr="00635353" w:rsidRDefault="00475694" w:rsidP="00827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5353">
        <w:rPr>
          <w:rFonts w:ascii="Times New Roman" w:hAnsi="Times New Roman"/>
          <w:sz w:val="24"/>
          <w:szCs w:val="24"/>
        </w:rPr>
        <w:t xml:space="preserve">ROA </w:t>
      </w:r>
      <w:proofErr w:type="spellStart"/>
      <w:r w:rsidRPr="00635353">
        <w:rPr>
          <w:rFonts w:ascii="Times New Roman" w:hAnsi="Times New Roman"/>
          <w:sz w:val="24"/>
          <w:szCs w:val="24"/>
        </w:rPr>
        <w:t>ROA</w:t>
      </w:r>
      <w:proofErr w:type="spellEnd"/>
      <w:r w:rsidRPr="00635353">
        <w:rPr>
          <w:rFonts w:ascii="Times New Roman" w:hAnsi="Times New Roman"/>
          <w:sz w:val="24"/>
          <w:szCs w:val="24"/>
        </w:rPr>
        <w:t xml:space="preserve">, Jorge Ernesto; CHUEIRI, Vera Karam de et al. Amicus </w:t>
      </w:r>
      <w:proofErr w:type="spellStart"/>
      <w:r w:rsidRPr="00635353">
        <w:rPr>
          <w:rFonts w:ascii="Times New Roman" w:hAnsi="Times New Roman"/>
          <w:sz w:val="24"/>
          <w:szCs w:val="24"/>
        </w:rPr>
        <w:t>curiae</w:t>
      </w:r>
      <w:proofErr w:type="spellEnd"/>
      <w:r w:rsidRPr="00635353">
        <w:rPr>
          <w:rFonts w:ascii="Times New Roman" w:hAnsi="Times New Roman"/>
          <w:sz w:val="24"/>
          <w:szCs w:val="24"/>
        </w:rPr>
        <w:t xml:space="preserve"> sobre a solicitação de opinião consultiva relativa à figura do juízo político ou impeachment apresentada pela Comissão Interamericana de Direitos Humanos. Revista da Faculdade de Direito UFPR, Curitiba, PR, Brasil, v. 63, n. 1, p. 213-266, abr. 2018. ISSN 2236-7284. </w:t>
      </w:r>
    </w:p>
    <w:p w14:paraId="6199ECC4" w14:textId="77777777" w:rsidR="00475694" w:rsidRPr="00635353" w:rsidRDefault="00475694" w:rsidP="00827314">
      <w:pPr>
        <w:pStyle w:val="Default"/>
        <w:spacing w:before="280" w:line="360" w:lineRule="auto"/>
        <w:jc w:val="both"/>
        <w:rPr>
          <w:rFonts w:ascii="Times New Roman" w:hAnsi="Times New Roman" w:cs="Times New Roman"/>
        </w:rPr>
      </w:pPr>
      <w:r w:rsidRPr="00635353">
        <w:rPr>
          <w:rFonts w:ascii="Times New Roman" w:hAnsi="Times New Roman" w:cs="Times New Roman"/>
        </w:rPr>
        <w:t>SILVA, Andrea Vergara da. Desafios para o cumprimento da persecução penal nas sentenças da Corte Interamericana de Direitos Humanos. Dissertação de mestrado. Programa de Pós-Graduação em Direito da Faculdade de Direito da Universidade de Brasília, 2021.</w:t>
      </w:r>
    </w:p>
    <w:p w14:paraId="18CEA334" w14:textId="77777777" w:rsidR="00475694" w:rsidRPr="00635353" w:rsidRDefault="00475694" w:rsidP="00827314">
      <w:pPr>
        <w:pStyle w:val="Default"/>
        <w:spacing w:before="280" w:line="360" w:lineRule="auto"/>
        <w:jc w:val="both"/>
        <w:rPr>
          <w:rFonts w:ascii="Times New Roman" w:hAnsi="Times New Roman" w:cs="Times New Roman"/>
        </w:rPr>
      </w:pPr>
      <w:r w:rsidRPr="00740D8A">
        <w:rPr>
          <w:rFonts w:ascii="Times New Roman" w:hAnsi="Times New Roman" w:cs="Times New Roman"/>
          <w:lang w:val="en-US"/>
        </w:rPr>
        <w:t xml:space="preserve">Ximena </w:t>
      </w:r>
      <w:proofErr w:type="spellStart"/>
      <w:r w:rsidRPr="00740D8A">
        <w:rPr>
          <w:rFonts w:ascii="Times New Roman" w:hAnsi="Times New Roman" w:cs="Times New Roman"/>
          <w:lang w:val="en-US"/>
        </w:rPr>
        <w:t>Soley</w:t>
      </w:r>
      <w:proofErr w:type="spellEnd"/>
      <w:r w:rsidRPr="00740D8A">
        <w:rPr>
          <w:rFonts w:ascii="Times New Roman" w:hAnsi="Times New Roman" w:cs="Times New Roman"/>
          <w:lang w:val="en-US"/>
        </w:rPr>
        <w:t xml:space="preserve">; Silvia </w:t>
      </w:r>
      <w:proofErr w:type="spellStart"/>
      <w:r w:rsidRPr="00740D8A">
        <w:rPr>
          <w:rFonts w:ascii="Times New Roman" w:hAnsi="Times New Roman" w:cs="Times New Roman"/>
          <w:lang w:val="en-US"/>
        </w:rPr>
        <w:t>Steininger</w:t>
      </w:r>
      <w:proofErr w:type="spellEnd"/>
      <w:r w:rsidRPr="00740D8A">
        <w:rPr>
          <w:rFonts w:ascii="Times New Roman" w:hAnsi="Times New Roman" w:cs="Times New Roman"/>
          <w:lang w:val="en-US"/>
        </w:rPr>
        <w:t xml:space="preserve">. </w:t>
      </w:r>
      <w:r w:rsidRPr="00635353">
        <w:rPr>
          <w:rFonts w:ascii="Times New Roman" w:hAnsi="Times New Roman" w:cs="Times New Roman"/>
          <w:lang w:val="en-US"/>
        </w:rPr>
        <w:t xml:space="preserve">Parting ways or lashing back? Withdrawals, </w:t>
      </w:r>
      <w:proofErr w:type="gramStart"/>
      <w:r w:rsidRPr="00635353">
        <w:rPr>
          <w:rFonts w:ascii="Times New Roman" w:hAnsi="Times New Roman" w:cs="Times New Roman"/>
          <w:lang w:val="en-US"/>
        </w:rPr>
        <w:t>backlash</w:t>
      </w:r>
      <w:proofErr w:type="gramEnd"/>
      <w:r w:rsidRPr="00635353">
        <w:rPr>
          <w:rFonts w:ascii="Times New Roman" w:hAnsi="Times New Roman" w:cs="Times New Roman"/>
          <w:lang w:val="en-US"/>
        </w:rPr>
        <w:t xml:space="preserve"> and the Inter-American Court of Human Rights. </w:t>
      </w:r>
      <w:r w:rsidRPr="00635353">
        <w:rPr>
          <w:rFonts w:ascii="Times New Roman" w:hAnsi="Times New Roman" w:cs="Times New Roman"/>
        </w:rPr>
        <w:t xml:space="preserve">MPIL RESEARCH PAPER SERIES </w:t>
      </w:r>
    </w:p>
    <w:p w14:paraId="4A57BB5C" w14:textId="77777777" w:rsidR="00475694" w:rsidRPr="00C536D8" w:rsidRDefault="00475694" w:rsidP="00827314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5353">
        <w:rPr>
          <w:rFonts w:ascii="Times New Roman" w:hAnsi="Times New Roman"/>
          <w:color w:val="000000"/>
          <w:sz w:val="24"/>
          <w:szCs w:val="24"/>
        </w:rPr>
        <w:t>No. 2018-01.</w:t>
      </w:r>
    </w:p>
    <w:p w14:paraId="22BB9E7A" w14:textId="77777777" w:rsidR="00475694" w:rsidRDefault="00475694" w:rsidP="00827314">
      <w:pPr>
        <w:spacing w:line="360" w:lineRule="auto"/>
        <w:jc w:val="both"/>
        <w:rPr>
          <w:rFonts w:ascii="Times New Roman" w:hAnsi="Times New Roman"/>
        </w:rPr>
      </w:pPr>
    </w:p>
    <w:p w14:paraId="00AA2E8C" w14:textId="77777777" w:rsidR="00321EC7" w:rsidRDefault="00321EC7" w:rsidP="00827314">
      <w:pPr>
        <w:spacing w:line="360" w:lineRule="auto"/>
      </w:pPr>
    </w:p>
    <w:sectPr w:rsidR="00321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473C9" w14:textId="77777777" w:rsidR="005814B3" w:rsidRDefault="005814B3" w:rsidP="00B31D32">
      <w:pPr>
        <w:spacing w:after="0" w:line="240" w:lineRule="auto"/>
      </w:pPr>
      <w:r>
        <w:separator/>
      </w:r>
    </w:p>
  </w:endnote>
  <w:endnote w:type="continuationSeparator" w:id="0">
    <w:p w14:paraId="427553E9" w14:textId="77777777" w:rsidR="005814B3" w:rsidRDefault="005814B3" w:rsidP="00B3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8C9D7" w14:textId="77777777" w:rsidR="005814B3" w:rsidRDefault="005814B3" w:rsidP="00B31D32">
      <w:pPr>
        <w:spacing w:after="0" w:line="240" w:lineRule="auto"/>
      </w:pPr>
      <w:r>
        <w:separator/>
      </w:r>
    </w:p>
  </w:footnote>
  <w:footnote w:type="continuationSeparator" w:id="0">
    <w:p w14:paraId="061B9A51" w14:textId="77777777" w:rsidR="005814B3" w:rsidRDefault="005814B3" w:rsidP="00B31D32">
      <w:pPr>
        <w:spacing w:after="0" w:line="240" w:lineRule="auto"/>
      </w:pPr>
      <w:r>
        <w:continuationSeparator/>
      </w:r>
    </w:p>
  </w:footnote>
  <w:footnote w:id="1">
    <w:p w14:paraId="52158853" w14:textId="2D27A51A" w:rsidR="00B31D32" w:rsidRPr="00247474" w:rsidRDefault="00B31D32" w:rsidP="00B31D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7474">
        <w:rPr>
          <w:rFonts w:ascii="Times New Roman" w:hAnsi="Times New Roman"/>
          <w:sz w:val="20"/>
          <w:szCs w:val="20"/>
          <w:vertAlign w:val="superscript"/>
        </w:rPr>
        <w:footnoteRef/>
      </w:r>
      <w:r w:rsidRPr="00247474">
        <w:rPr>
          <w:rFonts w:ascii="Times New Roman" w:eastAsia="Cambria" w:hAnsi="Times New Roman"/>
          <w:sz w:val="20"/>
          <w:szCs w:val="20"/>
        </w:rPr>
        <w:t xml:space="preserve"> </w:t>
      </w:r>
      <w:r>
        <w:rPr>
          <w:rFonts w:ascii="Times New Roman" w:eastAsia="Cambria" w:hAnsi="Times New Roman"/>
          <w:sz w:val="20"/>
          <w:szCs w:val="20"/>
        </w:rPr>
        <w:t>Doutoranda em Direito pela Universidade de Brasília (UnB)</w:t>
      </w:r>
      <w:r w:rsidR="00680C8F">
        <w:rPr>
          <w:rFonts w:ascii="Times New Roman" w:eastAsia="Cambria" w:hAnsi="Times New Roman"/>
          <w:sz w:val="20"/>
          <w:szCs w:val="20"/>
        </w:rPr>
        <w:t>,</w:t>
      </w:r>
      <w:r>
        <w:rPr>
          <w:rFonts w:ascii="Times New Roman" w:eastAsia="Cambria" w:hAnsi="Times New Roman"/>
          <w:sz w:val="20"/>
          <w:szCs w:val="20"/>
        </w:rPr>
        <w:t xml:space="preserve"> na Linha de Pesquisa Constituição e Democracia. </w:t>
      </w:r>
      <w:r w:rsidRPr="00247474">
        <w:rPr>
          <w:rFonts w:ascii="Times New Roman" w:eastAsia="Cambria" w:hAnsi="Times New Roman"/>
          <w:sz w:val="20"/>
          <w:szCs w:val="20"/>
        </w:rPr>
        <w:t xml:space="preserve">Mestra em </w:t>
      </w:r>
      <w:r>
        <w:rPr>
          <w:rFonts w:ascii="Times New Roman" w:eastAsia="Cambria" w:hAnsi="Times New Roman"/>
          <w:sz w:val="20"/>
          <w:szCs w:val="20"/>
        </w:rPr>
        <w:t>Teoria do Estado e Direito Constitucional pela Pontifícia Universidade Católica do Rio de Janeiro (PUC-Rio)</w:t>
      </w:r>
      <w:r w:rsidRPr="00247474">
        <w:rPr>
          <w:rFonts w:ascii="Times New Roman" w:eastAsia="Cambria" w:hAnsi="Times New Roman"/>
          <w:sz w:val="20"/>
          <w:szCs w:val="20"/>
        </w:rPr>
        <w:t>. E-mail</w:t>
      </w:r>
      <w:r>
        <w:rPr>
          <w:rFonts w:ascii="Times New Roman" w:eastAsia="Cambria" w:hAnsi="Times New Roman"/>
          <w:sz w:val="20"/>
          <w:szCs w:val="20"/>
        </w:rPr>
        <w:t>: taizbatista@yahoo.com.br</w:t>
      </w:r>
      <w:r w:rsidRPr="00247474">
        <w:rPr>
          <w:rFonts w:ascii="Times New Roman" w:eastAsia="Cambria" w:hAnsi="Times New Roman"/>
          <w:sz w:val="20"/>
          <w:szCs w:val="20"/>
        </w:rPr>
        <w:t xml:space="preserve">. </w:t>
      </w:r>
    </w:p>
  </w:footnote>
  <w:footnote w:id="2">
    <w:p w14:paraId="4699C37E" w14:textId="318B658C" w:rsidR="00475694" w:rsidRPr="00CC33ED" w:rsidRDefault="00475694" w:rsidP="00FE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33ED">
        <w:rPr>
          <w:rStyle w:val="Refdenotaderodap"/>
          <w:rFonts w:ascii="Times New Roman" w:hAnsi="Times New Roman"/>
          <w:sz w:val="20"/>
          <w:szCs w:val="20"/>
        </w:rPr>
        <w:footnoteRef/>
      </w:r>
      <w:r w:rsidRPr="00CC33ED">
        <w:rPr>
          <w:rFonts w:ascii="Times New Roman" w:hAnsi="Times New Roman"/>
          <w:sz w:val="20"/>
          <w:szCs w:val="20"/>
          <w:lang w:val="es-419"/>
        </w:rPr>
        <w:t xml:space="preserve"> </w:t>
      </w:r>
      <w:r w:rsidRPr="00284EA9">
        <w:rPr>
          <w:rFonts w:ascii="Times New Roman" w:hAnsi="Times New Roman"/>
          <w:color w:val="000000"/>
          <w:sz w:val="20"/>
          <w:szCs w:val="20"/>
          <w:lang w:val="es-419"/>
        </w:rPr>
        <w:t>Caso El Amparo Vs. Venezuela (1995/1996)</w:t>
      </w:r>
      <w:r w:rsidRPr="00CC33ED">
        <w:rPr>
          <w:rFonts w:ascii="Times New Roman" w:hAnsi="Times New Roman"/>
          <w:color w:val="000000"/>
          <w:sz w:val="20"/>
          <w:szCs w:val="20"/>
          <w:lang w:val="es-419"/>
        </w:rPr>
        <w:t>;</w:t>
      </w:r>
      <w:r w:rsidRPr="00284EA9">
        <w:rPr>
          <w:rFonts w:ascii="Times New Roman" w:hAnsi="Times New Roman"/>
          <w:color w:val="000000"/>
          <w:sz w:val="20"/>
          <w:szCs w:val="20"/>
          <w:lang w:val="es-419"/>
        </w:rPr>
        <w:t xml:space="preserve"> Caso Hilaire Vs. </w:t>
      </w:r>
      <w:r w:rsidRPr="00347012">
        <w:rPr>
          <w:rFonts w:ascii="Times New Roman" w:hAnsi="Times New Roman"/>
          <w:color w:val="000000"/>
          <w:sz w:val="20"/>
          <w:szCs w:val="20"/>
        </w:rPr>
        <w:t xml:space="preserve">Trinidad e Tobago (2001); Caso </w:t>
      </w:r>
      <w:proofErr w:type="spellStart"/>
      <w:r w:rsidRPr="00347012">
        <w:rPr>
          <w:rFonts w:ascii="Times New Roman" w:hAnsi="Times New Roman"/>
          <w:color w:val="000000"/>
          <w:sz w:val="20"/>
          <w:szCs w:val="20"/>
        </w:rPr>
        <w:t>Yatama</w:t>
      </w:r>
      <w:proofErr w:type="spellEnd"/>
      <w:r w:rsidRPr="00347012">
        <w:rPr>
          <w:rFonts w:ascii="Times New Roman" w:hAnsi="Times New Roman"/>
          <w:color w:val="000000"/>
          <w:sz w:val="20"/>
          <w:szCs w:val="20"/>
        </w:rPr>
        <w:t xml:space="preserve"> Vs. Nicarágua (2005); Caso Caesar Vs. </w:t>
      </w:r>
      <w:r w:rsidRPr="00284EA9">
        <w:rPr>
          <w:rFonts w:ascii="Times New Roman" w:hAnsi="Times New Roman"/>
          <w:color w:val="000000"/>
          <w:sz w:val="20"/>
          <w:szCs w:val="20"/>
        </w:rPr>
        <w:t>Trinidad e Tobago (2005)</w:t>
      </w:r>
      <w:r w:rsidRPr="00CC33ED">
        <w:rPr>
          <w:rFonts w:ascii="Times New Roman" w:hAnsi="Times New Roman"/>
          <w:color w:val="000000"/>
          <w:sz w:val="20"/>
          <w:szCs w:val="20"/>
        </w:rPr>
        <w:t xml:space="preserve">; </w:t>
      </w:r>
      <w:r w:rsidRPr="00284EA9">
        <w:rPr>
          <w:rFonts w:ascii="Times New Roman" w:hAnsi="Times New Roman"/>
          <w:color w:val="000000"/>
          <w:sz w:val="20"/>
          <w:szCs w:val="20"/>
        </w:rPr>
        <w:t>Caso Blanco Romero e outros Vs. Venezuela (2005)</w:t>
      </w:r>
      <w:r w:rsidRPr="00CC33ED">
        <w:rPr>
          <w:rFonts w:ascii="Times New Roman" w:hAnsi="Times New Roman"/>
          <w:color w:val="000000"/>
          <w:sz w:val="20"/>
          <w:szCs w:val="20"/>
        </w:rPr>
        <w:t xml:space="preserve">; </w:t>
      </w:r>
      <w:r w:rsidRPr="00284EA9">
        <w:rPr>
          <w:rFonts w:ascii="Times New Roman" w:hAnsi="Times New Roman"/>
          <w:color w:val="000000"/>
          <w:sz w:val="20"/>
          <w:szCs w:val="20"/>
        </w:rPr>
        <w:t xml:space="preserve">Caso Montero </w:t>
      </w:r>
      <w:proofErr w:type="spellStart"/>
      <w:r w:rsidRPr="00284EA9">
        <w:rPr>
          <w:rFonts w:ascii="Times New Roman" w:hAnsi="Times New Roman"/>
          <w:color w:val="000000"/>
          <w:sz w:val="20"/>
          <w:szCs w:val="20"/>
        </w:rPr>
        <w:t>Aranguren</w:t>
      </w:r>
      <w:proofErr w:type="spellEnd"/>
      <w:r w:rsidRPr="00284EA9">
        <w:rPr>
          <w:rFonts w:ascii="Times New Roman" w:hAnsi="Times New Roman"/>
          <w:color w:val="000000"/>
          <w:sz w:val="20"/>
          <w:szCs w:val="20"/>
        </w:rPr>
        <w:t xml:space="preserve"> e outros (</w:t>
      </w:r>
      <w:proofErr w:type="spellStart"/>
      <w:r w:rsidRPr="00284EA9">
        <w:rPr>
          <w:rFonts w:ascii="Times New Roman" w:hAnsi="Times New Roman"/>
          <w:color w:val="000000"/>
          <w:sz w:val="20"/>
          <w:szCs w:val="20"/>
        </w:rPr>
        <w:t>Retén</w:t>
      </w:r>
      <w:proofErr w:type="spellEnd"/>
      <w:r w:rsidRPr="00284EA9">
        <w:rPr>
          <w:rFonts w:ascii="Times New Roman" w:hAnsi="Times New Roman"/>
          <w:color w:val="000000"/>
          <w:sz w:val="20"/>
          <w:szCs w:val="20"/>
        </w:rPr>
        <w:t xml:space="preserve"> de </w:t>
      </w:r>
      <w:proofErr w:type="spellStart"/>
      <w:r w:rsidRPr="00284EA9">
        <w:rPr>
          <w:rFonts w:ascii="Times New Roman" w:hAnsi="Times New Roman"/>
          <w:color w:val="000000"/>
          <w:sz w:val="20"/>
          <w:szCs w:val="20"/>
        </w:rPr>
        <w:t>Catia</w:t>
      </w:r>
      <w:proofErr w:type="spellEnd"/>
      <w:r w:rsidRPr="00284EA9">
        <w:rPr>
          <w:rFonts w:ascii="Times New Roman" w:hAnsi="Times New Roman"/>
          <w:color w:val="000000"/>
          <w:sz w:val="20"/>
          <w:szCs w:val="20"/>
        </w:rPr>
        <w:t>) Vs. Venezuela (2006)</w:t>
      </w:r>
      <w:r>
        <w:rPr>
          <w:rFonts w:ascii="Times New Roman" w:hAnsi="Times New Roman"/>
          <w:color w:val="000000"/>
          <w:sz w:val="20"/>
          <w:szCs w:val="20"/>
        </w:rPr>
        <w:t>;</w:t>
      </w:r>
      <w:r w:rsidRPr="00284EA9">
        <w:rPr>
          <w:rFonts w:ascii="Times New Roman" w:hAnsi="Times New Roman"/>
          <w:color w:val="000000"/>
          <w:sz w:val="20"/>
          <w:szCs w:val="20"/>
        </w:rPr>
        <w:t xml:space="preserve"> Caso Yvon Neptune Vs. </w:t>
      </w:r>
      <w:proofErr w:type="spellStart"/>
      <w:r w:rsidRPr="00284EA9">
        <w:rPr>
          <w:rFonts w:ascii="Times New Roman" w:hAnsi="Times New Roman"/>
          <w:color w:val="000000"/>
          <w:sz w:val="20"/>
          <w:szCs w:val="20"/>
        </w:rPr>
        <w:t>Haití</w:t>
      </w:r>
      <w:proofErr w:type="spellEnd"/>
      <w:r w:rsidRPr="00284EA9">
        <w:rPr>
          <w:rFonts w:ascii="Times New Roman" w:hAnsi="Times New Roman"/>
          <w:color w:val="000000"/>
          <w:sz w:val="20"/>
          <w:szCs w:val="20"/>
        </w:rPr>
        <w:t xml:space="preserve"> (2008)</w:t>
      </w:r>
      <w:r w:rsidRPr="00CC33ED">
        <w:rPr>
          <w:rFonts w:ascii="Times New Roman" w:hAnsi="Times New Roman"/>
          <w:color w:val="000000"/>
          <w:sz w:val="20"/>
          <w:szCs w:val="20"/>
        </w:rPr>
        <w:t>;</w:t>
      </w:r>
      <w:r w:rsidRPr="00284EA9">
        <w:rPr>
          <w:rFonts w:ascii="Times New Roman" w:hAnsi="Times New Roman"/>
          <w:color w:val="000000"/>
          <w:sz w:val="20"/>
          <w:szCs w:val="20"/>
        </w:rPr>
        <w:t xml:space="preserve"> Caso </w:t>
      </w:r>
      <w:proofErr w:type="spellStart"/>
      <w:r w:rsidRPr="00284EA9">
        <w:rPr>
          <w:rFonts w:ascii="Times New Roman" w:hAnsi="Times New Roman"/>
          <w:color w:val="000000"/>
          <w:sz w:val="20"/>
          <w:szCs w:val="20"/>
        </w:rPr>
        <w:t>Apitz</w:t>
      </w:r>
      <w:proofErr w:type="spellEnd"/>
      <w:r w:rsidRPr="00284EA9">
        <w:rPr>
          <w:rFonts w:ascii="Times New Roman" w:hAnsi="Times New Roman"/>
          <w:color w:val="000000"/>
          <w:sz w:val="20"/>
          <w:szCs w:val="20"/>
        </w:rPr>
        <w:t xml:space="preserve"> Barbera e outros (“Corte </w:t>
      </w:r>
      <w:proofErr w:type="spellStart"/>
      <w:r w:rsidRPr="00284EA9">
        <w:rPr>
          <w:rFonts w:ascii="Times New Roman" w:hAnsi="Times New Roman"/>
          <w:color w:val="000000"/>
          <w:sz w:val="20"/>
          <w:szCs w:val="20"/>
        </w:rPr>
        <w:t>Primera</w:t>
      </w:r>
      <w:proofErr w:type="spellEnd"/>
      <w:r w:rsidRPr="00284EA9">
        <w:rPr>
          <w:rFonts w:ascii="Times New Roman" w:hAnsi="Times New Roman"/>
          <w:color w:val="000000"/>
          <w:sz w:val="20"/>
          <w:szCs w:val="20"/>
        </w:rPr>
        <w:t xml:space="preserve"> de </w:t>
      </w:r>
      <w:proofErr w:type="spellStart"/>
      <w:r w:rsidRPr="00284EA9">
        <w:rPr>
          <w:rFonts w:ascii="Times New Roman" w:hAnsi="Times New Roman"/>
          <w:color w:val="000000"/>
          <w:sz w:val="20"/>
          <w:szCs w:val="20"/>
        </w:rPr>
        <w:t>lo</w:t>
      </w:r>
      <w:proofErr w:type="spellEnd"/>
      <w:r w:rsidRPr="00284EA9">
        <w:rPr>
          <w:rFonts w:ascii="Times New Roman" w:hAnsi="Times New Roman"/>
          <w:color w:val="000000"/>
          <w:sz w:val="20"/>
          <w:szCs w:val="20"/>
        </w:rPr>
        <w:t xml:space="preserve"> Contencioso</w:t>
      </w:r>
      <w:r w:rsidR="00FE664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84EA9">
        <w:rPr>
          <w:rFonts w:ascii="Times New Roman" w:hAnsi="Times New Roman"/>
          <w:color w:val="000000"/>
          <w:sz w:val="20"/>
          <w:szCs w:val="20"/>
        </w:rPr>
        <w:t>Administrativo”) Vs. Venezuela (2008)</w:t>
      </w:r>
      <w:r w:rsidRPr="00CC33ED">
        <w:rPr>
          <w:rFonts w:ascii="Times New Roman" w:hAnsi="Times New Roman"/>
          <w:color w:val="000000"/>
          <w:sz w:val="20"/>
          <w:szCs w:val="20"/>
        </w:rPr>
        <w:t>;</w:t>
      </w:r>
      <w:r w:rsidRPr="00284EA9">
        <w:rPr>
          <w:rFonts w:ascii="Times New Roman" w:hAnsi="Times New Roman"/>
          <w:color w:val="000000"/>
          <w:sz w:val="20"/>
          <w:szCs w:val="20"/>
        </w:rPr>
        <w:t xml:space="preserve"> Caso Barreto Leiva Vs. Venezuela (2009)</w:t>
      </w:r>
      <w:r w:rsidRPr="00CC33ED">
        <w:rPr>
          <w:rFonts w:ascii="Times New Roman" w:hAnsi="Times New Roman"/>
          <w:color w:val="000000"/>
          <w:sz w:val="20"/>
          <w:szCs w:val="20"/>
        </w:rPr>
        <w:t>;</w:t>
      </w:r>
      <w:r w:rsidRPr="00284EA9">
        <w:rPr>
          <w:rFonts w:ascii="Times New Roman" w:hAnsi="Times New Roman"/>
          <w:color w:val="000000"/>
          <w:sz w:val="20"/>
          <w:szCs w:val="20"/>
        </w:rPr>
        <w:t xml:space="preserve"> Caso </w:t>
      </w:r>
      <w:proofErr w:type="spellStart"/>
      <w:r w:rsidRPr="00284EA9">
        <w:rPr>
          <w:rFonts w:ascii="Times New Roman" w:hAnsi="Times New Roman"/>
          <w:color w:val="000000"/>
          <w:sz w:val="20"/>
          <w:szCs w:val="20"/>
        </w:rPr>
        <w:t>Perozo</w:t>
      </w:r>
      <w:proofErr w:type="spellEnd"/>
      <w:r w:rsidRPr="00284EA9">
        <w:rPr>
          <w:rFonts w:ascii="Times New Roman" w:hAnsi="Times New Roman"/>
          <w:color w:val="000000"/>
          <w:sz w:val="20"/>
          <w:szCs w:val="20"/>
        </w:rPr>
        <w:t xml:space="preserve"> e outros Vs. Venezuela (2009)</w:t>
      </w:r>
      <w:r w:rsidRPr="00CC33ED">
        <w:rPr>
          <w:rFonts w:ascii="Times New Roman" w:hAnsi="Times New Roman"/>
          <w:color w:val="000000"/>
          <w:sz w:val="20"/>
          <w:szCs w:val="20"/>
        </w:rPr>
        <w:t>;</w:t>
      </w:r>
      <w:r w:rsidRPr="00284EA9">
        <w:rPr>
          <w:rFonts w:ascii="Times New Roman" w:hAnsi="Times New Roman"/>
          <w:color w:val="000000"/>
          <w:sz w:val="20"/>
          <w:szCs w:val="20"/>
        </w:rPr>
        <w:t xml:space="preserve"> Caso </w:t>
      </w:r>
      <w:proofErr w:type="spellStart"/>
      <w:r w:rsidRPr="00284EA9">
        <w:rPr>
          <w:rFonts w:ascii="Times New Roman" w:hAnsi="Times New Roman"/>
          <w:color w:val="000000"/>
          <w:sz w:val="20"/>
          <w:szCs w:val="20"/>
        </w:rPr>
        <w:t>Reverón</w:t>
      </w:r>
      <w:proofErr w:type="spellEnd"/>
      <w:r w:rsidRPr="00284EA9">
        <w:rPr>
          <w:rFonts w:ascii="Times New Roman" w:hAnsi="Times New Roman"/>
          <w:color w:val="000000"/>
          <w:sz w:val="20"/>
          <w:szCs w:val="20"/>
        </w:rPr>
        <w:t xml:space="preserve"> Trujillo Vs. Venezuela (2009)</w:t>
      </w:r>
      <w:r w:rsidRPr="00CC33ED">
        <w:rPr>
          <w:rFonts w:ascii="Times New Roman" w:hAnsi="Times New Roman"/>
          <w:color w:val="000000"/>
          <w:sz w:val="20"/>
          <w:szCs w:val="20"/>
        </w:rPr>
        <w:t>;</w:t>
      </w:r>
      <w:r w:rsidRPr="00284EA9">
        <w:rPr>
          <w:rFonts w:ascii="Times New Roman" w:hAnsi="Times New Roman"/>
          <w:color w:val="000000"/>
          <w:sz w:val="20"/>
          <w:szCs w:val="20"/>
        </w:rPr>
        <w:t xml:space="preserve"> Caso Ríos e outros Vs. Venezuela (2009)</w:t>
      </w:r>
      <w:r w:rsidRPr="00CC33ED">
        <w:rPr>
          <w:rFonts w:ascii="Times New Roman" w:hAnsi="Times New Roman"/>
          <w:color w:val="000000"/>
          <w:sz w:val="20"/>
          <w:szCs w:val="20"/>
        </w:rPr>
        <w:t>;</w:t>
      </w:r>
      <w:r w:rsidRPr="00284EA9">
        <w:rPr>
          <w:rFonts w:ascii="Times New Roman" w:hAnsi="Times New Roman"/>
          <w:color w:val="000000"/>
          <w:sz w:val="20"/>
          <w:szCs w:val="20"/>
        </w:rPr>
        <w:t xml:space="preserve"> Caso </w:t>
      </w:r>
      <w:proofErr w:type="spellStart"/>
      <w:r w:rsidRPr="00284EA9">
        <w:rPr>
          <w:rFonts w:ascii="Times New Roman" w:hAnsi="Times New Roman"/>
          <w:color w:val="000000"/>
          <w:sz w:val="20"/>
          <w:szCs w:val="20"/>
        </w:rPr>
        <w:t>Usón</w:t>
      </w:r>
      <w:proofErr w:type="spellEnd"/>
      <w:r w:rsidRPr="00284EA9">
        <w:rPr>
          <w:rFonts w:ascii="Times New Roman" w:hAnsi="Times New Roman"/>
          <w:color w:val="000000"/>
          <w:sz w:val="20"/>
          <w:szCs w:val="20"/>
        </w:rPr>
        <w:t xml:space="preserve"> Ramírez Vs. Venezuela (2009)</w:t>
      </w:r>
      <w:r w:rsidRPr="00CC33ED">
        <w:rPr>
          <w:rFonts w:ascii="Times New Roman" w:hAnsi="Times New Roman"/>
          <w:color w:val="000000"/>
          <w:sz w:val="20"/>
          <w:szCs w:val="20"/>
        </w:rPr>
        <w:t>;</w:t>
      </w:r>
      <w:r w:rsidRPr="00284EA9">
        <w:rPr>
          <w:rFonts w:ascii="Times New Roman" w:hAnsi="Times New Roman"/>
          <w:color w:val="000000"/>
          <w:sz w:val="20"/>
          <w:szCs w:val="20"/>
        </w:rPr>
        <w:t xml:space="preserve"> Caso López Mendoza Vs. Venezuela (2011)</w:t>
      </w:r>
      <w:r w:rsidRPr="00CC33ED">
        <w:rPr>
          <w:rFonts w:ascii="Times New Roman" w:hAnsi="Times New Roman"/>
          <w:color w:val="000000"/>
          <w:sz w:val="20"/>
          <w:szCs w:val="20"/>
        </w:rPr>
        <w:t xml:space="preserve"> (SILVA, 2021, p. 97-109)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284EA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13ED8667" w14:textId="77777777" w:rsidR="00475694" w:rsidRDefault="00475694" w:rsidP="00475694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5D"/>
    <w:rsid w:val="0004268F"/>
    <w:rsid w:val="00192F3B"/>
    <w:rsid w:val="00254AB3"/>
    <w:rsid w:val="0028705D"/>
    <w:rsid w:val="00290DA5"/>
    <w:rsid w:val="00321EC7"/>
    <w:rsid w:val="00475694"/>
    <w:rsid w:val="004C456F"/>
    <w:rsid w:val="004E4E08"/>
    <w:rsid w:val="005368BD"/>
    <w:rsid w:val="005814B3"/>
    <w:rsid w:val="00680C8F"/>
    <w:rsid w:val="007B591E"/>
    <w:rsid w:val="00827314"/>
    <w:rsid w:val="008A129E"/>
    <w:rsid w:val="008D152F"/>
    <w:rsid w:val="008E47AD"/>
    <w:rsid w:val="009944F8"/>
    <w:rsid w:val="009D2F30"/>
    <w:rsid w:val="009E76FE"/>
    <w:rsid w:val="00AA1938"/>
    <w:rsid w:val="00B31D32"/>
    <w:rsid w:val="00C61F26"/>
    <w:rsid w:val="00CD12CF"/>
    <w:rsid w:val="00EE0D3C"/>
    <w:rsid w:val="00FE6644"/>
    <w:rsid w:val="00FF56E2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5E86"/>
  <w15:chartTrackingRefBased/>
  <w15:docId w15:val="{35C41A77-8857-4BED-ADF9-FF2F7432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E0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1D32"/>
    <w:rPr>
      <w:color w:val="0563C1"/>
      <w:u w:val="single"/>
    </w:rPr>
  </w:style>
  <w:style w:type="paragraph" w:customStyle="1" w:styleId="Default">
    <w:name w:val="Default"/>
    <w:rsid w:val="00321EC7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5694"/>
    <w:pPr>
      <w:spacing w:after="0" w:line="240" w:lineRule="auto"/>
      <w:ind w:firstLine="1134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56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75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2257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Taiz Marrao Batista da Costa</dc:creator>
  <cp:keywords/>
  <dc:description/>
  <cp:lastModifiedBy>Taiz Marrao Batista da Costa</cp:lastModifiedBy>
  <cp:revision>18</cp:revision>
  <dcterms:created xsi:type="dcterms:W3CDTF">2021-11-16T21:03:00Z</dcterms:created>
  <dcterms:modified xsi:type="dcterms:W3CDTF">2021-11-17T20:22:00Z</dcterms:modified>
</cp:coreProperties>
</file>