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D846" w14:textId="2548ACB0" w:rsidR="00D22A2A" w:rsidRPr="00B95068" w:rsidRDefault="00CE7136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8"/>
          <w:szCs w:val="28"/>
          <w:lang w:val="en-US"/>
        </w:rPr>
        <w:t>HYPERDIVERSITY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>
        <w:rPr>
          <w:rFonts w:ascii="Times" w:hAnsi="Times"/>
          <w:b/>
          <w:sz w:val="28"/>
          <w:szCs w:val="28"/>
          <w:lang w:val="en-US"/>
        </w:rPr>
        <w:t>OF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>
        <w:rPr>
          <w:rFonts w:ascii="Times" w:hAnsi="Times"/>
          <w:b/>
          <w:sz w:val="28"/>
          <w:szCs w:val="28"/>
          <w:lang w:val="en-US"/>
        </w:rPr>
        <w:t>ASCOMYCET</w:t>
      </w:r>
      <w:r w:rsidR="00BF6E75">
        <w:rPr>
          <w:rFonts w:ascii="Times" w:hAnsi="Times"/>
          <w:b/>
          <w:sz w:val="28"/>
          <w:szCs w:val="28"/>
          <w:lang w:val="en-US"/>
        </w:rPr>
        <w:t>OUS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 w:rsidR="00BF6E75">
        <w:rPr>
          <w:rFonts w:ascii="Times" w:hAnsi="Times"/>
          <w:b/>
          <w:sz w:val="28"/>
          <w:szCs w:val="28"/>
          <w:lang w:val="en-US"/>
        </w:rPr>
        <w:t>FUNGI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>
        <w:rPr>
          <w:rFonts w:ascii="Times" w:hAnsi="Times"/>
          <w:b/>
          <w:sz w:val="28"/>
          <w:szCs w:val="28"/>
          <w:lang w:val="en-US"/>
        </w:rPr>
        <w:t>INHABITING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 w:rsidRPr="00CE7136">
        <w:rPr>
          <w:rFonts w:ascii="Times" w:hAnsi="Times"/>
          <w:b/>
          <w:i/>
          <w:sz w:val="28"/>
          <w:szCs w:val="28"/>
          <w:lang w:val="en-US"/>
        </w:rPr>
        <w:t>Lobariella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>
        <w:rPr>
          <w:rFonts w:ascii="Times" w:hAnsi="Times"/>
          <w:b/>
          <w:sz w:val="28"/>
          <w:szCs w:val="28"/>
          <w:lang w:val="en-US"/>
        </w:rPr>
        <w:t>LICHENS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>
        <w:rPr>
          <w:rFonts w:ascii="Times" w:hAnsi="Times"/>
          <w:b/>
          <w:sz w:val="28"/>
          <w:szCs w:val="28"/>
          <w:lang w:val="en-US"/>
        </w:rPr>
        <w:t>IN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 w:rsidR="00BF6E75">
        <w:rPr>
          <w:rFonts w:ascii="Times" w:hAnsi="Times"/>
          <w:b/>
          <w:sz w:val="28"/>
          <w:szCs w:val="28"/>
          <w:lang w:val="en-US"/>
        </w:rPr>
        <w:t>THE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>
        <w:rPr>
          <w:rFonts w:ascii="Times" w:hAnsi="Times"/>
          <w:b/>
          <w:sz w:val="28"/>
          <w:szCs w:val="28"/>
          <w:lang w:val="en-US"/>
        </w:rPr>
        <w:t>ANDEAN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>
        <w:rPr>
          <w:rFonts w:ascii="Times" w:hAnsi="Times"/>
          <w:b/>
          <w:sz w:val="28"/>
          <w:szCs w:val="28"/>
          <w:lang w:val="en-US"/>
        </w:rPr>
        <w:t>CLOUD</w:t>
      </w:r>
      <w:r w:rsidR="00563EA6">
        <w:rPr>
          <w:rFonts w:ascii="Times" w:hAnsi="Times"/>
          <w:b/>
          <w:sz w:val="28"/>
          <w:szCs w:val="28"/>
          <w:lang w:val="en-US"/>
        </w:rPr>
        <w:t xml:space="preserve"> </w:t>
      </w:r>
      <w:r>
        <w:rPr>
          <w:rFonts w:ascii="Times" w:hAnsi="Times"/>
          <w:b/>
          <w:sz w:val="28"/>
          <w:szCs w:val="28"/>
          <w:lang w:val="en-US"/>
        </w:rPr>
        <w:t>FORESTS</w:t>
      </w:r>
    </w:p>
    <w:p w14:paraId="44DA676A" w14:textId="5E9A2CC5" w:rsidR="000B7FAF" w:rsidRPr="000B7FAF" w:rsidRDefault="000B7FAF" w:rsidP="000B7FAF">
      <w:pPr>
        <w:spacing w:after="120"/>
        <w:jc w:val="center"/>
        <w:rPr>
          <w:rFonts w:ascii="Times" w:hAnsi="Times"/>
          <w:sz w:val="24"/>
          <w:szCs w:val="24"/>
          <w:lang w:val="pl-PL"/>
        </w:rPr>
      </w:pPr>
      <w:r w:rsidRPr="000B7FAF">
        <w:rPr>
          <w:rFonts w:ascii="Times" w:hAnsi="Times"/>
          <w:sz w:val="24"/>
          <w:szCs w:val="24"/>
          <w:lang w:val="pl-PL"/>
        </w:rPr>
        <w:t>Adam</w:t>
      </w:r>
      <w:r w:rsidR="00563EA6">
        <w:rPr>
          <w:rFonts w:ascii="Times" w:hAnsi="Times"/>
          <w:sz w:val="24"/>
          <w:szCs w:val="24"/>
          <w:lang w:val="pl-PL"/>
        </w:rPr>
        <w:t xml:space="preserve"> </w:t>
      </w:r>
      <w:r w:rsidRPr="000B7FAF">
        <w:rPr>
          <w:rFonts w:ascii="Times" w:hAnsi="Times"/>
          <w:sz w:val="24"/>
          <w:szCs w:val="24"/>
          <w:lang w:val="pl-PL"/>
        </w:rPr>
        <w:t>Flakus</w:t>
      </w:r>
      <w:r w:rsidRPr="00075EC9">
        <w:rPr>
          <w:rFonts w:ascii="Times" w:hAnsi="Times"/>
          <w:sz w:val="24"/>
          <w:szCs w:val="24"/>
          <w:vertAlign w:val="superscript"/>
          <w:lang w:val="pl-PL"/>
        </w:rPr>
        <w:t>1</w:t>
      </w:r>
      <w:r w:rsidR="00075EC9">
        <w:rPr>
          <w:rFonts w:ascii="Times" w:hAnsi="Times"/>
          <w:sz w:val="24"/>
          <w:szCs w:val="24"/>
          <w:lang w:val="pl-PL"/>
        </w:rPr>
        <w:t>;</w:t>
      </w:r>
      <w:r w:rsidR="00563EA6">
        <w:rPr>
          <w:rFonts w:ascii="Times" w:hAnsi="Times"/>
          <w:sz w:val="24"/>
          <w:szCs w:val="24"/>
          <w:lang w:val="pl-PL"/>
        </w:rPr>
        <w:t xml:space="preserve"> </w:t>
      </w:r>
      <w:r w:rsidRPr="000B7FAF">
        <w:rPr>
          <w:rFonts w:ascii="Times" w:hAnsi="Times"/>
          <w:sz w:val="24"/>
          <w:szCs w:val="24"/>
          <w:lang w:val="pl-PL"/>
        </w:rPr>
        <w:t>Javier</w:t>
      </w:r>
      <w:r w:rsidR="00563EA6">
        <w:rPr>
          <w:rFonts w:ascii="Times" w:hAnsi="Times"/>
          <w:sz w:val="24"/>
          <w:szCs w:val="24"/>
          <w:lang w:val="pl-PL"/>
        </w:rPr>
        <w:t xml:space="preserve"> </w:t>
      </w:r>
      <w:r w:rsidRPr="000B7FAF">
        <w:rPr>
          <w:rFonts w:ascii="Times" w:hAnsi="Times"/>
          <w:sz w:val="24"/>
          <w:szCs w:val="24"/>
          <w:lang w:val="pl-PL"/>
        </w:rPr>
        <w:t>Etayo</w:t>
      </w:r>
      <w:r w:rsidR="00075EC9" w:rsidRPr="00075EC9">
        <w:rPr>
          <w:rFonts w:ascii="Times" w:hAnsi="Times"/>
          <w:sz w:val="24"/>
          <w:szCs w:val="24"/>
          <w:vertAlign w:val="superscript"/>
          <w:lang w:val="pl-PL"/>
        </w:rPr>
        <w:t>2</w:t>
      </w:r>
      <w:r w:rsidR="00075EC9">
        <w:rPr>
          <w:rFonts w:ascii="Times" w:hAnsi="Times"/>
          <w:sz w:val="24"/>
          <w:szCs w:val="24"/>
          <w:lang w:val="pl-PL"/>
        </w:rPr>
        <w:t>;</w:t>
      </w:r>
      <w:r w:rsidR="00563EA6">
        <w:rPr>
          <w:rFonts w:ascii="Times" w:hAnsi="Times"/>
          <w:sz w:val="24"/>
          <w:szCs w:val="24"/>
          <w:lang w:val="pl-PL"/>
        </w:rPr>
        <w:t xml:space="preserve"> </w:t>
      </w:r>
      <w:r w:rsidRPr="000B7FAF">
        <w:rPr>
          <w:rFonts w:ascii="Times" w:hAnsi="Times"/>
          <w:sz w:val="24"/>
          <w:szCs w:val="24"/>
          <w:lang w:val="pl-PL"/>
        </w:rPr>
        <w:t>Jolanta</w:t>
      </w:r>
      <w:r w:rsidR="00563EA6">
        <w:rPr>
          <w:rFonts w:ascii="Times" w:hAnsi="Times"/>
          <w:sz w:val="24"/>
          <w:szCs w:val="24"/>
          <w:lang w:val="pl-PL"/>
        </w:rPr>
        <w:t xml:space="preserve"> </w:t>
      </w:r>
      <w:r w:rsidRPr="000B7FAF">
        <w:rPr>
          <w:rFonts w:ascii="Times" w:hAnsi="Times"/>
          <w:sz w:val="24"/>
          <w:szCs w:val="24"/>
          <w:lang w:val="pl-PL"/>
        </w:rPr>
        <w:t>Miadlikowska</w:t>
      </w:r>
      <w:r w:rsidRPr="00075EC9">
        <w:rPr>
          <w:rFonts w:ascii="Times" w:hAnsi="Times"/>
          <w:sz w:val="24"/>
          <w:szCs w:val="24"/>
          <w:vertAlign w:val="superscript"/>
          <w:lang w:val="pl-PL"/>
        </w:rPr>
        <w:t>3</w:t>
      </w:r>
      <w:r w:rsidR="00075EC9">
        <w:rPr>
          <w:rFonts w:ascii="Times" w:hAnsi="Times"/>
          <w:sz w:val="24"/>
          <w:szCs w:val="24"/>
          <w:lang w:val="pl-PL"/>
        </w:rPr>
        <w:t>;</w:t>
      </w:r>
      <w:r w:rsidR="00563EA6">
        <w:rPr>
          <w:rFonts w:ascii="Times" w:hAnsi="Times"/>
          <w:sz w:val="24"/>
          <w:szCs w:val="24"/>
          <w:lang w:val="pl-PL"/>
        </w:rPr>
        <w:t xml:space="preserve"> </w:t>
      </w:r>
      <w:r w:rsidRPr="000B7FAF">
        <w:rPr>
          <w:rFonts w:ascii="Times" w:hAnsi="Times"/>
          <w:sz w:val="24"/>
          <w:szCs w:val="24"/>
          <w:lang w:val="pl-PL"/>
        </w:rPr>
        <w:t>François</w:t>
      </w:r>
      <w:r w:rsidR="00563EA6">
        <w:rPr>
          <w:rFonts w:ascii="Times" w:hAnsi="Times"/>
          <w:sz w:val="24"/>
          <w:szCs w:val="24"/>
          <w:lang w:val="pl-PL"/>
        </w:rPr>
        <w:t xml:space="preserve"> </w:t>
      </w:r>
      <w:r w:rsidRPr="000B7FAF">
        <w:rPr>
          <w:rFonts w:ascii="Times" w:hAnsi="Times"/>
          <w:sz w:val="24"/>
          <w:szCs w:val="24"/>
          <w:lang w:val="pl-PL"/>
        </w:rPr>
        <w:t>Lutzoni</w:t>
      </w:r>
      <w:r w:rsidRPr="00075EC9">
        <w:rPr>
          <w:rFonts w:ascii="Times" w:hAnsi="Times"/>
          <w:sz w:val="24"/>
          <w:szCs w:val="24"/>
          <w:vertAlign w:val="superscript"/>
          <w:lang w:val="pl-PL"/>
        </w:rPr>
        <w:t>3</w:t>
      </w:r>
      <w:r w:rsidR="00075EC9">
        <w:rPr>
          <w:rFonts w:ascii="Times" w:hAnsi="Times"/>
          <w:sz w:val="24"/>
          <w:szCs w:val="24"/>
          <w:lang w:val="pl-PL"/>
        </w:rPr>
        <w:t>;</w:t>
      </w:r>
      <w:r w:rsidR="00563EA6">
        <w:rPr>
          <w:rFonts w:ascii="Times" w:hAnsi="Times"/>
          <w:sz w:val="24"/>
          <w:szCs w:val="24"/>
          <w:lang w:val="pl-PL"/>
        </w:rPr>
        <w:t xml:space="preserve"> </w:t>
      </w:r>
      <w:r w:rsidRPr="000B7FAF">
        <w:rPr>
          <w:rFonts w:ascii="Times" w:hAnsi="Times"/>
          <w:sz w:val="24"/>
          <w:szCs w:val="24"/>
          <w:lang w:val="pl-PL"/>
        </w:rPr>
        <w:t>Martin</w:t>
      </w:r>
      <w:r w:rsidR="00563EA6">
        <w:rPr>
          <w:rFonts w:ascii="Times" w:hAnsi="Times"/>
          <w:sz w:val="24"/>
          <w:szCs w:val="24"/>
          <w:lang w:val="pl-PL"/>
        </w:rPr>
        <w:t xml:space="preserve"> </w:t>
      </w:r>
      <w:r w:rsidRPr="000B7FAF">
        <w:rPr>
          <w:rFonts w:ascii="Times" w:hAnsi="Times"/>
          <w:sz w:val="24"/>
          <w:szCs w:val="24"/>
          <w:lang w:val="pl-PL"/>
        </w:rPr>
        <w:t>Kukwa</w:t>
      </w:r>
      <w:r w:rsidRPr="00075EC9">
        <w:rPr>
          <w:rFonts w:ascii="Times" w:hAnsi="Times"/>
          <w:sz w:val="24"/>
          <w:szCs w:val="24"/>
          <w:vertAlign w:val="superscript"/>
          <w:lang w:val="pl-PL"/>
        </w:rPr>
        <w:t>4</w:t>
      </w:r>
      <w:r w:rsidR="00075EC9">
        <w:rPr>
          <w:rFonts w:ascii="Times" w:hAnsi="Times"/>
          <w:sz w:val="24"/>
          <w:szCs w:val="24"/>
          <w:lang w:val="pl-PL"/>
        </w:rPr>
        <w:t>;</w:t>
      </w:r>
    </w:p>
    <w:p w14:paraId="2EE6A3BD" w14:textId="5C7593CE" w:rsidR="00D22A2A" w:rsidRPr="00E548E7" w:rsidRDefault="000B7FAF" w:rsidP="000B7FAF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 w:rsidRPr="00E548E7">
        <w:rPr>
          <w:rFonts w:ascii="Times" w:hAnsi="Times"/>
          <w:sz w:val="24"/>
          <w:szCs w:val="24"/>
          <w:lang w:val="en-US"/>
        </w:rPr>
        <w:t>Natalia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E548E7">
        <w:rPr>
          <w:rFonts w:ascii="Times" w:hAnsi="Times"/>
          <w:sz w:val="24"/>
          <w:szCs w:val="24"/>
          <w:lang w:val="en-US"/>
        </w:rPr>
        <w:t>Matura</w:t>
      </w:r>
      <w:r w:rsidRPr="00E548E7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075EC9" w:rsidRPr="00E548E7">
        <w:rPr>
          <w:rFonts w:ascii="Times" w:hAnsi="Times"/>
          <w:sz w:val="24"/>
          <w:szCs w:val="24"/>
          <w:lang w:val="en-US"/>
        </w:rPr>
        <w:t>;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E548E7">
        <w:rPr>
          <w:rFonts w:ascii="Times" w:hAnsi="Times"/>
          <w:sz w:val="24"/>
          <w:szCs w:val="24"/>
          <w:lang w:val="en-US"/>
        </w:rPr>
        <w:t>Pamela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E548E7">
        <w:rPr>
          <w:rFonts w:ascii="Times" w:hAnsi="Times"/>
          <w:sz w:val="24"/>
          <w:szCs w:val="24"/>
          <w:lang w:val="en-US"/>
        </w:rPr>
        <w:t>Rodriguez-</w:t>
      </w:r>
      <w:r w:rsidR="001E014F" w:rsidRPr="00E548E7">
        <w:rPr>
          <w:rFonts w:ascii="Times" w:hAnsi="Times"/>
          <w:sz w:val="24"/>
          <w:szCs w:val="24"/>
          <w:lang w:val="en-US"/>
        </w:rPr>
        <w:t>Flakus</w:t>
      </w:r>
      <w:r w:rsidR="001E014F"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612446E0" w14:textId="6E1908FF" w:rsidR="00D22A2A" w:rsidRPr="00075EC9" w:rsidRDefault="00075EC9" w:rsidP="00075EC9">
      <w:pPr>
        <w:jc w:val="center"/>
        <w:rPr>
          <w:rStyle w:val="Hipercze"/>
          <w:rFonts w:ascii="Times" w:hAnsi="Times"/>
          <w:color w:val="auto"/>
          <w:sz w:val="24"/>
          <w:szCs w:val="24"/>
          <w:u w:val="none"/>
          <w:lang w:val="en-US"/>
        </w:rPr>
      </w:pPr>
      <w:r w:rsidRPr="00075EC9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Pr="00075EC9">
        <w:rPr>
          <w:rFonts w:ascii="Times" w:hAnsi="Times"/>
          <w:sz w:val="24"/>
          <w:szCs w:val="24"/>
          <w:lang w:val="en-US"/>
        </w:rPr>
        <w:t>W.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075EC9">
        <w:rPr>
          <w:rFonts w:ascii="Times" w:hAnsi="Times"/>
          <w:sz w:val="24"/>
          <w:szCs w:val="24"/>
          <w:lang w:val="en-US"/>
        </w:rPr>
        <w:t>Szafer</w:t>
      </w:r>
      <w:proofErr w:type="spellEnd"/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Institute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of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Botany,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Polish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Academy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of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Sciences,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Poland</w:t>
      </w:r>
      <w:r>
        <w:rPr>
          <w:rFonts w:ascii="Times" w:hAnsi="Times"/>
          <w:sz w:val="24"/>
          <w:szCs w:val="24"/>
          <w:lang w:val="en-US"/>
        </w:rPr>
        <w:t>;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Pr="00075EC9">
        <w:rPr>
          <w:rFonts w:ascii="Times" w:hAnsi="Times"/>
          <w:sz w:val="24"/>
          <w:szCs w:val="24"/>
          <w:lang w:val="en-US"/>
        </w:rPr>
        <w:t>Navarro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075EC9">
        <w:rPr>
          <w:rFonts w:ascii="Times" w:hAnsi="Times"/>
          <w:sz w:val="24"/>
          <w:szCs w:val="24"/>
          <w:lang w:val="en-US"/>
        </w:rPr>
        <w:t>Villoslada</w:t>
      </w:r>
      <w:proofErr w:type="spellEnd"/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16,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3º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075EC9">
        <w:rPr>
          <w:rFonts w:ascii="Times" w:hAnsi="Times"/>
          <w:sz w:val="24"/>
          <w:szCs w:val="24"/>
          <w:lang w:val="en-US"/>
        </w:rPr>
        <w:t>dcha</w:t>
      </w:r>
      <w:proofErr w:type="spellEnd"/>
      <w:r w:rsidRPr="00075EC9">
        <w:rPr>
          <w:rFonts w:ascii="Times" w:hAnsi="Times"/>
          <w:sz w:val="24"/>
          <w:szCs w:val="24"/>
          <w:lang w:val="en-US"/>
        </w:rPr>
        <w:t>.,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E-31003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Pamplona,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Navarra,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Spain</w:t>
      </w:r>
      <w:r>
        <w:rPr>
          <w:rFonts w:ascii="Times" w:hAnsi="Times"/>
          <w:sz w:val="24"/>
          <w:szCs w:val="24"/>
          <w:lang w:val="en-US"/>
        </w:rPr>
        <w:t>;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Pr="00075EC9">
        <w:rPr>
          <w:rFonts w:ascii="Times" w:hAnsi="Times"/>
          <w:sz w:val="24"/>
          <w:szCs w:val="24"/>
          <w:lang w:val="en-US"/>
        </w:rPr>
        <w:t>Duke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University,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USA</w:t>
      </w:r>
      <w:r>
        <w:rPr>
          <w:rFonts w:ascii="Times" w:hAnsi="Times"/>
          <w:sz w:val="24"/>
          <w:szCs w:val="24"/>
          <w:lang w:val="en-US"/>
        </w:rPr>
        <w:t>;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vertAlign w:val="superscript"/>
          <w:lang w:val="en-US"/>
        </w:rPr>
        <w:t>4</w:t>
      </w:r>
      <w:r w:rsidRPr="00075EC9">
        <w:rPr>
          <w:rFonts w:ascii="Times" w:hAnsi="Times"/>
          <w:sz w:val="24"/>
          <w:szCs w:val="24"/>
          <w:lang w:val="en-US"/>
        </w:rPr>
        <w:t>University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of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075EC9">
        <w:rPr>
          <w:rFonts w:ascii="Times" w:hAnsi="Times"/>
          <w:sz w:val="24"/>
          <w:szCs w:val="24"/>
          <w:lang w:val="en-US"/>
        </w:rPr>
        <w:t>Gdańsk</w:t>
      </w:r>
      <w:proofErr w:type="spellEnd"/>
      <w:r w:rsidRPr="00075EC9">
        <w:rPr>
          <w:rFonts w:ascii="Times" w:hAnsi="Times"/>
          <w:sz w:val="24"/>
          <w:szCs w:val="24"/>
          <w:lang w:val="en-US"/>
        </w:rPr>
        <w:t>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Poland</w:t>
      </w:r>
      <w:bookmarkStart w:id="0" w:name="_GoBack"/>
      <w:bookmarkEnd w:id="0"/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r w:rsidR="00563EA6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>:</w:t>
      </w:r>
      <w:r w:rsidR="00563EA6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a.flakus@botany.pl</w:t>
      </w:r>
    </w:p>
    <w:p w14:paraId="01678B24" w14:textId="7C5195AD" w:rsidR="00CE7136" w:rsidRDefault="00CE7136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647CFC7C" w14:textId="4E8ECE9C" w:rsidR="00162D5E" w:rsidRPr="00162D5E" w:rsidRDefault="00162D5E" w:rsidP="00563E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tropical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Andes,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one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world's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most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significant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biodiversity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heritage,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are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characterized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having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unusual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hyperdiverse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symptomatic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fungi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inhabiting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lichens.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great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majority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these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lichenicolous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fungi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remain</w:t>
      </w:r>
      <w:r w:rsidR="00B00B6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undescribed,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their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phylogenetic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relationships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are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865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mostly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unknown.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Here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report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results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865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study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focus</w:t>
      </w:r>
      <w:r w:rsidR="00B865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ascomycetous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fungi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inhabiting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genus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B2FA4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Lobariella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species-rich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genus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lichen-forming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fungi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known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endemic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neotropical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cloud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forests.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Prior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study,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19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lichenicolous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Ascomycota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three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Basidiomycota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86505"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</w:t>
      </w:r>
      <w:r w:rsidR="00B865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been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described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reported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from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B2FA4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Lobariella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865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 found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B2FA4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Lobariella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hosts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more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40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one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most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important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hosts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865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of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lichenicolous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fungi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Andean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cloud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forests.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Based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molecular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morphological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data,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three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new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genera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nine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new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B865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of lichenicolous fungi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are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described,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phylogenetic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placements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13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are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reported.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Teleomorph-anamorph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connections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were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established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many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using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molecular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methods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and/or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visual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observations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nature.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also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865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discovered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anamorphic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B2FA4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Cornutispora</w:t>
      </w:r>
      <w:r w:rsid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 xml:space="preserve"> </w:t>
      </w:r>
      <w:r w:rsidRPr="00AB2FA4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ophiurospora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inhabiting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B2FA4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Lobariella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was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often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accompanied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ascomata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B2FA4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Spirographa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Results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phylogenetic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analyses,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including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newly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generated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sequences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several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Cornutispora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Spirographa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inhabiting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various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host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lichens,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support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conclusion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Cornutispora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synonym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Spirographa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Our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phylogeny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shows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all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studied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Spirographa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(including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former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Asteroglobulus</w:t>
      </w:r>
      <w:proofErr w:type="spellEnd"/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Cornutispora,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Pleoscutula</w:t>
      </w:r>
      <w:proofErr w:type="spellEnd"/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belong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to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new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lineage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within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Ostropales</w:t>
      </w:r>
      <w:proofErr w:type="spellEnd"/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Based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865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this phylogenetic result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distinct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ive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conidiomata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new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family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– </w:t>
      </w:r>
      <w:proofErr w:type="spellStart"/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Spirographaceae</w:t>
      </w:r>
      <w:proofErr w:type="spellEnd"/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–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proposed.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This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new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lineage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includes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broadly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distributed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mycoparasites,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inhabiting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lichen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fungal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hosts,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represent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early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divergence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that preceded the origin 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lichen-forming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Fissurinaceae</w:t>
      </w:r>
      <w:proofErr w:type="spellEnd"/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Gomphillaceae</w:t>
      </w:r>
      <w:proofErr w:type="spellEnd"/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Graphidaceae.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Four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new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15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new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combinations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63EA6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pl-PL"/>
        </w:rPr>
        <w:t>Spirographa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are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proposed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accommodate these new results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Species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within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this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genus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3B3B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are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strongly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host-specific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generic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level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their</w:t>
      </w:r>
      <w:r w:rsidR="00563EA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2D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host.</w:t>
      </w:r>
    </w:p>
    <w:p w14:paraId="1348DDA8" w14:textId="445AA51C" w:rsidR="00260A60" w:rsidRPr="00200EAE" w:rsidRDefault="00260A60" w:rsidP="00162D5E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2A"/>
    <w:rsid w:val="00075EC9"/>
    <w:rsid w:val="000B7FAF"/>
    <w:rsid w:val="000C0216"/>
    <w:rsid w:val="000E33B8"/>
    <w:rsid w:val="000E4958"/>
    <w:rsid w:val="000F146E"/>
    <w:rsid w:val="001226A7"/>
    <w:rsid w:val="00162D5E"/>
    <w:rsid w:val="001910D3"/>
    <w:rsid w:val="001E014F"/>
    <w:rsid w:val="00200EAE"/>
    <w:rsid w:val="00215F6C"/>
    <w:rsid w:val="00226CB5"/>
    <w:rsid w:val="002416A1"/>
    <w:rsid w:val="00260A60"/>
    <w:rsid w:val="00271D20"/>
    <w:rsid w:val="002A45A1"/>
    <w:rsid w:val="002F4395"/>
    <w:rsid w:val="0030291E"/>
    <w:rsid w:val="0036209C"/>
    <w:rsid w:val="003B3BF6"/>
    <w:rsid w:val="003E1E78"/>
    <w:rsid w:val="0041562C"/>
    <w:rsid w:val="00443171"/>
    <w:rsid w:val="00563EA6"/>
    <w:rsid w:val="00591AEF"/>
    <w:rsid w:val="0062477E"/>
    <w:rsid w:val="006C6BAE"/>
    <w:rsid w:val="007232A6"/>
    <w:rsid w:val="007F1581"/>
    <w:rsid w:val="00894CF2"/>
    <w:rsid w:val="00A21B72"/>
    <w:rsid w:val="00AB2FA4"/>
    <w:rsid w:val="00AF781D"/>
    <w:rsid w:val="00B00B6D"/>
    <w:rsid w:val="00B41A04"/>
    <w:rsid w:val="00B45133"/>
    <w:rsid w:val="00B63FA9"/>
    <w:rsid w:val="00B86505"/>
    <w:rsid w:val="00BD2764"/>
    <w:rsid w:val="00BE201D"/>
    <w:rsid w:val="00BF6E75"/>
    <w:rsid w:val="00C93509"/>
    <w:rsid w:val="00CD7E9F"/>
    <w:rsid w:val="00CE7136"/>
    <w:rsid w:val="00CE7837"/>
    <w:rsid w:val="00D22A2A"/>
    <w:rsid w:val="00D3017F"/>
    <w:rsid w:val="00D33B09"/>
    <w:rsid w:val="00E548E7"/>
    <w:rsid w:val="00E74D8F"/>
    <w:rsid w:val="00E7764D"/>
    <w:rsid w:val="00E94243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D7BD59C0-D4F3-BB49-A62E-A0548E4B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2A2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62D5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5"/>
    <w:rPr>
      <w:rFonts w:ascii="Lucida Grande" w:eastAsiaTheme="minorHAnsi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Adam Flakus</cp:lastModifiedBy>
  <cp:revision>6</cp:revision>
  <dcterms:created xsi:type="dcterms:W3CDTF">2020-01-24T23:04:00Z</dcterms:created>
  <dcterms:modified xsi:type="dcterms:W3CDTF">2020-01-30T17:41:00Z</dcterms:modified>
</cp:coreProperties>
</file>