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701B" w14:textId="77777777" w:rsidR="00B11541" w:rsidRPr="00B32016" w:rsidRDefault="00B11541" w:rsidP="00B11541">
      <w:pPr>
        <w:spacing w:line="276" w:lineRule="auto"/>
        <w:jc w:val="center"/>
        <w:rPr>
          <w:rFonts w:cs="Times New Roman"/>
          <w:sz w:val="24"/>
          <w:szCs w:val="24"/>
          <w:lang w:val="en-GB"/>
        </w:rPr>
      </w:pPr>
      <w:r w:rsidRPr="00B32016">
        <w:rPr>
          <w:rFonts w:cs="Times New Roman"/>
          <w:b/>
          <w:sz w:val="24"/>
          <w:szCs w:val="24"/>
          <w:lang w:val="en-GB"/>
        </w:rPr>
        <w:t>AN EXCEPTION TO THE RULE? CAN PHOTOBIONT IDENTITY BETTER PREDICT THE LICHEN PHENOTYPE THAN MYCOBIONT?</w:t>
      </w:r>
    </w:p>
    <w:p w14:paraId="74B089EB" w14:textId="77777777" w:rsidR="00B11541" w:rsidRPr="00B32016" w:rsidRDefault="00B11541" w:rsidP="00B11541">
      <w:pPr>
        <w:spacing w:line="276" w:lineRule="auto"/>
        <w:jc w:val="center"/>
        <w:rPr>
          <w:rFonts w:cs="Times New Roman"/>
          <w:sz w:val="24"/>
          <w:szCs w:val="24"/>
          <w:vertAlign w:val="superscript"/>
          <w:lang w:val="en-GB"/>
        </w:rPr>
      </w:pPr>
      <w:r w:rsidRPr="00B32016">
        <w:rPr>
          <w:rFonts w:cs="Times New Roman"/>
          <w:sz w:val="24"/>
          <w:szCs w:val="24"/>
          <w:lang w:val="en-GB"/>
        </w:rPr>
        <w:t>Jana Steinová</w:t>
      </w:r>
      <w:r w:rsidRPr="00B32016">
        <w:rPr>
          <w:rFonts w:cs="Times New Roman"/>
          <w:sz w:val="24"/>
          <w:szCs w:val="24"/>
          <w:vertAlign w:val="superscript"/>
          <w:lang w:val="en-GB"/>
        </w:rPr>
        <w:t>1</w:t>
      </w:r>
      <w:r w:rsidRPr="00B32016">
        <w:rPr>
          <w:rFonts w:eastAsia="Times New Roman" w:cs="Times New Roman"/>
          <w:sz w:val="24"/>
          <w:szCs w:val="24"/>
          <w:lang w:val="en-GB" w:eastAsia="en-GB"/>
        </w:rPr>
        <w:t>*</w:t>
      </w:r>
      <w:r w:rsidRPr="00B32016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B32016">
        <w:rPr>
          <w:rFonts w:cs="Times New Roman"/>
          <w:sz w:val="24"/>
          <w:szCs w:val="24"/>
          <w:lang w:val="en-GB"/>
        </w:rPr>
        <w:t>H</w:t>
      </w:r>
      <w:r w:rsidRPr="00B32016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>åkon</w:t>
      </w:r>
      <w:proofErr w:type="spellEnd"/>
      <w:r w:rsidRPr="00B32016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 xml:space="preserve"> Holien</w:t>
      </w:r>
      <w:r w:rsidRPr="00B32016">
        <w:rPr>
          <w:rFonts w:cs="Times New Roman"/>
          <w:color w:val="222222"/>
          <w:sz w:val="24"/>
          <w:szCs w:val="24"/>
          <w:shd w:val="clear" w:color="auto" w:fill="FFFFFF"/>
          <w:vertAlign w:val="superscript"/>
          <w:lang w:val="en-GB"/>
        </w:rPr>
        <w:t>2</w:t>
      </w:r>
      <w:r w:rsidRPr="00B32016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B32016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>Alica</w:t>
      </w:r>
      <w:proofErr w:type="spellEnd"/>
      <w:r w:rsidRPr="00B32016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 xml:space="preserve"> Košuthová</w:t>
      </w:r>
      <w:r w:rsidRPr="00B32016">
        <w:rPr>
          <w:rFonts w:cs="Times New Roman"/>
          <w:color w:val="222222"/>
          <w:sz w:val="24"/>
          <w:szCs w:val="24"/>
          <w:shd w:val="clear" w:color="auto" w:fill="FFFFFF"/>
          <w:vertAlign w:val="superscript"/>
          <w:lang w:val="en-GB"/>
        </w:rPr>
        <w:t>3</w:t>
      </w:r>
      <w:r w:rsidRPr="00B32016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r w:rsidRPr="00B32016">
        <w:rPr>
          <w:rFonts w:cs="Times New Roman"/>
          <w:sz w:val="24"/>
          <w:szCs w:val="24"/>
          <w:lang w:val="en-GB"/>
        </w:rPr>
        <w:t>Pavel Škaloud</w:t>
      </w:r>
      <w:r w:rsidRPr="00B32016">
        <w:rPr>
          <w:rFonts w:cs="Times New Roman"/>
          <w:sz w:val="24"/>
          <w:szCs w:val="24"/>
          <w:vertAlign w:val="superscript"/>
          <w:lang w:val="en-GB"/>
        </w:rPr>
        <w:t>1</w:t>
      </w:r>
    </w:p>
    <w:p w14:paraId="33A7F741" w14:textId="77777777" w:rsidR="00B11541" w:rsidRPr="00B32016" w:rsidRDefault="00B11541" w:rsidP="00CB76CD">
      <w:pPr>
        <w:spacing w:line="276" w:lineRule="auto"/>
        <w:rPr>
          <w:rFonts w:cs="Times New Roman"/>
          <w:color w:val="000000" w:themeColor="text1"/>
          <w:sz w:val="24"/>
          <w:szCs w:val="24"/>
          <w:lang w:val="en-GB"/>
        </w:rPr>
      </w:pPr>
      <w:r w:rsidRPr="00B32016">
        <w:rPr>
          <w:rFonts w:cs="Times New Roman"/>
          <w:sz w:val="24"/>
          <w:szCs w:val="24"/>
          <w:vertAlign w:val="superscript"/>
          <w:lang w:val="en-GB"/>
        </w:rPr>
        <w:t>1</w:t>
      </w:r>
      <w:r w:rsidRPr="00B32016">
        <w:rPr>
          <w:rFonts w:cs="Times New Roman"/>
          <w:sz w:val="24"/>
          <w:szCs w:val="24"/>
          <w:lang w:val="en-GB"/>
        </w:rPr>
        <w:t xml:space="preserve"> </w:t>
      </w:r>
      <w:r w:rsidRPr="00B32016">
        <w:rPr>
          <w:rFonts w:eastAsia="MS Mincho" w:cs="Times New Roman"/>
          <w:sz w:val="24"/>
          <w:szCs w:val="24"/>
          <w:lang w:val="en-GB" w:eastAsia="ja-JP"/>
        </w:rPr>
        <w:t xml:space="preserve">Department of Botany, Faculty of Science, Charles University in Prague, </w:t>
      </w:r>
      <w:proofErr w:type="spellStart"/>
      <w:r w:rsidRPr="00B32016">
        <w:rPr>
          <w:rFonts w:eastAsia="MS Mincho" w:cs="Times New Roman"/>
          <w:sz w:val="24"/>
          <w:szCs w:val="24"/>
          <w:lang w:val="en-GB" w:eastAsia="ja-JP"/>
        </w:rPr>
        <w:t>Benátská</w:t>
      </w:r>
      <w:proofErr w:type="spellEnd"/>
      <w:r w:rsidRPr="00B32016">
        <w:rPr>
          <w:rFonts w:eastAsia="MS Mincho" w:cs="Times New Roman"/>
          <w:sz w:val="24"/>
          <w:szCs w:val="24"/>
          <w:lang w:val="en-GB" w:eastAsia="ja-JP"/>
        </w:rPr>
        <w:t xml:space="preserve"> 2, Prague, 128 01, Czech Republic; </w:t>
      </w:r>
      <w:r w:rsidRPr="00B32016">
        <w:rPr>
          <w:rFonts w:cs="Times New Roman"/>
          <w:sz w:val="24"/>
          <w:szCs w:val="24"/>
          <w:vertAlign w:val="superscript"/>
          <w:lang w:val="en-GB"/>
        </w:rPr>
        <w:t>2</w:t>
      </w:r>
      <w:r w:rsidRPr="00B32016">
        <w:rPr>
          <w:rFonts w:cs="Times New Roman"/>
          <w:b/>
          <w:sz w:val="24"/>
          <w:szCs w:val="24"/>
          <w:vertAlign w:val="superscript"/>
          <w:lang w:val="en-GB"/>
        </w:rPr>
        <w:t xml:space="preserve"> </w:t>
      </w:r>
      <w:r w:rsidRPr="00B32016">
        <w:rPr>
          <w:rFonts w:cs="Times New Roman"/>
          <w:sz w:val="24"/>
          <w:szCs w:val="24"/>
          <w:lang w:val="en-GB"/>
        </w:rPr>
        <w:t xml:space="preserve">Faculty of Biosciences and Aquaculture, Nord University, </w:t>
      </w:r>
      <w:proofErr w:type="spellStart"/>
      <w:r w:rsidRPr="00B32016">
        <w:rPr>
          <w:rFonts w:cs="Times New Roman"/>
          <w:sz w:val="24"/>
          <w:szCs w:val="24"/>
          <w:lang w:val="en-GB"/>
        </w:rPr>
        <w:t>Steinkjer</w:t>
      </w:r>
      <w:proofErr w:type="spellEnd"/>
      <w:r w:rsidRPr="00B32016">
        <w:rPr>
          <w:rFonts w:cs="Times New Roman"/>
          <w:sz w:val="24"/>
          <w:szCs w:val="24"/>
          <w:lang w:val="en-GB"/>
        </w:rPr>
        <w:t xml:space="preserve">, Norway; </w:t>
      </w:r>
      <w:r w:rsidRPr="00B32016">
        <w:rPr>
          <w:rFonts w:cs="Times New Roman"/>
          <w:sz w:val="24"/>
          <w:szCs w:val="24"/>
          <w:vertAlign w:val="superscript"/>
          <w:lang w:val="en-GB"/>
        </w:rPr>
        <w:t>3</w:t>
      </w:r>
      <w:r w:rsidR="00CB76CD" w:rsidRPr="00B32016">
        <w:rPr>
          <w:rFonts w:cs="Times New Roman"/>
          <w:color w:val="000000"/>
          <w:sz w:val="24"/>
          <w:szCs w:val="24"/>
          <w:lang w:val="en-GB"/>
        </w:rPr>
        <w:t xml:space="preserve"> Department of Botany, Swedish Museum of Natural History, P.O. Box 50007, SE-104 05, Stockholm, Sweden</w:t>
      </w:r>
      <w:r w:rsidRPr="00B32016">
        <w:rPr>
          <w:rFonts w:cs="Times New Roman"/>
          <w:sz w:val="24"/>
          <w:szCs w:val="24"/>
          <w:lang w:val="en-GB"/>
        </w:rPr>
        <w:t xml:space="preserve">; </w:t>
      </w:r>
      <w:r w:rsidRPr="00B32016">
        <w:rPr>
          <w:rFonts w:eastAsia="Times New Roman" w:cs="Times New Roman"/>
          <w:sz w:val="24"/>
          <w:szCs w:val="24"/>
          <w:lang w:val="en-GB" w:eastAsia="en-GB"/>
        </w:rPr>
        <w:t>*</w:t>
      </w:r>
      <w:r w:rsidRPr="00B32016">
        <w:rPr>
          <w:rFonts w:eastAsia="MS Mincho" w:cs="Times New Roman"/>
          <w:sz w:val="24"/>
          <w:szCs w:val="24"/>
          <w:lang w:val="en-GB" w:eastAsia="ja-JP"/>
        </w:rPr>
        <w:t>E-mail: jana.steinova@natur.cuni.cz</w:t>
      </w:r>
    </w:p>
    <w:p w14:paraId="4DC54E41" w14:textId="77777777" w:rsidR="00B11541" w:rsidRPr="00B32016" w:rsidRDefault="00B11541" w:rsidP="00B11541">
      <w:pPr>
        <w:spacing w:line="276" w:lineRule="auto"/>
        <w:rPr>
          <w:rFonts w:cs="Times New Roman"/>
          <w:sz w:val="24"/>
          <w:szCs w:val="24"/>
          <w:lang w:val="en-GB"/>
        </w:rPr>
      </w:pPr>
    </w:p>
    <w:p w14:paraId="2558050F" w14:textId="1C0BE6EB" w:rsidR="00B11541" w:rsidRPr="00B32016" w:rsidRDefault="001F1569" w:rsidP="00B11541">
      <w:pPr>
        <w:spacing w:line="276" w:lineRule="auto"/>
        <w:jc w:val="both"/>
        <w:rPr>
          <w:sz w:val="24"/>
          <w:szCs w:val="24"/>
          <w:lang w:val="en-GB"/>
        </w:rPr>
      </w:pPr>
      <w:r w:rsidRPr="00B32016">
        <w:rPr>
          <w:sz w:val="24"/>
          <w:szCs w:val="24"/>
          <w:lang w:val="en-GB"/>
        </w:rPr>
        <w:t xml:space="preserve">With rare exceptions, the </w:t>
      </w:r>
      <w:proofErr w:type="gramStart"/>
      <w:r w:rsidRPr="00B32016">
        <w:rPr>
          <w:sz w:val="24"/>
          <w:szCs w:val="24"/>
          <w:lang w:val="en-GB"/>
        </w:rPr>
        <w:t>shape and appearance of the lichen thallus are determined by the fungal partner</w:t>
      </w:r>
      <w:proofErr w:type="gramEnd"/>
      <w:r w:rsidRPr="00B32016">
        <w:rPr>
          <w:sz w:val="24"/>
          <w:szCs w:val="24"/>
          <w:lang w:val="en-GB"/>
        </w:rPr>
        <w:t xml:space="preserve">, and therefore, mycobiont identity is used for lichen identification. In the last two decades, </w:t>
      </w:r>
      <w:r w:rsidR="00AA6158" w:rsidRPr="00B32016">
        <w:rPr>
          <w:sz w:val="24"/>
          <w:szCs w:val="24"/>
          <w:lang w:val="en-GB"/>
        </w:rPr>
        <w:t>DNA-</w:t>
      </w:r>
      <w:r w:rsidRPr="00B32016">
        <w:rPr>
          <w:sz w:val="24"/>
          <w:szCs w:val="24"/>
          <w:lang w:val="en-GB"/>
        </w:rPr>
        <w:t>barcoding approaches</w:t>
      </w:r>
      <w:r w:rsidR="00BD6D38" w:rsidRPr="00B32016">
        <w:rPr>
          <w:sz w:val="24"/>
          <w:szCs w:val="24"/>
          <w:lang w:val="en-GB"/>
        </w:rPr>
        <w:t>,</w:t>
      </w:r>
      <w:r w:rsidR="00CB76CD" w:rsidRPr="00B32016">
        <w:rPr>
          <w:sz w:val="24"/>
          <w:szCs w:val="24"/>
          <w:lang w:val="en-GB"/>
        </w:rPr>
        <w:t xml:space="preserve"> which </w:t>
      </w:r>
      <w:r w:rsidRPr="00B32016">
        <w:rPr>
          <w:sz w:val="24"/>
          <w:szCs w:val="24"/>
          <w:lang w:val="en-GB"/>
        </w:rPr>
        <w:t>usually rel</w:t>
      </w:r>
      <w:r w:rsidR="00BD6D38" w:rsidRPr="00B32016">
        <w:rPr>
          <w:sz w:val="24"/>
          <w:szCs w:val="24"/>
          <w:lang w:val="en-GB"/>
        </w:rPr>
        <w:t>y</w:t>
      </w:r>
      <w:r w:rsidRPr="00B32016">
        <w:rPr>
          <w:sz w:val="24"/>
          <w:szCs w:val="24"/>
          <w:lang w:val="en-GB"/>
        </w:rPr>
        <w:t xml:space="preserve"> on the use of a single mycobiont molecular marker, unde</w:t>
      </w:r>
      <w:r w:rsidR="00BD6D38" w:rsidRPr="00B32016">
        <w:rPr>
          <w:sz w:val="24"/>
          <w:szCs w:val="24"/>
          <w:lang w:val="en-GB"/>
        </w:rPr>
        <w:t>r</w:t>
      </w:r>
      <w:r w:rsidRPr="00B32016">
        <w:rPr>
          <w:sz w:val="24"/>
          <w:szCs w:val="24"/>
          <w:lang w:val="en-GB"/>
        </w:rPr>
        <w:t xml:space="preserve">went rapid development and started to be </w:t>
      </w:r>
      <w:proofErr w:type="gramStart"/>
      <w:r w:rsidRPr="00B32016">
        <w:rPr>
          <w:sz w:val="24"/>
          <w:szCs w:val="24"/>
          <w:lang w:val="en-GB"/>
        </w:rPr>
        <w:t>commonly</w:t>
      </w:r>
      <w:proofErr w:type="gramEnd"/>
      <w:r w:rsidRPr="00B32016">
        <w:rPr>
          <w:sz w:val="24"/>
          <w:szCs w:val="24"/>
          <w:lang w:val="en-GB"/>
        </w:rPr>
        <w:t xml:space="preserve"> used for lichen diversity assessments. Due to their wide geographic and ecological ranges, </w:t>
      </w:r>
      <w:r w:rsidRPr="00B32016">
        <w:rPr>
          <w:i/>
          <w:sz w:val="24"/>
          <w:szCs w:val="24"/>
          <w:lang w:val="en-GB"/>
        </w:rPr>
        <w:t>Cladonia</w:t>
      </w:r>
      <w:r w:rsidRPr="00B32016">
        <w:rPr>
          <w:sz w:val="24"/>
          <w:szCs w:val="24"/>
          <w:lang w:val="en-GB"/>
        </w:rPr>
        <w:t xml:space="preserve"> lichens (comprising approximately 500 species worldwide) are often included in these studies. D</w:t>
      </w:r>
      <w:r w:rsidR="00B11541" w:rsidRPr="00B32016">
        <w:rPr>
          <w:sz w:val="24"/>
          <w:szCs w:val="24"/>
          <w:lang w:val="en-GB"/>
        </w:rPr>
        <w:t xml:space="preserve">uring our previous work, it turned out that two </w:t>
      </w:r>
      <w:r w:rsidR="00B11541" w:rsidRPr="00B32016">
        <w:rPr>
          <w:i/>
          <w:sz w:val="24"/>
          <w:szCs w:val="24"/>
          <w:lang w:val="en-GB"/>
        </w:rPr>
        <w:t>Cladonia</w:t>
      </w:r>
      <w:r w:rsidR="00B11541" w:rsidRPr="00B32016">
        <w:rPr>
          <w:sz w:val="24"/>
          <w:szCs w:val="24"/>
          <w:lang w:val="en-GB"/>
        </w:rPr>
        <w:t xml:space="preserve"> species that differ morphologically, chemically, ecologically</w:t>
      </w:r>
      <w:r w:rsidR="00BD6D38" w:rsidRPr="00B32016">
        <w:rPr>
          <w:sz w:val="24"/>
          <w:szCs w:val="24"/>
          <w:lang w:val="en-GB"/>
        </w:rPr>
        <w:t>,</w:t>
      </w:r>
      <w:r w:rsidR="00B11541" w:rsidRPr="00B32016">
        <w:rPr>
          <w:sz w:val="24"/>
          <w:szCs w:val="24"/>
          <w:lang w:val="en-GB"/>
        </w:rPr>
        <w:t xml:space="preserve"> and by their distribution ranges </w:t>
      </w:r>
      <w:r w:rsidR="00B11541" w:rsidRPr="00B32016" w:rsidDel="00AA6158">
        <w:rPr>
          <w:sz w:val="24"/>
          <w:szCs w:val="24"/>
          <w:lang w:val="en-GB"/>
        </w:rPr>
        <w:t>(</w:t>
      </w:r>
      <w:r w:rsidR="00B11541" w:rsidRPr="00B32016" w:rsidDel="00AA6158">
        <w:rPr>
          <w:i/>
          <w:sz w:val="24"/>
          <w:szCs w:val="24"/>
          <w:lang w:val="en-GB"/>
        </w:rPr>
        <w:t xml:space="preserve">Cladonia </w:t>
      </w:r>
      <w:proofErr w:type="spellStart"/>
      <w:r w:rsidR="00B11541" w:rsidRPr="00B32016" w:rsidDel="00AA6158">
        <w:rPr>
          <w:i/>
          <w:sz w:val="24"/>
          <w:szCs w:val="24"/>
          <w:lang w:val="en-GB"/>
        </w:rPr>
        <w:t>bellidiflora</w:t>
      </w:r>
      <w:proofErr w:type="spellEnd"/>
      <w:r w:rsidR="00B11541" w:rsidRPr="00B32016" w:rsidDel="00AA6158">
        <w:rPr>
          <w:sz w:val="24"/>
          <w:szCs w:val="24"/>
          <w:lang w:val="en-GB"/>
        </w:rPr>
        <w:t xml:space="preserve"> and </w:t>
      </w:r>
      <w:r w:rsidR="00B11541" w:rsidRPr="00B32016" w:rsidDel="00AA6158">
        <w:rPr>
          <w:i/>
          <w:sz w:val="24"/>
          <w:szCs w:val="24"/>
          <w:lang w:val="en-GB"/>
        </w:rPr>
        <w:t xml:space="preserve">C. </w:t>
      </w:r>
      <w:proofErr w:type="spellStart"/>
      <w:r w:rsidR="00B11541" w:rsidRPr="00B32016" w:rsidDel="00AA6158">
        <w:rPr>
          <w:i/>
          <w:sz w:val="24"/>
          <w:szCs w:val="24"/>
          <w:lang w:val="en-GB"/>
        </w:rPr>
        <w:t>polydactyla</w:t>
      </w:r>
      <w:proofErr w:type="spellEnd"/>
      <w:r w:rsidR="00B11541" w:rsidRPr="00B32016" w:rsidDel="00AA6158">
        <w:rPr>
          <w:sz w:val="24"/>
          <w:szCs w:val="24"/>
          <w:lang w:val="en-GB"/>
        </w:rPr>
        <w:t xml:space="preserve">) </w:t>
      </w:r>
      <w:r w:rsidR="00B11541" w:rsidRPr="00B32016">
        <w:rPr>
          <w:sz w:val="24"/>
          <w:szCs w:val="24"/>
          <w:lang w:val="en-GB"/>
        </w:rPr>
        <w:t xml:space="preserve">cannot be successfully distinguished by their fungal ITS rDNA sequences (i.e., recent mycobiont barcoding marker). Therefore, </w:t>
      </w:r>
      <w:r w:rsidR="00AA6158" w:rsidRPr="00B32016">
        <w:rPr>
          <w:sz w:val="24"/>
          <w:szCs w:val="24"/>
          <w:lang w:val="en-GB"/>
        </w:rPr>
        <w:t xml:space="preserve">we </w:t>
      </w:r>
      <w:r w:rsidR="00CC3545" w:rsidRPr="00B32016">
        <w:rPr>
          <w:sz w:val="24"/>
          <w:szCs w:val="24"/>
          <w:lang w:val="en-GB"/>
        </w:rPr>
        <w:t>applied</w:t>
      </w:r>
      <w:r w:rsidR="00AA6158" w:rsidRPr="00B32016">
        <w:rPr>
          <w:sz w:val="24"/>
          <w:szCs w:val="24"/>
          <w:lang w:val="en-GB"/>
        </w:rPr>
        <w:t xml:space="preserve"> </w:t>
      </w:r>
      <w:r w:rsidR="00BD6D38" w:rsidRPr="00B32016">
        <w:rPr>
          <w:sz w:val="24"/>
          <w:szCs w:val="24"/>
          <w:lang w:val="en-GB"/>
        </w:rPr>
        <w:t xml:space="preserve">four </w:t>
      </w:r>
      <w:r w:rsidR="00B11541" w:rsidRPr="00B32016">
        <w:rPr>
          <w:sz w:val="24"/>
          <w:szCs w:val="24"/>
          <w:lang w:val="en-GB"/>
        </w:rPr>
        <w:t xml:space="preserve">additional highly variable molecular markers previously successfully used to distinguish </w:t>
      </w:r>
      <w:r w:rsidR="00B11541" w:rsidRPr="00B32016">
        <w:rPr>
          <w:i/>
          <w:sz w:val="24"/>
          <w:szCs w:val="24"/>
          <w:lang w:val="en-GB"/>
        </w:rPr>
        <w:t>Cladonia</w:t>
      </w:r>
      <w:r w:rsidR="00B11541" w:rsidRPr="00B32016">
        <w:rPr>
          <w:sz w:val="24"/>
          <w:szCs w:val="24"/>
          <w:lang w:val="en-GB"/>
        </w:rPr>
        <w:t xml:space="preserve"> species, specifically the second largest subunit of RNA polymerase II gene (RPB2), mitochondrial cytochrome c oxidase I (cox1), elongation factor‐1α (EF-1α)</w:t>
      </w:r>
      <w:r w:rsidRPr="00B32016">
        <w:rPr>
          <w:sz w:val="24"/>
          <w:szCs w:val="24"/>
          <w:lang w:val="en-GB"/>
        </w:rPr>
        <w:t>,</w:t>
      </w:r>
      <w:r w:rsidR="00B11541" w:rsidRPr="00B32016">
        <w:rPr>
          <w:sz w:val="24"/>
          <w:szCs w:val="24"/>
          <w:lang w:val="en-GB"/>
        </w:rPr>
        <w:t xml:space="preserve"> and mitochondrial ribosomal DNA (</w:t>
      </w:r>
      <w:proofErr w:type="spellStart"/>
      <w:r w:rsidR="00B11541" w:rsidRPr="00B32016">
        <w:rPr>
          <w:sz w:val="24"/>
          <w:szCs w:val="24"/>
          <w:lang w:val="en-GB"/>
        </w:rPr>
        <w:t>mtSSU</w:t>
      </w:r>
      <w:proofErr w:type="spellEnd"/>
      <w:r w:rsidR="00B11541" w:rsidRPr="00B32016">
        <w:rPr>
          <w:sz w:val="24"/>
          <w:szCs w:val="24"/>
          <w:lang w:val="en-GB"/>
        </w:rPr>
        <w:t xml:space="preserve">) </w:t>
      </w:r>
      <w:r w:rsidR="00BD6D38" w:rsidRPr="00B32016">
        <w:rPr>
          <w:sz w:val="24"/>
          <w:szCs w:val="24"/>
          <w:lang w:val="en-GB"/>
        </w:rPr>
        <w:t>along with the</w:t>
      </w:r>
      <w:r w:rsidR="00B11541" w:rsidRPr="00B32016">
        <w:rPr>
          <w:sz w:val="24"/>
          <w:szCs w:val="24"/>
          <w:lang w:val="en-GB"/>
        </w:rPr>
        <w:t xml:space="preserve"> photobiont ITS rDNA region. A third species</w:t>
      </w:r>
      <w:r w:rsidRPr="00B32016">
        <w:rPr>
          <w:sz w:val="24"/>
          <w:szCs w:val="24"/>
          <w:lang w:val="en-GB"/>
        </w:rPr>
        <w:t>,</w:t>
      </w:r>
      <w:r w:rsidR="00B11541" w:rsidRPr="00B32016">
        <w:rPr>
          <w:sz w:val="24"/>
          <w:szCs w:val="24"/>
          <w:lang w:val="en-GB"/>
        </w:rPr>
        <w:t xml:space="preserve"> very close to </w:t>
      </w:r>
      <w:r w:rsidR="00B11541" w:rsidRPr="00B32016">
        <w:rPr>
          <w:i/>
          <w:sz w:val="24"/>
          <w:szCs w:val="24"/>
          <w:lang w:val="en-GB"/>
        </w:rPr>
        <w:t xml:space="preserve">C. </w:t>
      </w:r>
      <w:proofErr w:type="spellStart"/>
      <w:r w:rsidR="00B11541" w:rsidRPr="00B32016">
        <w:rPr>
          <w:i/>
          <w:sz w:val="24"/>
          <w:szCs w:val="24"/>
          <w:lang w:val="en-GB"/>
        </w:rPr>
        <w:t>polydactyla</w:t>
      </w:r>
      <w:proofErr w:type="spellEnd"/>
      <w:r w:rsidR="00B11541" w:rsidRPr="00B32016">
        <w:rPr>
          <w:sz w:val="24"/>
          <w:szCs w:val="24"/>
          <w:lang w:val="en-GB"/>
        </w:rPr>
        <w:t xml:space="preserve"> but having a distinctly narrower ecological amplitude (</w:t>
      </w:r>
      <w:r w:rsidR="00B11541" w:rsidRPr="00B32016">
        <w:rPr>
          <w:i/>
          <w:sz w:val="24"/>
          <w:szCs w:val="24"/>
          <w:lang w:val="en-GB"/>
        </w:rPr>
        <w:t xml:space="preserve">C. </w:t>
      </w:r>
      <w:proofErr w:type="spellStart"/>
      <w:r w:rsidR="00B11541" w:rsidRPr="00B32016">
        <w:rPr>
          <w:i/>
          <w:sz w:val="24"/>
          <w:szCs w:val="24"/>
          <w:lang w:val="en-GB"/>
        </w:rPr>
        <w:t>umbricola</w:t>
      </w:r>
      <w:proofErr w:type="spellEnd"/>
      <w:r w:rsidR="00B11541" w:rsidRPr="00B32016">
        <w:rPr>
          <w:sz w:val="24"/>
          <w:szCs w:val="24"/>
          <w:lang w:val="en-GB"/>
        </w:rPr>
        <w:t>)</w:t>
      </w:r>
      <w:r w:rsidRPr="00B32016">
        <w:rPr>
          <w:sz w:val="24"/>
          <w:szCs w:val="24"/>
          <w:lang w:val="en-GB"/>
        </w:rPr>
        <w:t>,</w:t>
      </w:r>
      <w:r w:rsidR="00B11541" w:rsidRPr="00B32016">
        <w:rPr>
          <w:sz w:val="24"/>
          <w:szCs w:val="24"/>
          <w:lang w:val="en-GB"/>
        </w:rPr>
        <w:t xml:space="preserve"> was included in the dataset to provide a complete picture. Material for this study </w:t>
      </w:r>
      <w:proofErr w:type="gramStart"/>
      <w:r w:rsidR="00B11541" w:rsidRPr="00B32016">
        <w:rPr>
          <w:sz w:val="24"/>
          <w:szCs w:val="24"/>
          <w:lang w:val="en-GB"/>
        </w:rPr>
        <w:t>was collected</w:t>
      </w:r>
      <w:proofErr w:type="gramEnd"/>
      <w:r w:rsidR="00B11541" w:rsidRPr="00B32016">
        <w:rPr>
          <w:sz w:val="24"/>
          <w:szCs w:val="24"/>
          <w:lang w:val="en-GB"/>
        </w:rPr>
        <w:t xml:space="preserve"> in different parts of Europe. </w:t>
      </w:r>
      <w:r w:rsidR="00B32016">
        <w:rPr>
          <w:sz w:val="24"/>
          <w:szCs w:val="24"/>
          <w:lang w:val="en-GB"/>
        </w:rPr>
        <w:t>A</w:t>
      </w:r>
      <w:bookmarkStart w:id="0" w:name="_GoBack"/>
      <w:bookmarkEnd w:id="0"/>
      <w:r w:rsidR="00BD6D38" w:rsidRPr="00B32016">
        <w:rPr>
          <w:sz w:val="24"/>
          <w:szCs w:val="24"/>
          <w:lang w:val="en-GB"/>
        </w:rPr>
        <w:t xml:space="preserve">ll </w:t>
      </w:r>
      <w:r w:rsidR="00B11541" w:rsidRPr="00B32016">
        <w:rPr>
          <w:sz w:val="24"/>
          <w:szCs w:val="24"/>
          <w:lang w:val="en-GB"/>
        </w:rPr>
        <w:t xml:space="preserve">mycobiont markers studied showed very low variability and failed to separate the species. However, photobiont identity better corresponded to the lichen phenotype and separated esorediate </w:t>
      </w:r>
      <w:r w:rsidR="00B11541" w:rsidRPr="00B32016">
        <w:rPr>
          <w:i/>
          <w:sz w:val="24"/>
          <w:szCs w:val="24"/>
          <w:lang w:val="en-GB"/>
        </w:rPr>
        <w:t xml:space="preserve">C. </w:t>
      </w:r>
      <w:proofErr w:type="spellStart"/>
      <w:r w:rsidR="00B11541" w:rsidRPr="00B32016">
        <w:rPr>
          <w:i/>
          <w:sz w:val="24"/>
          <w:szCs w:val="24"/>
          <w:lang w:val="en-GB"/>
        </w:rPr>
        <w:t>bellidiflora</w:t>
      </w:r>
      <w:proofErr w:type="spellEnd"/>
      <w:r w:rsidR="00B11541" w:rsidRPr="00B32016">
        <w:rPr>
          <w:sz w:val="24"/>
          <w:szCs w:val="24"/>
          <w:lang w:val="en-GB"/>
        </w:rPr>
        <w:t xml:space="preserve"> from the other two sorediate taxa. These results </w:t>
      </w:r>
      <w:proofErr w:type="gramStart"/>
      <w:r w:rsidR="00B11541" w:rsidRPr="00B32016">
        <w:rPr>
          <w:sz w:val="24"/>
          <w:szCs w:val="24"/>
          <w:lang w:val="en-GB"/>
        </w:rPr>
        <w:t>can be interpreted</w:t>
      </w:r>
      <w:proofErr w:type="gramEnd"/>
      <w:r w:rsidR="00B11541" w:rsidRPr="00B32016">
        <w:rPr>
          <w:sz w:val="24"/>
          <w:szCs w:val="24"/>
          <w:lang w:val="en-GB"/>
        </w:rPr>
        <w:t xml:space="preserve"> either by photobiont determining lichen phenotype or by recent speciation of mycobionts, not yet mirrored in molecular markers studied. A second scenario would have serious consequences for </w:t>
      </w:r>
      <w:r w:rsidR="001B094C" w:rsidRPr="00B32016">
        <w:rPr>
          <w:sz w:val="24"/>
          <w:szCs w:val="24"/>
          <w:lang w:val="en-GB"/>
        </w:rPr>
        <w:t>DNA-</w:t>
      </w:r>
      <w:r w:rsidR="00B11541" w:rsidRPr="00B32016">
        <w:rPr>
          <w:sz w:val="24"/>
          <w:szCs w:val="24"/>
          <w:lang w:val="en-GB"/>
        </w:rPr>
        <w:t>barcoding approaches.</w:t>
      </w:r>
    </w:p>
    <w:sectPr w:rsidR="00B11541" w:rsidRPr="00B3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jEyMjA2MDEyNzdT0lEKTi0uzszPAykwrgUA5qCgTiwAAAA="/>
  </w:docVars>
  <w:rsids>
    <w:rsidRoot w:val="00B11541"/>
    <w:rsid w:val="00006090"/>
    <w:rsid w:val="0003045B"/>
    <w:rsid w:val="001B094C"/>
    <w:rsid w:val="001B523E"/>
    <w:rsid w:val="001C3217"/>
    <w:rsid w:val="001F1569"/>
    <w:rsid w:val="004320DA"/>
    <w:rsid w:val="00462328"/>
    <w:rsid w:val="004638E3"/>
    <w:rsid w:val="006767C1"/>
    <w:rsid w:val="00712652"/>
    <w:rsid w:val="00746927"/>
    <w:rsid w:val="0085501D"/>
    <w:rsid w:val="009A2280"/>
    <w:rsid w:val="009B1189"/>
    <w:rsid w:val="009C40EA"/>
    <w:rsid w:val="009F206A"/>
    <w:rsid w:val="00A15762"/>
    <w:rsid w:val="00A1727B"/>
    <w:rsid w:val="00AA6158"/>
    <w:rsid w:val="00AA7917"/>
    <w:rsid w:val="00AF25AF"/>
    <w:rsid w:val="00AF632A"/>
    <w:rsid w:val="00B11541"/>
    <w:rsid w:val="00B32016"/>
    <w:rsid w:val="00B47909"/>
    <w:rsid w:val="00BD6D38"/>
    <w:rsid w:val="00C20029"/>
    <w:rsid w:val="00CB76CD"/>
    <w:rsid w:val="00CC3545"/>
    <w:rsid w:val="00EA69B4"/>
    <w:rsid w:val="00EC7BF3"/>
    <w:rsid w:val="00F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9B33"/>
  <w15:chartTrackingRefBased/>
  <w15:docId w15:val="{E6E9E4EB-4532-480A-B59F-24ACFBD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541"/>
    <w:pPr>
      <w:spacing w:before="120" w:after="120" w:line="48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1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5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3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5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54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54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D6D3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DC63-CB74-4B41-A9C6-36BE37A1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2021-04-29T11:34:00Z</dcterms:created>
  <dcterms:modified xsi:type="dcterms:W3CDTF">2021-04-29T11:34:00Z</dcterms:modified>
</cp:coreProperties>
</file>