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left"/>
        <w:rPr>
          <w:b w:val="1"/>
          <w:bCs w:val="1"/>
          <w:color w:val="ff0000"/>
          <w:sz w:val="28"/>
          <w:szCs w:val="28"/>
        </w:rPr>
      </w:pPr>
      <w:r w:rsidDel="00000000" w:rsidR="00000000" w:rsidRPr="00000000">
        <w:rPr>
          <w:rtl w:val="0"/>
        </w:rPr>
      </w:r>
    </w:p>
    <w:p w:rsidR="00000000" w:rsidDel="00000000" w:rsidP="00000000" w:rsidRDefault="00000000" w:rsidRPr="00000000" w14:paraId="00000003">
      <w:pPr>
        <w:jc w:val="center"/>
        <w:rPr>
          <w:b w:val="1"/>
          <w:bCs w:val="1"/>
          <w:color w:val="c00000"/>
          <w:sz w:val="28"/>
          <w:szCs w:val="28"/>
        </w:rPr>
      </w:pPr>
      <w:r w:rsidDel="00000000" w:rsidR="00000000" w:rsidRPr="00000000">
        <w:rPr>
          <w:b w:val="1"/>
          <w:bCs w:val="1"/>
          <w:sz w:val="28"/>
          <w:szCs w:val="28"/>
          <w:rtl w:val="0"/>
        </w:rPr>
        <w:t xml:space="preserve">Metabolic conditioning of </w:t>
      </w:r>
      <w:r w:rsidDel="00000000" w:rsidR="00000000" w:rsidRPr="00000000">
        <w:rPr>
          <w:b w:val="1"/>
          <w:bCs w:val="1"/>
          <w:i w:val="1"/>
          <w:iCs w:val="1"/>
          <w:sz w:val="28"/>
          <w:szCs w:val="28"/>
          <w:rtl w:val="0"/>
        </w:rPr>
        <w:t xml:space="preserve">Chlamydomonas reinhardtii</w:t>
      </w:r>
      <w:r w:rsidDel="00000000" w:rsidR="00000000" w:rsidRPr="00000000">
        <w:rPr>
          <w:b w:val="1"/>
          <w:bCs w:val="1"/>
          <w:sz w:val="28"/>
          <w:szCs w:val="28"/>
          <w:rtl w:val="0"/>
        </w:rPr>
        <w:t xml:space="preserve"> affects soybean biostimulant efficiency under contrasting soil pH</w:t>
      </w: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ind w:left="360" w:firstLine="0"/>
        <w:rPr>
          <w:b w:val="1"/>
          <w:bCs w:val="1"/>
          <w:sz w:val="22"/>
          <w:szCs w:val="22"/>
          <w:vertAlign w:val="superscript"/>
        </w:rPr>
      </w:pPr>
      <w:r w:rsidDel="00000000" w:rsidR="00000000" w:rsidRPr="00000000">
        <w:rPr>
          <w:b w:val="1"/>
          <w:bCs w:val="1"/>
          <w:sz w:val="22"/>
          <w:szCs w:val="22"/>
          <w:u w:val="single"/>
          <w:rtl w:val="0"/>
        </w:rPr>
        <w:t xml:space="preserve">Ana Paula Duarte Ramin</w:t>
      </w:r>
      <w:r w:rsidDel="00000000" w:rsidR="00000000" w:rsidRPr="00000000">
        <w:rPr>
          <w:b w:val="1"/>
          <w:bCs w:val="1"/>
          <w:sz w:val="22"/>
          <w:szCs w:val="22"/>
          <w:vertAlign w:val="superscript"/>
          <w:rtl w:val="0"/>
        </w:rPr>
        <w:t xml:space="preserve">1*</w:t>
      </w:r>
      <w:r w:rsidDel="00000000" w:rsidR="00000000" w:rsidRPr="00000000">
        <w:rPr>
          <w:b w:val="1"/>
          <w:bCs w:val="1"/>
          <w:sz w:val="22"/>
          <w:szCs w:val="22"/>
          <w:rtl w:val="0"/>
        </w:rPr>
        <w:t xml:space="preserve">,</w:t>
      </w:r>
      <w:r w:rsidDel="00000000" w:rsidR="00000000" w:rsidRPr="00000000">
        <w:rPr>
          <w:b w:val="1"/>
          <w:bCs w:val="1"/>
          <w:sz w:val="22"/>
          <w:szCs w:val="22"/>
          <w:rtl w:val="0"/>
        </w:rPr>
        <w:t xml:space="preserve"> Leandro Luis Lavandosque</w:t>
      </w:r>
      <w:r w:rsidDel="00000000" w:rsidR="00000000" w:rsidRPr="00000000">
        <w:rPr>
          <w:b w:val="1"/>
          <w:bCs w:val="1"/>
          <w:sz w:val="22"/>
          <w:szCs w:val="22"/>
          <w:vertAlign w:val="superscript"/>
          <w:rtl w:val="0"/>
        </w:rPr>
        <w:t xml:space="preserve">1</w:t>
      </w:r>
      <w:r w:rsidDel="00000000" w:rsidR="00000000" w:rsidRPr="00000000">
        <w:rPr>
          <w:b w:val="1"/>
          <w:bCs w:val="1"/>
          <w:sz w:val="22"/>
          <w:szCs w:val="22"/>
          <w:rtl w:val="0"/>
        </w:rPr>
        <w:t xml:space="preserve">, Cássio Carlette Thiengo</w:t>
      </w:r>
      <w:r w:rsidDel="00000000" w:rsidR="00000000" w:rsidRPr="00000000">
        <w:rPr>
          <w:b w:val="1"/>
          <w:bCs w:val="1"/>
          <w:sz w:val="22"/>
          <w:szCs w:val="22"/>
          <w:vertAlign w:val="superscript"/>
          <w:rtl w:val="0"/>
        </w:rPr>
        <w:t xml:space="preserve">2</w:t>
      </w:r>
      <w:r w:rsidDel="00000000" w:rsidR="00000000" w:rsidRPr="00000000">
        <w:rPr>
          <w:b w:val="1"/>
          <w:bCs w:val="1"/>
          <w:sz w:val="22"/>
          <w:szCs w:val="22"/>
          <w:rtl w:val="0"/>
        </w:rPr>
        <w:t xml:space="preserve">, José Lavres Junior</w:t>
      </w:r>
      <w:r w:rsidDel="00000000" w:rsidR="00000000" w:rsidRPr="00000000">
        <w:rPr>
          <w:b w:val="1"/>
          <w:bCs w:val="1"/>
          <w:sz w:val="22"/>
          <w:szCs w:val="22"/>
          <w:vertAlign w:val="superscript"/>
          <w:rtl w:val="0"/>
        </w:rPr>
        <w:t xml:space="preserve">2</w:t>
      </w:r>
      <w:r w:rsidDel="00000000" w:rsidR="00000000" w:rsidRPr="00000000">
        <w:rPr>
          <w:b w:val="1"/>
          <w:bCs w:val="1"/>
          <w:sz w:val="22"/>
          <w:szCs w:val="22"/>
          <w:rtl w:val="0"/>
        </w:rPr>
        <w:t xml:space="preserve">, Flavia Vischi Winck</w:t>
      </w:r>
      <w:r w:rsidDel="00000000" w:rsidR="00000000" w:rsidRPr="00000000">
        <w:rPr>
          <w:b w:val="1"/>
          <w:bCs w:val="1"/>
          <w:sz w:val="22"/>
          <w:szCs w:val="22"/>
          <w:vertAlign w:val="superscript"/>
          <w:rtl w:val="0"/>
        </w:rPr>
        <w:t xml:space="preserve">1</w:t>
      </w:r>
    </w:p>
    <w:p w:rsidR="00000000" w:rsidDel="00000000" w:rsidP="00000000" w:rsidRDefault="00000000" w:rsidRPr="00000000" w14:paraId="00000007">
      <w:pPr>
        <w:ind w:left="360" w:firstLine="0"/>
        <w:rPr>
          <w:b w:val="1"/>
          <w:bCs w:val="1"/>
          <w:sz w:val="22"/>
          <w:szCs w:val="22"/>
          <w:u w:val="single"/>
        </w:rPr>
      </w:pPr>
      <w:r w:rsidDel="00000000" w:rsidR="00000000" w:rsidRPr="00000000">
        <w:rPr>
          <w:rtl w:val="0"/>
        </w:rPr>
      </w:r>
    </w:p>
    <w:p w:rsidR="00000000" w:rsidDel="00000000" w:rsidP="00000000" w:rsidRDefault="00000000" w:rsidRPr="00000000" w14:paraId="00000008">
      <w:pPr>
        <w:jc w:val="center"/>
        <w:rPr>
          <w:i w:val="1"/>
          <w:iCs w:val="1"/>
          <w:sz w:val="18"/>
          <w:szCs w:val="18"/>
        </w:rPr>
      </w:pPr>
      <w:r w:rsidDel="00000000" w:rsidR="00000000" w:rsidRPr="00000000">
        <w:rPr>
          <w:i w:val="1"/>
          <w:iCs w:val="1"/>
          <w:sz w:val="18"/>
          <w:szCs w:val="18"/>
          <w:vertAlign w:val="superscript"/>
          <w:rtl w:val="0"/>
        </w:rPr>
        <w:t xml:space="preserve">1</w:t>
      </w:r>
      <w:r w:rsidDel="00000000" w:rsidR="00000000" w:rsidRPr="00000000">
        <w:rPr>
          <w:i w:val="1"/>
          <w:iCs w:val="1"/>
          <w:sz w:val="18"/>
          <w:szCs w:val="18"/>
          <w:rtl w:val="0"/>
        </w:rPr>
        <w:t xml:space="preserve">Regulatory Systems Biology Laboratory, Center for Nuclear Energy in Agriculture (CENA), Piracicaba/SP, Brazil.</w:t>
      </w:r>
    </w:p>
    <w:p w:rsidR="00000000" w:rsidDel="00000000" w:rsidP="00000000" w:rsidRDefault="00000000" w:rsidRPr="00000000" w14:paraId="00000009">
      <w:pPr>
        <w:jc w:val="center"/>
        <w:rPr>
          <w:i w:val="1"/>
          <w:iCs w:val="1"/>
          <w:sz w:val="18"/>
          <w:szCs w:val="18"/>
        </w:rPr>
      </w:pPr>
      <w:r w:rsidDel="00000000" w:rsidR="00000000" w:rsidRPr="00000000">
        <w:rPr>
          <w:i w:val="1"/>
          <w:iCs w:val="1"/>
          <w:sz w:val="18"/>
          <w:szCs w:val="18"/>
          <w:rtl w:val="0"/>
        </w:rPr>
        <w:t xml:space="preserve"> </w:t>
      </w:r>
      <w:r w:rsidDel="00000000" w:rsidR="00000000" w:rsidRPr="00000000">
        <w:rPr>
          <w:i w:val="1"/>
          <w:iCs w:val="1"/>
          <w:sz w:val="18"/>
          <w:szCs w:val="18"/>
          <w:vertAlign w:val="superscript"/>
          <w:rtl w:val="0"/>
        </w:rPr>
        <w:t xml:space="preserve">2</w:t>
      </w:r>
      <w:r w:rsidDel="00000000" w:rsidR="00000000" w:rsidRPr="00000000">
        <w:rPr>
          <w:i w:val="1"/>
          <w:iCs w:val="1"/>
          <w:sz w:val="18"/>
          <w:szCs w:val="18"/>
          <w:rtl w:val="0"/>
        </w:rPr>
        <w:t xml:space="preserve">Stable Isotopes Laboratory, Center for Nuclear Energy in Agriculture (CENA/USP), Piracicaba/SP, Brazil.</w:t>
      </w:r>
    </w:p>
    <w:p w:rsidR="00000000" w:rsidDel="00000000" w:rsidP="00000000" w:rsidRDefault="00000000" w:rsidRPr="00000000" w14:paraId="0000000A">
      <w:pPr>
        <w:jc w:val="center"/>
        <w:rPr>
          <w:i w:val="1"/>
          <w:iCs w:val="1"/>
          <w:sz w:val="18"/>
          <w:szCs w:val="18"/>
          <w:highlight w:val="yellow"/>
        </w:rPr>
      </w:pPr>
      <w:r w:rsidDel="00000000" w:rsidR="00000000" w:rsidRPr="00000000">
        <w:rPr>
          <w:i w:val="1"/>
          <w:iCs w:val="1"/>
          <w:sz w:val="18"/>
          <w:szCs w:val="18"/>
          <w:rtl w:val="0"/>
        </w:rPr>
        <w:t xml:space="preserve">*apduarte@cena.usp.br</w:t>
      </w: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Microalgae represent versatile biofactories for the development of sustainable agricultural bio-inputs. However, even though algae cultivation strategies in the initial and production phases shape the functionality of biostimulants, the downstream phase remains insufficiently explored. This study investigated how the metabolic conditioning of </w:t>
      </w:r>
      <w:r w:rsidDel="00000000" w:rsidR="00000000" w:rsidRPr="00000000">
        <w:rPr>
          <w:i w:val="1"/>
          <w:iCs w:val="1"/>
          <w:rtl w:val="0"/>
        </w:rPr>
        <w:t xml:space="preserve">Chlamydomonas reinhardtii</w:t>
      </w:r>
      <w:r w:rsidDel="00000000" w:rsidR="00000000" w:rsidRPr="00000000">
        <w:rPr>
          <w:rtl w:val="0"/>
        </w:rPr>
        <w:t xml:space="preserve"> under different cultivation modes (mixotrophy, heterotrophy, and under saline stress) influences the physiological performance of hydrolysates derived from the biomass, applied to a soil-plant system under contrasting pH conditions. The microalgal biomass was biochemically characterized, and the resulting hydrolysates were applied to soybean </w:t>
      </w:r>
      <w:r w:rsidDel="00000000" w:rsidR="00000000" w:rsidRPr="00000000">
        <w:rPr>
          <w:i w:val="1"/>
          <w:iCs w:val="1"/>
          <w:rtl w:val="0"/>
        </w:rPr>
        <w:t xml:space="preserve">(Glycine max L. Merr.)</w:t>
      </w:r>
      <w:r w:rsidDel="00000000" w:rsidR="00000000" w:rsidRPr="00000000">
        <w:rPr>
          <w:rtl w:val="0"/>
        </w:rPr>
        <w:t xml:space="preserve"> grown in acidic soils (pH 4.88) and with liming (pH 6.7). Plant responses were evaluated through parameters of gas exchange, shoot biomass accumulation, total leaf carbon content, and carbon isotopic composition (δ¹³C). The cultivation strategy significantly altered the biochemical profile of </w:t>
      </w:r>
      <w:r w:rsidDel="00000000" w:rsidR="00000000" w:rsidRPr="00000000">
        <w:rPr>
          <w:i w:val="1"/>
          <w:iCs w:val="1"/>
          <w:rtl w:val="0"/>
        </w:rPr>
        <w:t xml:space="preserve">C. reinhardtii</w:t>
      </w:r>
      <w:r w:rsidDel="00000000" w:rsidR="00000000" w:rsidRPr="00000000">
        <w:rPr>
          <w:rtl w:val="0"/>
        </w:rPr>
        <w:t xml:space="preserve"> biomass, generating hydrolysates with distinct physiological effects. Although soil acidity conditions limited the expression of responses to biostimulants, classification allowed for a clear differentiation between treatments. Hydrolysates derived from cultures subjected to saline stress showed greater CO₂ assimilation, transpiration, and shoot biomass accumulation under pH correction, while mixotrophic and heterotrophic cultures promoted contrasting modulation of internal CO₂ dynamics and carbon discrimination. These results demonstrate that the metabolic conditioning induced by cultivation is a fundamental determinant of the performance of microalgae biostimulants and that soil pH acts as a critical environmental filter for the physiological expression of algae-derived bioactivity. The integration of upstream algae cultivation strategies with downstream soil management emerges as a promising approach for the rational development of microalgae-based agricultural bio-inputs.</w:t>
      </w:r>
    </w:p>
    <w:p w:rsidR="00000000" w:rsidDel="00000000" w:rsidP="00000000" w:rsidRDefault="00000000" w:rsidRPr="00000000" w14:paraId="0000000E">
      <w:pPr>
        <w:ind w:firstLine="720"/>
        <w:rPr/>
      </w:pPr>
      <w:r w:rsidDel="00000000" w:rsidR="00000000" w:rsidRPr="00000000">
        <w:rPr>
          <w:rtl w:val="0"/>
        </w:rPr>
      </w:r>
    </w:p>
    <w:p w:rsidR="00000000" w:rsidDel="00000000" w:rsidP="00000000" w:rsidRDefault="00000000" w:rsidRPr="00000000" w14:paraId="0000000F">
      <w:pPr>
        <w:tabs>
          <w:tab w:val="left" w:leader="none" w:pos="7567"/>
        </w:tabs>
        <w:rPr>
          <w:sz w:val="22"/>
          <w:szCs w:val="22"/>
        </w:rPr>
        <w:sectPr>
          <w:headerReference r:id="rId9" w:type="first"/>
          <w:headerReference r:id="rId10" w:type="even"/>
          <w:pgSz w:h="16838" w:w="11906" w:orient="portrait"/>
          <w:pgMar w:bottom="1418" w:top="1418" w:left="1701" w:right="1701" w:header="0" w:footer="1134"/>
          <w:pgNumType w:start="1"/>
          <w:titlePg w:val="1"/>
        </w:sectPr>
      </w:pPr>
      <w:r w:rsidDel="00000000" w:rsidR="00000000" w:rsidRPr="00000000">
        <w:rPr>
          <w:b w:val="1"/>
          <w:bCs w:val="1"/>
          <w:smallCaps w:val="1"/>
          <w:sz w:val="22"/>
          <w:szCs w:val="22"/>
          <w:rtl w:val="0"/>
        </w:rPr>
        <w:t xml:space="preserve">KEYWORDS</w:t>
      </w:r>
      <w:r w:rsidDel="00000000" w:rsidR="00000000" w:rsidRPr="00000000">
        <w:rPr>
          <w:sz w:val="22"/>
          <w:szCs w:val="22"/>
          <w:rtl w:val="0"/>
        </w:rPr>
        <w:t xml:space="preserve">: soil acidity, microalgal biostimulant, carbon assimilation, soybean physiology.</w:t>
      </w:r>
      <w:r w:rsidDel="00000000" w:rsidR="00000000" w:rsidRPr="00000000">
        <w:rPr>
          <w:rtl w:val="0"/>
        </w:rPr>
      </w:r>
    </w:p>
    <w:p w:rsidR="00000000" w:rsidDel="00000000" w:rsidP="00000000" w:rsidRDefault="00000000" w:rsidRPr="00000000" w14:paraId="00000010">
      <w:pPr>
        <w:tabs>
          <w:tab w:val="left" w:leader="none" w:pos="8300"/>
        </w:tabs>
        <w:rPr>
          <w:sz w:val="22"/>
          <w:szCs w:val="22"/>
        </w:rPr>
        <w:sectPr>
          <w:headerReference r:id="rId11" w:type="first"/>
          <w:headerReference r:id="rId12" w:type="even"/>
          <w:type w:val="continuous"/>
          <w:pgSz w:h="16838" w:w="11906" w:orient="portrait"/>
          <w:pgMar w:bottom="1418" w:top="1418" w:left="1701" w:right="1701" w:header="284" w:footer="709"/>
          <w:titlePg w:val="1"/>
        </w:sect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rtl w:val="0"/>
        </w:rPr>
      </w:r>
    </w:p>
    <w:sectPr>
      <w:type w:val="continuous"/>
      <w:pgSz w:h="16838" w:w="11906" w:orient="portrait"/>
      <w:pgMar w:bottom="1134" w:top="1134" w:left="1134" w:right="1134" w:header="284"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2" style="position:absolute;width:424.7pt;height:424.7pt;rotation:0;z-index:-503316481;mso-position-horizontal-relative:margin;mso-position-horizontal:center;mso-position-vertical-relative:margin;mso-position-vertical:center;" alt="" type="#_x0000_t75">
          <v:imagedata blacklevel="22938f" cropbottom="0f" cropleft="0f" cropright="0f" croptop="0f" gain="19661f" r:id="rId3" o:title="image5.jpg"/>
        </v:shape>
      </w:pict>
    </w:r>
    <w:r w:rsidDel="00000000" w:rsidR="00000000" w:rsidRPr="00000000">
      <w:rPr>
        <w:color w:val="000000"/>
      </w:rPr>
      <w:pict>
        <v:shape id="WordPictureWatermark1" style="position:absolute;width:481.75pt;height:503.6pt;rotation:0;z-index:-503316481;mso-position-horizontal-relative:margin;mso-position-horizontal:center;mso-position-vertical-relative:margin;mso-position-vertical:center;" alt="" type="#_x0000_t75">
          <v:imagedata blacklevel="22938f" cropbottom="0f" cropleft="0f" cropright="0f" croptop="0f" gain="19661f" r:id="rId4" o:title="image4.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-1242059</wp:posOffset>
          </wp:positionH>
          <wp:positionV relativeFrom="paragraph">
            <wp:posOffset>9525</wp:posOffset>
          </wp:positionV>
          <wp:extent cx="7737575" cy="1745963"/>
          <wp:effectExtent b="0" l="0" r="0" t="0"/>
          <wp:wrapNone/>
          <wp:docPr id="1785663952" name="image3.png"/>
          <a:graphic>
            <a:graphicData uri="http://schemas.openxmlformats.org/drawingml/2006/picture">
              <pic:pic>
                <pic:nvPicPr>
                  <pic:cNvPr id="0" name="image3.png"/>
                  <pic:cNvPicPr preferRelativeResize="0"/>
                </pic:nvPicPr>
                <pic:blipFill>
                  <a:blip r:embed="rId3"/>
                  <a:srcRect b="-5847" l="-1965" r="1965" t="5847"/>
                  <a:stretch>
                    <a:fillRect/>
                  </a:stretch>
                </pic:blipFill>
                <pic:spPr>
                  <a:xfrm>
                    <a:off x="0" y="0"/>
                    <a:ext cx="7737575" cy="1745963"/>
                  </a:xfrm>
                  <a:prstGeom prst="rect"/>
                  <a:ln/>
                </pic:spPr>
              </pic:pic>
            </a:graphicData>
          </a:graphic>
        </wp:anchor>
      </w:drawing>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_x0000_s1026" style="position:absolute;left:0;text-align:left;width:424.7pt;height:424.7pt;z-index:-251656192;mso-wrap-edited:f;mso-width-percent:0;mso-height-percent:0;mso-position-horizontal:center;mso-position-horizontal-relative:margin;mso-position-vertical:center;mso-position-vertical-relative:margin;mso-width-percent:0;mso-height-percent:0" alt="" o:allowincell="f" type="#_x0000_t75">
          <v:imagedata blacklevel="22938f" gain="19661f" r:id="rId1" o:title="Logotipo1"/>
          <w10:wrap/>
        </v:shape>
      </w:pict>
    </w:r>
    <w:r w:rsidDel="00000000" w:rsidR="00000000" w:rsidRPr="00000000">
      <w:rPr>
        <w:color w:val="000000"/>
      </w:rPr>
      <w:pict>
        <v:shape id="_x0000_s1025" style="position:absolute;left:0;text-align:left;width:481.75pt;height:503.6pt;z-index:-251657216;mso-wrap-edited:f;mso-width-percent:0;mso-height-percent:0;mso-position-horizontal:center;mso-position-horizontal-relative:margin;mso-position-vertical:center;mso-position-vertical-relative:margin;mso-width-percent:0;mso-height-percent:0" alt="" o:allowincell="f" type="#_x0000_t75">
          <v:imagedata blacklevel="22938f" gain="19661f" r:id="rId2" o:title="APG"/>
          <w10:wrap/>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jc w:val="center"/>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paragraph" w:styleId="Ref" w:customStyle="1">
    <w:name w:val="Ref"/>
    <w:basedOn w:val="Normal"/>
    <w:autoRedefine w:val="1"/>
    <w:rsid w:val="00060B2C"/>
    <w:pPr>
      <w:ind w:left="720" w:hanging="720"/>
    </w:pPr>
    <w:rPr>
      <w:lang w:val="en-GB"/>
    </w:rPr>
  </w:style>
  <w:style w:type="paragraph" w:styleId="Authors" w:customStyle="1">
    <w:name w:val="Authors"/>
    <w:basedOn w:val="Normal"/>
    <w:rsid w:val="00060B2C"/>
    <w:pPr>
      <w:spacing w:after="240" w:before="240"/>
      <w:jc w:val="center"/>
    </w:pPr>
    <w:rPr>
      <w:i w:val="1"/>
      <w:sz w:val="28"/>
      <w:lang w:val="en-GB"/>
    </w:rPr>
  </w:style>
  <w:style w:type="paragraph" w:styleId="address" w:customStyle="1">
    <w:name w:val="address"/>
    <w:basedOn w:val="Normal"/>
    <w:rsid w:val="00060B2C"/>
    <w:pPr>
      <w:spacing w:after="120" w:before="120"/>
    </w:pPr>
    <w:rPr>
      <w:lang w:val="en-GB"/>
    </w:rPr>
  </w:style>
  <w:style w:type="paragraph" w:styleId="Textodenotadefim">
    <w:name w:val="endnote text"/>
    <w:basedOn w:val="Normal"/>
    <w:semiHidden w:val="1"/>
    <w:rsid w:val="00060B2C"/>
    <w:rPr>
      <w:sz w:val="20"/>
      <w:szCs w:val="20"/>
    </w:rPr>
  </w:style>
  <w:style w:type="character" w:styleId="Refdenotadefim">
    <w:name w:val="endnote reference"/>
    <w:semiHidden w:val="1"/>
    <w:rsid w:val="00060B2C"/>
    <w:rPr>
      <w:vertAlign w:val="superscript"/>
    </w:rPr>
  </w:style>
  <w:style w:type="character" w:styleId="Hyperlink">
    <w:name w:val="Hyperlink"/>
    <w:rsid w:val="00060B2C"/>
    <w:rPr>
      <w:color w:val="0000ff"/>
      <w:u w:val="single"/>
    </w:rPr>
  </w:style>
  <w:style w:type="paragraph" w:styleId="Textodenotaderodap">
    <w:name w:val="footnote text"/>
    <w:basedOn w:val="Normal"/>
    <w:rsid w:val="00060B2C"/>
    <w:rPr>
      <w:sz w:val="20"/>
      <w:szCs w:val="20"/>
    </w:rPr>
  </w:style>
  <w:style w:type="character" w:styleId="Refdenotaderodap">
    <w:name w:val="footnote reference"/>
    <w:rsid w:val="00060B2C"/>
    <w:rPr>
      <w:vertAlign w:val="superscript"/>
    </w:rPr>
  </w:style>
  <w:style w:type="table" w:styleId="Tabelacomgrade">
    <w:name w:val="Table Grid"/>
    <w:basedOn w:val="Tabelanormal"/>
    <w:rsid w:val="0068070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e">
    <w:name w:val="Emphasis"/>
    <w:qFormat w:val="1"/>
    <w:rsid w:val="008408D9"/>
    <w:rPr>
      <w:b w:val="1"/>
      <w:bCs w:val="1"/>
      <w:i w:val="0"/>
      <w:iCs w:val="0"/>
    </w:rPr>
  </w:style>
  <w:style w:type="paragraph" w:styleId="Textodebalo">
    <w:name w:val="Balloon Text"/>
    <w:basedOn w:val="Normal"/>
    <w:link w:val="TextodebaloChar"/>
    <w:rsid w:val="00412AC7"/>
    <w:rPr>
      <w:rFonts w:ascii="Tahoma" w:cs="Tahoma" w:hAnsi="Tahoma"/>
      <w:sz w:val="16"/>
      <w:szCs w:val="16"/>
    </w:rPr>
  </w:style>
  <w:style w:type="character" w:styleId="TextodebaloChar" w:customStyle="1">
    <w:name w:val="Texto de balão Char"/>
    <w:basedOn w:val="Fontepargpadro"/>
    <w:link w:val="Textodebalo"/>
    <w:rsid w:val="00412AC7"/>
    <w:rPr>
      <w:rFonts w:ascii="Tahoma" w:cs="Tahoma" w:hAnsi="Tahoma"/>
      <w:sz w:val="16"/>
      <w:szCs w:val="16"/>
      <w:lang w:eastAsia="fr-FR" w:val="fr-FR"/>
    </w:rPr>
  </w:style>
  <w:style w:type="paragraph" w:styleId="Cabealho">
    <w:name w:val="header"/>
    <w:basedOn w:val="Normal"/>
    <w:link w:val="CabealhoChar"/>
    <w:uiPriority w:val="99"/>
    <w:rsid w:val="00412AC7"/>
    <w:pPr>
      <w:tabs>
        <w:tab w:val="center" w:pos="4680"/>
        <w:tab w:val="right" w:pos="9360"/>
      </w:tabs>
    </w:pPr>
  </w:style>
  <w:style w:type="character" w:styleId="CabealhoChar" w:customStyle="1">
    <w:name w:val="Cabeçalho Char"/>
    <w:basedOn w:val="Fontepargpadro"/>
    <w:link w:val="Cabealho"/>
    <w:uiPriority w:val="99"/>
    <w:rsid w:val="00412AC7"/>
    <w:rPr>
      <w:sz w:val="24"/>
      <w:szCs w:val="24"/>
      <w:lang w:eastAsia="fr-FR" w:val="fr-FR"/>
    </w:rPr>
  </w:style>
  <w:style w:type="paragraph" w:styleId="Rodap">
    <w:name w:val="footer"/>
    <w:basedOn w:val="Normal"/>
    <w:link w:val="RodapChar"/>
    <w:rsid w:val="00412AC7"/>
    <w:pPr>
      <w:tabs>
        <w:tab w:val="center" w:pos="4680"/>
        <w:tab w:val="right" w:pos="9360"/>
      </w:tabs>
    </w:pPr>
  </w:style>
  <w:style w:type="character" w:styleId="RodapChar" w:customStyle="1">
    <w:name w:val="Rodapé Char"/>
    <w:basedOn w:val="Fontepargpadro"/>
    <w:link w:val="Rodap"/>
    <w:rsid w:val="00412AC7"/>
    <w:rPr>
      <w:sz w:val="24"/>
      <w:szCs w:val="24"/>
      <w:lang w:eastAsia="fr-FR" w:val="fr-FR"/>
    </w:rPr>
  </w:style>
  <w:style w:type="paragraph" w:styleId="PargrafodaLista">
    <w:name w:val="List Paragraph"/>
    <w:basedOn w:val="Normal"/>
    <w:uiPriority w:val="34"/>
    <w:qFormat w:val="1"/>
    <w:rsid w:val="002F65F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eader" Target="header4.xml"/><Relationship Id="rId10" Type="http://schemas.openxmlformats.org/officeDocument/2006/relationships/header" Target="header1.xml"/><Relationship Id="rId12" Type="http://schemas.openxmlformats.org/officeDocument/2006/relationships/header" Target="header3.xml"/><Relationship Id="rId9"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9NwYslRFqcOB21OOtZBF+3O6w==">CgMxLjA4AHIhMWhfckNrREdKWk9jS0I5SGRaOXNPMHJOc3V6MElFVWpx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2024-01-25T19:38:00Z</dcterms:created>
  <dc:creator>Andreas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1580a1a669ec4e2626f2d32a2f49dd9c37598e64e8755b019c5a3dc59254f409</vt:lpwstr>
  </property>
</Properties>
</file>