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A5CC" w14:textId="00CD73B1" w:rsidR="00AD688D" w:rsidRDefault="007D17EB" w:rsidP="007D1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D17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ORÁCULO DE SILÍCIO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Pr="007D17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 METÁFORA DO "MULTIVAC" E A GOVERNAMENTALIDADE ALGORÍTMICA NA EDUCAÇÃO CONTEMPORÂNEA</w:t>
      </w:r>
    </w:p>
    <w:p w14:paraId="38F9027C" w14:textId="77777777" w:rsidR="007D17EB" w:rsidRDefault="007D17EB" w:rsidP="007D17E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E5DA5CD" w14:textId="75DE305B" w:rsidR="00AD688D" w:rsidRDefault="006B32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Guilherme Aguiar Alencar</w:t>
      </w:r>
    </w:p>
    <w:p w14:paraId="1BAE1262" w14:textId="77777777" w:rsidR="00162B35" w:rsidRDefault="00162B35" w:rsidP="00162B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Estadual de Montes Claros - UNIMONTES</w:t>
      </w:r>
    </w:p>
    <w:p w14:paraId="0003F7B9" w14:textId="77777777" w:rsidR="00162B35" w:rsidRDefault="00162B35" w:rsidP="00162B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guilherme10alencar@gmail.com</w:t>
      </w:r>
    </w:p>
    <w:p w14:paraId="2FB66F6A" w14:textId="77777777" w:rsidR="00295EFA" w:rsidRDefault="00295EFA" w:rsidP="00295EF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Rayane da Silva Freitas</w:t>
      </w:r>
    </w:p>
    <w:p w14:paraId="04DD150C" w14:textId="77777777" w:rsidR="00295EFA" w:rsidRDefault="00295EFA" w:rsidP="00295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Estadual de Montes Claros - UNIMONTES </w:t>
      </w:r>
    </w:p>
    <w:p w14:paraId="3C62CF13" w14:textId="43D06753" w:rsidR="00295EFA" w:rsidRDefault="00295EFA" w:rsidP="00295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3E54">
        <w:rPr>
          <w:rFonts w:ascii="Times New Roman" w:eastAsia="Times New Roman" w:hAnsi="Times New Roman" w:cs="Times New Roman"/>
          <w:sz w:val="24"/>
          <w:szCs w:val="24"/>
          <w:lang w:eastAsia="pt-BR"/>
        </w:rPr>
        <w:t>rayanefreitas1226@gmail.com</w:t>
      </w:r>
    </w:p>
    <w:p w14:paraId="278D64B7" w14:textId="77777777" w:rsidR="00295EFA" w:rsidRDefault="00295EFA" w:rsidP="00295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Anna Clara Souza Fonseca</w:t>
      </w:r>
    </w:p>
    <w:p w14:paraId="4BFF7C49" w14:textId="6FD2F8B2" w:rsidR="00253E54" w:rsidRDefault="00253E54" w:rsidP="00295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3E54">
        <w:rPr>
          <w:rFonts w:ascii="Times New Roman" w:eastAsia="Times New Roman" w:hAnsi="Times New Roman" w:cs="Times New Roman"/>
          <w:sz w:val="24"/>
          <w:szCs w:val="24"/>
          <w:lang w:eastAsia="pt-BR"/>
        </w:rPr>
        <w:t>Rede Municipal de Educação de Montes Claros</w:t>
      </w:r>
    </w:p>
    <w:p w14:paraId="3471E09D" w14:textId="293776B0" w:rsidR="00295EFA" w:rsidRPr="00253E54" w:rsidRDefault="00253E54" w:rsidP="00295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3E54">
        <w:rPr>
          <w:rFonts w:ascii="Times New Roman" w:eastAsia="Times New Roman" w:hAnsi="Times New Roman" w:cs="Times New Roman"/>
          <w:sz w:val="24"/>
          <w:szCs w:val="24"/>
          <w:lang w:eastAsia="pt-BR"/>
        </w:rPr>
        <w:t>annasouza403@gmail.com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95EFA" w:rsidRPr="00253E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E5DA5D3" w14:textId="46F79A11" w:rsidR="00AD688D" w:rsidRPr="00253E54" w:rsidRDefault="00DA7F46" w:rsidP="00295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253E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53E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 </w:t>
      </w:r>
      <w:r w:rsidR="00253E54" w:rsidRPr="005053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Tecnologias da Educação e Educação a Distância</w:t>
      </w:r>
    </w:p>
    <w:p w14:paraId="0E5DA5D4" w14:textId="77777777" w:rsidR="00AD688D" w:rsidRDefault="00DA7F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0E5DA5D7" w14:textId="77777777" w:rsidR="00AD688D" w:rsidRDefault="00AD6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DA5D8" w14:textId="274E9993" w:rsidR="00AD688D" w:rsidRPr="00203A2F" w:rsidRDefault="00DA7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03A2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061B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061B68" w:rsidRPr="00061B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Inteligência Artificial; Educação; Governamentalidade Algorítmica; Isaac Asimov</w:t>
      </w:r>
    </w:p>
    <w:p w14:paraId="0E5DA5D9" w14:textId="77777777" w:rsidR="00AD688D" w:rsidRPr="00203A2F" w:rsidRDefault="00AD6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DA5DA" w14:textId="77777777" w:rsidR="00AD688D" w:rsidRDefault="00DA7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0E5DA5DB" w14:textId="425FF49B" w:rsidR="00AD688D" w:rsidRDefault="00203A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03A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literatura de ficção científica, particularmente a obra de Isaac Asimov, oferece lentes analíticas proféticas para a compreensão de fenômenos tecnológicos contemporâneos. A figura do </w:t>
      </w:r>
      <w:proofErr w:type="spellStart"/>
      <w:r w:rsidRPr="00203A2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Multivac</w:t>
      </w:r>
      <w:proofErr w:type="spellEnd"/>
      <w:r w:rsidRPr="00203A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— o supercomputador onisciente presente em diversos contos do autor — surge como uma alegoria para a atual inserção da Inteligência Artificial (IA) no cotidiano escolar. Este trabalho analisa a convergência entre a "</w:t>
      </w:r>
      <w:proofErr w:type="spellStart"/>
      <w:r w:rsidRPr="00203A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oracularidade</w:t>
      </w:r>
      <w:proofErr w:type="spellEnd"/>
      <w:r w:rsidRPr="00203A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" da máquina </w:t>
      </w:r>
      <w:proofErr w:type="spellStart"/>
      <w:r w:rsidRPr="00203A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asimoviana</w:t>
      </w:r>
      <w:proofErr w:type="spellEnd"/>
      <w:r w:rsidRPr="00203A2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a crescente dependência de sistemas automatizados nos processos de ensino-aprendizagem, questionando o lugar da agência humana em um cenário de otimização tecnológica.</w:t>
      </w:r>
    </w:p>
    <w:p w14:paraId="206E298B" w14:textId="77777777" w:rsidR="00203A2F" w:rsidRPr="00203A2F" w:rsidRDefault="00203A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E5DA5DC" w14:textId="77777777" w:rsidR="00AD688D" w:rsidRDefault="00DA7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3B98EE0B" w14:textId="31D54090" w:rsidR="002E48EE" w:rsidRPr="002E48EE" w:rsidRDefault="002E48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E48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integração acelerada de tecnologias de IA na educação tem sido pautada por um discurso de eficácia e personalização. No entanto, o problema central reside na transição silenciosa de uma pedagogia centrada na mediação humana para um modelo de "governamentalidade algorítmica". Questiona-se, portanto: até que ponto a delegação do planejamento e do diagnóstico pedagógico a sistemas de IA ameaça a autonomia docente e a subjetividade do estudante, transformando o processo educativo em uma resposta automatizada?</w:t>
      </w:r>
    </w:p>
    <w:p w14:paraId="0E5DA5DD" w14:textId="77777777" w:rsidR="00AD688D" w:rsidRDefault="00AD6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DA5DE" w14:textId="77777777" w:rsidR="00AD688D" w:rsidRDefault="00DA7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190BF189" w14:textId="33303316" w:rsidR="002E48EE" w:rsidRPr="002E48EE" w:rsidRDefault="002E48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E48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objetivo principal é articular uma análise teórica entre a construção literária do </w:t>
      </w:r>
      <w:proofErr w:type="spellStart"/>
      <w:r w:rsidRPr="002E48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Multivac</w:t>
      </w:r>
      <w:proofErr w:type="spellEnd"/>
      <w:r w:rsidRPr="002E48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a prática docente mediada por IA. Especificamente, busca-se: a) identificar os paralelos entre a "caixa-preta" tecnológica e a opacidade dos algoritmos educacionais; b) discutir os riscos da erosão da agência docente; e c) propor o letramento algorítmico como estratégia de resistência pedagógica.</w:t>
      </w:r>
    </w:p>
    <w:p w14:paraId="0E5DA5DF" w14:textId="77777777" w:rsidR="00AD688D" w:rsidRDefault="00AD6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DA5E0" w14:textId="77777777" w:rsidR="00AD688D" w:rsidRDefault="00DA7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6DC485A3" w14:textId="77777777" w:rsidR="004F0BB8" w:rsidRPr="004F0BB8" w:rsidRDefault="004F0BB8" w:rsidP="004F0B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fundamentação desta pesquisa articula a literatura especulativa, as diretrizes curriculares nacionais e a sociologia da tecnologia. Inicialmente, recorre-se a Isaac Asimov, especificamente ao conto </w:t>
      </w:r>
      <w:r w:rsidRPr="004F0B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 Última Pergunta</w:t>
      </w:r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(1956), que estabelece a alegoria do </w:t>
      </w:r>
      <w:proofErr w:type="spellStart"/>
      <w:r w:rsidRPr="004F0B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Multivac</w:t>
      </w:r>
      <w:proofErr w:type="spellEnd"/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A obra serve como </w:t>
      </w:r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lente heurística para problematizar a "</w:t>
      </w:r>
      <w:proofErr w:type="spellStart"/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oracularidade</w:t>
      </w:r>
      <w:proofErr w:type="spellEnd"/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" tecnológica — a tendência humana de delegar a resolução de problemas complexos a sistemas cuja lógica de processamento é inacessível ao usuário, prefigurando o atual debate sobre a "caixa-preta" dos algoritmos de Inteligência Artificial.</w:t>
      </w:r>
    </w:p>
    <w:p w14:paraId="2747AF6F" w14:textId="77777777" w:rsidR="004F0BB8" w:rsidRPr="004F0BB8" w:rsidRDefault="004F0BB8" w:rsidP="004F0B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Para situar essa discussão no contexto das políticas públicas brasileiras, o trabalho toma como base a </w:t>
      </w:r>
      <w:r w:rsidRPr="004F0BB8">
        <w:rPr>
          <w:rFonts w:ascii="Times New Roman" w:eastAsia="Times New Roman" w:hAnsi="Times New Roman" w:cs="Times New Roman"/>
          <w:sz w:val="24"/>
          <w:szCs w:val="24"/>
          <w:lang w:eastAsia="pt-BR"/>
        </w:rPr>
        <w:t>Base Nacional Comum Curricular (BNCC)</w:t>
      </w:r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(BRASIL, 2018), que institui a Cultura Digital como uma competência essencial para a educação básica. O documento, embora promissor ao estimular o letramento digital, impõe o desafio de implementar tal competência sem reduzir o uso da tecnologia a um exercício puramente instrumental ou de consumo passivo de plataformas.</w:t>
      </w:r>
    </w:p>
    <w:p w14:paraId="269333A0" w14:textId="28C66107" w:rsidR="004F0BB8" w:rsidRDefault="004F0BB8" w:rsidP="004F0B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análise crítica é aprofundada por dois pilares contemporâneos. Primeiro, </w:t>
      </w:r>
      <w:r w:rsidRPr="004F0B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Neil </w:t>
      </w:r>
      <w:proofErr w:type="spellStart"/>
      <w:r w:rsidRPr="004F0BB8">
        <w:rPr>
          <w:rFonts w:ascii="Times New Roman" w:eastAsia="Times New Roman" w:hAnsi="Times New Roman" w:cs="Times New Roman"/>
          <w:sz w:val="24"/>
          <w:szCs w:val="24"/>
          <w:lang w:eastAsia="pt-BR"/>
        </w:rPr>
        <w:t>Selwyn</w:t>
      </w:r>
      <w:proofErr w:type="spellEnd"/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</w:t>
      </w:r>
      <w:r w:rsidR="009E55F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7</w:t>
      </w:r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), que, em suas críticas sobre a educação digital, alerta para o risco da </w:t>
      </w:r>
      <w:proofErr w:type="spellStart"/>
      <w:r w:rsidRPr="004F0B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dataficação</w:t>
      </w:r>
      <w:proofErr w:type="spellEnd"/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do ensino, onde a busca por eficiência algorítmica pode resultar na despolitização das práticas educativas. Segundo, recorre-se a </w:t>
      </w:r>
      <w:proofErr w:type="spellStart"/>
      <w:r w:rsidRPr="004F0BB8">
        <w:rPr>
          <w:rFonts w:ascii="Times New Roman" w:eastAsia="Times New Roman" w:hAnsi="Times New Roman" w:cs="Times New Roman"/>
          <w:sz w:val="24"/>
          <w:szCs w:val="24"/>
          <w:lang w:eastAsia="pt-BR"/>
        </w:rPr>
        <w:t>Shoshana</w:t>
      </w:r>
      <w:proofErr w:type="spellEnd"/>
      <w:r w:rsidRPr="004F0BB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F0BB8">
        <w:rPr>
          <w:rFonts w:ascii="Times New Roman" w:eastAsia="Times New Roman" w:hAnsi="Times New Roman" w:cs="Times New Roman"/>
          <w:sz w:val="24"/>
          <w:szCs w:val="24"/>
          <w:lang w:eastAsia="pt-BR"/>
        </w:rPr>
        <w:t>Zuboff</w:t>
      </w:r>
      <w:proofErr w:type="spellEnd"/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(2019) e seu conceito de "Capitalismo de Vigilância". </w:t>
      </w:r>
      <w:proofErr w:type="spellStart"/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Zuboff</w:t>
      </w:r>
      <w:proofErr w:type="spellEnd"/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argumenta que os sistemas automatizados atuais não apenas processam informações, mas realizam a extração da experiência humana para prever e modificar comportamentos. Ao aplicar essa lente ao ambiente escolar, a IA deixa de ser apenas uma ferramenta de auxílio e passa a ser compreendida como uma estrutura que, tal qual o </w:t>
      </w:r>
      <w:proofErr w:type="spellStart"/>
      <w:r w:rsidRPr="004F0B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Multivac</w:t>
      </w:r>
      <w:proofErr w:type="spellEnd"/>
      <w:r w:rsidRPr="004F0B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pode atuar no monitoramento e na modulação dos percursos de aprendizagem, exigindo que o docente assuma uma postura de vigilância intelectual sobre as arquiteturas digitais que permeiam a sala de aula.</w:t>
      </w:r>
    </w:p>
    <w:p w14:paraId="0E5DA5E1" w14:textId="77777777" w:rsidR="00AD688D" w:rsidRDefault="00AD6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DA5E2" w14:textId="77777777" w:rsidR="00AD688D" w:rsidRDefault="00DA7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14:paraId="4FDAE072" w14:textId="7FB44EAB" w:rsidR="008B6E4D" w:rsidRPr="00921A53" w:rsidRDefault="00921A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1A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Trata-se de uma pesquisa teórica, de caráter bibliográfico e ensaístico. O método consiste na análise comparativa entre os contos selecionados de Asimov e a literatura acadêmica atual sobre tecnologias digitais na educação, buscando identificar padrões de comportamento institucional e docente diante da automação.</w:t>
      </w:r>
    </w:p>
    <w:p w14:paraId="0E5DA5E3" w14:textId="77777777" w:rsidR="00AD688D" w:rsidRDefault="00AD68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DA5E4" w14:textId="77777777" w:rsidR="00AD688D" w:rsidRDefault="00DA7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Análise dos dados 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finais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da pesquisa</w:t>
      </w:r>
    </w:p>
    <w:p w14:paraId="0E5DA5E5" w14:textId="1A365C18" w:rsidR="00AD688D" w:rsidRDefault="00921A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1A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análise aponta que, assim como no universo de Asimov, a dependência do "oráculo" leva à atrofia do julgamento crítico. Os resultados indicam três eixos de risco: 1) A opacidade do algoritmo, que, como o </w:t>
      </w:r>
      <w:proofErr w:type="spellStart"/>
      <w:r w:rsidRPr="00921A5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Multivac</w:t>
      </w:r>
      <w:proofErr w:type="spellEnd"/>
      <w:r w:rsidRPr="00921A5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entrega resultados sem revelar suas premissas; 2) A redução do docente a um operador, que valida dados em vez de construir saberes; e 3) O mito da neutralidade, onde a IA perpetua vieses sob a máscara da eficiência. A "eficiência" da máquina muitas vezes é, na prática, uma forma de padronização que invisibiliza as singularidades do sujeito aprendiz.</w:t>
      </w:r>
    </w:p>
    <w:p w14:paraId="111CD063" w14:textId="77777777" w:rsidR="005A28AB" w:rsidRPr="00921A53" w:rsidRDefault="005A28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E5DA5E6" w14:textId="77777777" w:rsidR="00AD688D" w:rsidRDefault="00DA7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0E5DA5E7" w14:textId="6A85DAFC" w:rsidR="00AD688D" w:rsidRDefault="005053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053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Este estudo converge diretamente com o Eixo 4, "Tecnologias da Educação e Educação a Distância", ao problematizar a mediação tecnológica nos processos de ensino-aprendizagem contemporâneos. Ao utilizar a metáfora da "</w:t>
      </w:r>
      <w:proofErr w:type="spellStart"/>
      <w:r w:rsidRPr="005053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oracularidade</w:t>
      </w:r>
      <w:proofErr w:type="spellEnd"/>
      <w:r w:rsidRPr="005053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" da máquina </w:t>
      </w:r>
      <w:proofErr w:type="spellStart"/>
      <w:r w:rsidRPr="005053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asimoviana</w:t>
      </w:r>
      <w:proofErr w:type="spellEnd"/>
      <w:r w:rsidRPr="005053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analisar a Inteligência Artificial, o trabalho contribui para o debate sobre a onipresença das arquiteturas algorítmicas nos ecossistemas digitais de aprendizagem. A pesquisa articula a necessidade de uma literacia algorítmica crítica, defendendo que a incorporação de tecnologias no cotidiano escolar e na EAD deve transcender o uso instrumental. O texto provoca uma reflexão fundamental sobre como as plataformas educacionais moldam a interação pedagógica, propondo que a formação docente vise o desvelamento crítico dos códigos e das lógicas que </w:t>
      </w:r>
      <w:r w:rsidRPr="005053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estruturam essas tecnologias, garantindo que o sujeito educando</w:t>
      </w:r>
      <w:r w:rsidR="008D77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5053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 o professor</w:t>
      </w:r>
      <w:r w:rsidR="008D77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50537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mantenham a agência e a soberania frente à automação dos processos educativos.</w:t>
      </w:r>
    </w:p>
    <w:p w14:paraId="4A25BF8C" w14:textId="77777777" w:rsidR="005A28AB" w:rsidRPr="00505373" w:rsidRDefault="005A28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E5DA5E8" w14:textId="77777777" w:rsidR="00AD688D" w:rsidRDefault="00DA7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0E5DA5E9" w14:textId="4394FD79" w:rsidR="00AD688D" w:rsidRDefault="00CA62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A62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Conclui-se que a transposição do </w:t>
      </w:r>
      <w:proofErr w:type="spellStart"/>
      <w:r w:rsidRPr="00CA629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Multivac</w:t>
      </w:r>
      <w:proofErr w:type="spellEnd"/>
      <w:r w:rsidRPr="00CA62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para a sala de aula não é uma inevitabilidade técnica, mas uma escolha política. A tecnologia deve atuar como suporte, jamais como substituto para o pensamento. O desafio da educação contemporânea, portanto, é a promoção do letramento algorítmico, garantindo que o docente ocupe o papel de curador, mantendo a sensibilidade e a imprevisibilidade</w:t>
      </w:r>
      <w:r w:rsidR="00C671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CA62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elementos essenciais da práxis pedagógica</w:t>
      </w:r>
      <w:r w:rsidR="00C6712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Pr="00CA629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frente à frieza do processamento de dados.</w:t>
      </w:r>
    </w:p>
    <w:p w14:paraId="41D69B63" w14:textId="77777777" w:rsidR="00B03CCA" w:rsidRPr="00CA6293" w:rsidRDefault="00B03C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E5DA5EA" w14:textId="77777777" w:rsidR="00AD688D" w:rsidRDefault="00DA7F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C388B14" w14:textId="77777777" w:rsidR="00B03CCA" w:rsidRDefault="00B03C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A06C63" w14:textId="0EB4CADD" w:rsidR="00B03CCA" w:rsidRDefault="00DB2E17" w:rsidP="00DC2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17">
        <w:rPr>
          <w:rFonts w:ascii="Times New Roman" w:hAnsi="Times New Roman" w:cs="Times New Roman"/>
          <w:sz w:val="24"/>
          <w:szCs w:val="24"/>
        </w:rPr>
        <w:t>ASIMOV, Isaac. </w:t>
      </w:r>
      <w:r w:rsidRPr="00DB2E17">
        <w:rPr>
          <w:rFonts w:ascii="Times New Roman" w:hAnsi="Times New Roman" w:cs="Times New Roman"/>
          <w:b/>
          <w:bCs/>
          <w:sz w:val="24"/>
          <w:szCs w:val="24"/>
        </w:rPr>
        <w:t>A ÚLTIMA PERGUNTA A ÚLTIMA RESPOSTA</w:t>
      </w:r>
      <w:r w:rsidRPr="00DB2E17">
        <w:rPr>
          <w:rFonts w:ascii="Times New Roman" w:hAnsi="Times New Roman" w:cs="Times New Roman"/>
          <w:sz w:val="24"/>
          <w:szCs w:val="24"/>
        </w:rPr>
        <w:t>. [S. L.]: Ana Corcovado, 2023. Tradução de: Ana Corcovado.</w:t>
      </w:r>
    </w:p>
    <w:p w14:paraId="48BEEA92" w14:textId="77777777" w:rsidR="00DB2E17" w:rsidRPr="00B03CCA" w:rsidRDefault="00DB2E17" w:rsidP="00DC2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EE235" w14:textId="6625A5A2" w:rsidR="00B03CCA" w:rsidRPr="00DC229E" w:rsidRDefault="00B03CCA" w:rsidP="00DC22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3CCA">
        <w:rPr>
          <w:rFonts w:ascii="Times New Roman" w:hAnsi="Times New Roman" w:cs="Times New Roman"/>
          <w:b/>
          <w:bCs/>
          <w:sz w:val="24"/>
          <w:szCs w:val="24"/>
        </w:rPr>
        <w:t>BRASIL</w:t>
      </w:r>
      <w:r w:rsidRPr="00B03CCA">
        <w:rPr>
          <w:rFonts w:ascii="Times New Roman" w:hAnsi="Times New Roman" w:cs="Times New Roman"/>
          <w:sz w:val="24"/>
          <w:szCs w:val="24"/>
        </w:rPr>
        <w:t xml:space="preserve">. Ministério da Educação. Base Nacional Comum Curricular. </w:t>
      </w:r>
      <w:r w:rsidRPr="00DC229E">
        <w:rPr>
          <w:rFonts w:ascii="Times New Roman" w:hAnsi="Times New Roman" w:cs="Times New Roman"/>
          <w:sz w:val="24"/>
          <w:szCs w:val="24"/>
          <w:lang w:val="en-US"/>
        </w:rPr>
        <w:t>Brasília, 2018.</w:t>
      </w:r>
    </w:p>
    <w:p w14:paraId="6273EFA4" w14:textId="77777777" w:rsidR="00B03CCA" w:rsidRPr="00DC229E" w:rsidRDefault="00B03CCA" w:rsidP="00DC22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B48F0EF" w14:textId="2DF3F2F4" w:rsidR="00B03CCA" w:rsidRPr="00DC229E" w:rsidRDefault="00B03CCA" w:rsidP="00DC22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3CCA">
        <w:rPr>
          <w:rFonts w:ascii="Times New Roman" w:hAnsi="Times New Roman" w:cs="Times New Roman"/>
          <w:sz w:val="24"/>
          <w:szCs w:val="24"/>
          <w:lang w:val="en-US"/>
        </w:rPr>
        <w:t xml:space="preserve">SELWYN, Neil. </w:t>
      </w:r>
      <w:r w:rsidRPr="00B03CC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Education and Technology: </w:t>
      </w:r>
      <w:r w:rsidRPr="00B03CCA">
        <w:rPr>
          <w:rFonts w:ascii="Times New Roman" w:hAnsi="Times New Roman" w:cs="Times New Roman"/>
          <w:sz w:val="24"/>
          <w:szCs w:val="24"/>
          <w:lang w:val="en-US"/>
        </w:rPr>
        <w:t xml:space="preserve">Key Issues and Debates. </w:t>
      </w:r>
      <w:r w:rsidRPr="00DC229E">
        <w:rPr>
          <w:rFonts w:ascii="Times New Roman" w:hAnsi="Times New Roman" w:cs="Times New Roman"/>
          <w:sz w:val="24"/>
          <w:szCs w:val="24"/>
          <w:lang w:val="en-US"/>
        </w:rPr>
        <w:t>2. ed. London: Bloomsbury Academic, 201</w:t>
      </w:r>
      <w:r w:rsidR="00203924" w:rsidRPr="00DC229E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DC229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C658EA5" w14:textId="77777777" w:rsidR="00B03CCA" w:rsidRPr="00DC229E" w:rsidRDefault="00B03CCA" w:rsidP="00DC22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4FC6F5" w14:textId="7653CA92" w:rsidR="00B03CCA" w:rsidRPr="00B03CCA" w:rsidRDefault="00B03CCA" w:rsidP="00DC2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29E">
        <w:rPr>
          <w:rFonts w:ascii="Times New Roman" w:hAnsi="Times New Roman" w:cs="Times New Roman"/>
          <w:sz w:val="24"/>
          <w:szCs w:val="24"/>
          <w:lang w:val="en-US"/>
        </w:rPr>
        <w:t>ZUBOFF, Shoshana</w:t>
      </w:r>
      <w:r w:rsidRPr="00DC229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C22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3CCA">
        <w:rPr>
          <w:rFonts w:ascii="Times New Roman" w:hAnsi="Times New Roman" w:cs="Times New Roman"/>
          <w:b/>
          <w:bCs/>
          <w:sz w:val="24"/>
          <w:szCs w:val="24"/>
        </w:rPr>
        <w:t>A era do capitalismo de vigilância</w:t>
      </w:r>
      <w:r w:rsidRPr="00B03CCA">
        <w:rPr>
          <w:rFonts w:ascii="Times New Roman" w:hAnsi="Times New Roman" w:cs="Times New Roman"/>
          <w:sz w:val="24"/>
          <w:szCs w:val="24"/>
        </w:rPr>
        <w:t>: a luta por um futuro humano na nova fronteira do poder. Rio de Janeiro: Intrínseca, 2019.</w:t>
      </w:r>
    </w:p>
    <w:p w14:paraId="220B3B11" w14:textId="77777777" w:rsidR="00B03CCA" w:rsidRDefault="00B03CCA">
      <w:pPr>
        <w:spacing w:after="0" w:line="240" w:lineRule="auto"/>
        <w:jc w:val="both"/>
        <w:rPr>
          <w:sz w:val="24"/>
          <w:szCs w:val="24"/>
        </w:rPr>
      </w:pPr>
    </w:p>
    <w:sectPr w:rsidR="00B03CCA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68F3C" w14:textId="77777777" w:rsidR="003434E9" w:rsidRDefault="003434E9">
      <w:pPr>
        <w:spacing w:line="240" w:lineRule="auto"/>
      </w:pPr>
      <w:r>
        <w:separator/>
      </w:r>
    </w:p>
  </w:endnote>
  <w:endnote w:type="continuationSeparator" w:id="0">
    <w:p w14:paraId="3283E337" w14:textId="77777777" w:rsidR="003434E9" w:rsidRDefault="00343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8C68C" w14:textId="77777777" w:rsidR="003434E9" w:rsidRDefault="003434E9">
      <w:pPr>
        <w:spacing w:after="0"/>
      </w:pPr>
      <w:r>
        <w:separator/>
      </w:r>
    </w:p>
  </w:footnote>
  <w:footnote w:type="continuationSeparator" w:id="0">
    <w:p w14:paraId="270B144C" w14:textId="77777777" w:rsidR="003434E9" w:rsidRDefault="003434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DA5EF" w14:textId="77777777" w:rsidR="00AD688D" w:rsidRDefault="00DA7F46">
    <w:pPr>
      <w:pStyle w:val="Cabealho"/>
    </w:pPr>
    <w:r>
      <w:rPr>
        <w:noProof/>
      </w:rPr>
      <w:drawing>
        <wp:inline distT="0" distB="0" distL="114300" distR="114300" wp14:anchorId="0E5DA5F0" wp14:editId="0E5DA5F1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44F"/>
    <w:multiLevelType w:val="hybridMultilevel"/>
    <w:tmpl w:val="05C49A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33E0A"/>
    <w:multiLevelType w:val="hybridMultilevel"/>
    <w:tmpl w:val="E5082320"/>
    <w:lvl w:ilvl="0" w:tplc="6ECC2AF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1645">
    <w:abstractNumId w:val="0"/>
  </w:num>
  <w:num w:numId="2" w16cid:durableId="1232154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61B68"/>
    <w:rsid w:val="000B16D9"/>
    <w:rsid w:val="00162B35"/>
    <w:rsid w:val="00172A27"/>
    <w:rsid w:val="00203924"/>
    <w:rsid w:val="00203A2F"/>
    <w:rsid w:val="00253E54"/>
    <w:rsid w:val="00295EFA"/>
    <w:rsid w:val="002E48EE"/>
    <w:rsid w:val="003434E9"/>
    <w:rsid w:val="003C35D3"/>
    <w:rsid w:val="004F0BB8"/>
    <w:rsid w:val="00505373"/>
    <w:rsid w:val="005A28AB"/>
    <w:rsid w:val="00677F30"/>
    <w:rsid w:val="006B321E"/>
    <w:rsid w:val="00741E2B"/>
    <w:rsid w:val="007D17EB"/>
    <w:rsid w:val="008B6E4D"/>
    <w:rsid w:val="008D77AD"/>
    <w:rsid w:val="00921A53"/>
    <w:rsid w:val="009E55F3"/>
    <w:rsid w:val="00AD688D"/>
    <w:rsid w:val="00B03CCA"/>
    <w:rsid w:val="00B82A8F"/>
    <w:rsid w:val="00C67120"/>
    <w:rsid w:val="00CA6293"/>
    <w:rsid w:val="00DA7F46"/>
    <w:rsid w:val="00DB2E17"/>
    <w:rsid w:val="00DC229E"/>
    <w:rsid w:val="00EA59C5"/>
    <w:rsid w:val="00F75189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A5CB"/>
  <w15:docId w15:val="{55276206-9527-4C10-B0ED-8A5389877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unhideWhenUsed/>
    <w:rsid w:val="00B03CCA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295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1116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Guilherme Alencar</cp:lastModifiedBy>
  <cp:revision>24</cp:revision>
  <dcterms:created xsi:type="dcterms:W3CDTF">2024-10-22T15:37:00Z</dcterms:created>
  <dcterms:modified xsi:type="dcterms:W3CDTF">2026-04-20T22:36:00Z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