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BD06" w14:textId="77777777" w:rsidR="006B3C6D" w:rsidRDefault="00E15423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276" w:lineRule="auto"/>
        <w:ind w:firstLine="0"/>
        <w:jc w:val="left"/>
        <w:rPr>
          <w:color w:val="C0C0C0"/>
          <w:sz w:val="72"/>
          <w:szCs w:val="72"/>
        </w:rPr>
      </w:pPr>
      <w:bookmarkStart w:id="0" w:name="_heading=h.gjdgxs" w:colFirst="0" w:colLast="0"/>
      <w:bookmarkEnd w:id="0"/>
      <w:r w:rsidRPr="002B3671">
        <w:rPr>
          <w:rFonts w:eastAsia="Century Gothic" w:cs="Century Gothic"/>
          <w:color w:val="C0C0C0"/>
          <w:sz w:val="72"/>
          <w:szCs w:val="72"/>
          <w:lang w:val="pt-BR"/>
        </w:rPr>
        <w:t>Resumo Expandid</w:t>
      </w:r>
      <w:r w:rsidRPr="002B3671">
        <w:rPr>
          <w:color w:val="C0C0C0"/>
          <w:sz w:val="72"/>
          <w:szCs w:val="72"/>
          <w:lang w:val="pt-BR"/>
        </w:rPr>
        <w:t>o</w:t>
      </w:r>
    </w:p>
    <w:p w14:paraId="4D1E778E" w14:textId="77777777" w:rsidR="006B3C6D" w:rsidRDefault="006B3C6D">
      <w:pPr>
        <w:pBdr>
          <w:top w:val="nil"/>
          <w:left w:val="nil"/>
          <w:bottom w:val="nil"/>
          <w:right w:val="nil"/>
          <w:between w:val="nil"/>
        </w:pBdr>
        <w:spacing w:before="100" w:after="0" w:line="276" w:lineRule="auto"/>
        <w:ind w:firstLine="0"/>
        <w:jc w:val="left"/>
        <w:rPr>
          <w:rFonts w:eastAsia="Century Gothic" w:cs="Century Gothic"/>
          <w:color w:val="000000"/>
          <w:sz w:val="40"/>
          <w:szCs w:val="40"/>
        </w:rPr>
      </w:pPr>
    </w:p>
    <w:p w14:paraId="24DD5D67" w14:textId="77777777" w:rsidR="006B3C6D" w:rsidRDefault="00E15423">
      <w:pPr>
        <w:spacing w:line="276" w:lineRule="auto"/>
        <w:ind w:firstLine="0"/>
        <w:jc w:val="left"/>
        <w:rPr>
          <w:sz w:val="38"/>
          <w:szCs w:val="38"/>
        </w:rPr>
      </w:pPr>
      <w:r>
        <w:rPr>
          <w:sz w:val="38"/>
          <w:szCs w:val="38"/>
        </w:rPr>
        <w:t xml:space="preserve">LEVANTAMENTO DAS CONDIÇÕES HIGIÊNICAS E MICROBIOLÓGICAS DAS SUPERFÍCIES E UTENSÍLIOS UTILIZADOS NO RESTAURANTE UNIVERSITÁRIO DA UFNT - ANEXO CENTRO DE CIÊNCIAS INTEGRADAS EM ARAGUAÍNA TOCANTINS </w:t>
      </w:r>
    </w:p>
    <w:p w14:paraId="5B54F196" w14:textId="77777777" w:rsidR="006B3C6D" w:rsidRDefault="006B3C6D">
      <w:pPr>
        <w:spacing w:line="276" w:lineRule="auto"/>
        <w:ind w:firstLine="0"/>
        <w:jc w:val="left"/>
        <w:rPr>
          <w:sz w:val="38"/>
          <w:szCs w:val="38"/>
        </w:rPr>
      </w:pPr>
    </w:p>
    <w:p w14:paraId="64C4F808" w14:textId="77777777" w:rsidR="006B3C6D" w:rsidRDefault="006B3C6D">
      <w:pPr>
        <w:spacing w:line="276" w:lineRule="auto"/>
        <w:ind w:firstLine="0"/>
        <w:rPr>
          <w:sz w:val="28"/>
          <w:szCs w:val="28"/>
        </w:rPr>
      </w:pPr>
    </w:p>
    <w:p w14:paraId="736C445D" w14:textId="77777777" w:rsidR="006B3C6D" w:rsidRPr="002B3671" w:rsidRDefault="006B3C6D">
      <w:pPr>
        <w:spacing w:line="276" w:lineRule="auto"/>
        <w:jc w:val="right"/>
        <w:rPr>
          <w:sz w:val="28"/>
          <w:szCs w:val="28"/>
          <w:lang w:val="pt-BR"/>
        </w:rPr>
      </w:pPr>
    </w:p>
    <w:p w14:paraId="1B878E7C" w14:textId="77777777" w:rsidR="006B3C6D" w:rsidRPr="002B3671" w:rsidRDefault="00E15423">
      <w:pPr>
        <w:spacing w:line="276" w:lineRule="auto"/>
        <w:jc w:val="right"/>
        <w:rPr>
          <w:b/>
          <w:sz w:val="28"/>
          <w:szCs w:val="28"/>
          <w:lang w:val="pt-BR"/>
        </w:rPr>
      </w:pPr>
      <w:r w:rsidRPr="002B3671">
        <w:rPr>
          <w:b/>
          <w:sz w:val="28"/>
          <w:szCs w:val="28"/>
          <w:lang w:val="pt-BR"/>
        </w:rPr>
        <w:t>Erem</w:t>
      </w:r>
      <w:r>
        <w:rPr>
          <w:b/>
          <w:sz w:val="28"/>
          <w:szCs w:val="28"/>
        </w:rPr>
        <w:t xml:space="preserve"> Lee Rocha Oliveira</w:t>
      </w:r>
    </w:p>
    <w:p w14:paraId="3A71F7B3" w14:textId="445815FF" w:rsidR="006B3C6D" w:rsidRDefault="002B3671">
      <w:pPr>
        <w:spacing w:line="276" w:lineRule="auto"/>
        <w:jc w:val="right"/>
        <w:rPr>
          <w:sz w:val="24"/>
          <w:szCs w:val="24"/>
        </w:rPr>
      </w:pPr>
      <w:r w:rsidRPr="002B3671">
        <w:rPr>
          <w:sz w:val="24"/>
          <w:szCs w:val="24"/>
          <w:lang w:val="pt-BR"/>
        </w:rPr>
        <w:t>Universidade</w:t>
      </w:r>
      <w:r>
        <w:rPr>
          <w:sz w:val="24"/>
          <w:szCs w:val="24"/>
        </w:rPr>
        <w:t xml:space="preserve"> Federal do Norte do Tocantins</w:t>
      </w:r>
    </w:p>
    <w:p w14:paraId="413860E6" w14:textId="77777777" w:rsidR="006B3C6D" w:rsidRDefault="006B3C6D">
      <w:pPr>
        <w:spacing w:line="276" w:lineRule="auto"/>
        <w:jc w:val="right"/>
        <w:rPr>
          <w:sz w:val="28"/>
          <w:szCs w:val="28"/>
        </w:rPr>
      </w:pPr>
    </w:p>
    <w:p w14:paraId="2AEA2D59" w14:textId="77777777" w:rsidR="006B3C6D" w:rsidRDefault="006B3C6D">
      <w:pPr>
        <w:spacing w:line="276" w:lineRule="auto"/>
        <w:jc w:val="right"/>
        <w:rPr>
          <w:sz w:val="28"/>
          <w:szCs w:val="28"/>
        </w:rPr>
      </w:pPr>
    </w:p>
    <w:p w14:paraId="74DA8858" w14:textId="77777777" w:rsidR="006B3C6D" w:rsidRDefault="006B3C6D">
      <w:pPr>
        <w:spacing w:line="276" w:lineRule="auto"/>
        <w:jc w:val="left"/>
        <w:rPr>
          <w:sz w:val="28"/>
          <w:szCs w:val="28"/>
        </w:rPr>
      </w:pPr>
    </w:p>
    <w:p w14:paraId="7EAD9013" w14:textId="77777777" w:rsidR="006B3C6D" w:rsidRDefault="00E15423">
      <w:pPr>
        <w:spacing w:before="0" w:after="0"/>
        <w:ind w:firstLine="0"/>
        <w:jc w:val="left"/>
        <w:rPr>
          <w:sz w:val="28"/>
          <w:szCs w:val="28"/>
        </w:rPr>
      </w:pPr>
      <w:r>
        <w:br w:type="page"/>
      </w:r>
    </w:p>
    <w:p w14:paraId="637D2FB2" w14:textId="77777777" w:rsidR="006B3C6D" w:rsidRDefault="00E15423">
      <w:pPr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SUMÁRIO</w:t>
      </w:r>
    </w:p>
    <w:sdt>
      <w:sdtPr>
        <w:id w:val="-2116433205"/>
        <w:docPartObj>
          <w:docPartGallery w:val="Table of Contents"/>
          <w:docPartUnique/>
        </w:docPartObj>
      </w:sdtPr>
      <w:sdtContent>
        <w:p w14:paraId="549BB72C" w14:textId="77777777" w:rsidR="006B3C6D" w:rsidRDefault="00E154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2et92p0">
            <w:r>
              <w:rPr>
                <w:rFonts w:eastAsia="Century Gothic" w:cs="Century Gothic"/>
                <w:smallCaps/>
                <w:noProof/>
                <w:color w:val="000000"/>
              </w:rPr>
              <w:t>I.</w:t>
            </w:r>
          </w:hyperlink>
          <w:hyperlink w:anchor="_heading=h.2et92p0"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tab/>
            </w:r>
          </w:hyperlink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_heading=h.2et92p0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rFonts w:eastAsia="Century Gothic" w:cs="Century Gothic"/>
              <w:smallCaps/>
              <w:noProof/>
              <w:color w:val="000000"/>
            </w:rPr>
            <w:t>Apresentação e Justificativa</w:t>
          </w:r>
          <w:r>
            <w:rPr>
              <w:rFonts w:eastAsia="Century Gothic" w:cs="Century Gothic"/>
              <w:smallCaps/>
              <w:noProof/>
              <w:color w:val="000000"/>
            </w:rPr>
            <w:tab/>
            <w:t>5</w:t>
          </w:r>
          <w:r>
            <w:rPr>
              <w:noProof/>
            </w:rPr>
            <w:fldChar w:fldCharType="end"/>
          </w:r>
        </w:p>
        <w:p w14:paraId="74CF0852" w14:textId="77777777" w:rsidR="006B3C6D" w:rsidRDefault="00812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</w:pPr>
          <w:hyperlink w:anchor="_heading=h.lnxbz9">
            <w:r w:rsidR="00E15423">
              <w:rPr>
                <w:rFonts w:eastAsia="Century Gothic" w:cs="Century Gothic"/>
                <w:smallCaps/>
                <w:noProof/>
                <w:color w:val="000000"/>
              </w:rPr>
              <w:t>II.</w:t>
            </w:r>
          </w:hyperlink>
          <w:hyperlink w:anchor="_heading=h.lnxbz9">
            <w:r w:rsidR="00E15423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tab/>
            </w:r>
          </w:hyperlink>
          <w:r w:rsidR="00E15423">
            <w:rPr>
              <w:noProof/>
            </w:rPr>
            <w:fldChar w:fldCharType="begin"/>
          </w:r>
          <w:r w:rsidR="00E15423">
            <w:rPr>
              <w:noProof/>
            </w:rPr>
            <w:instrText xml:space="preserve"> PAGEREF _heading=h.lnxbz9 \h </w:instrText>
          </w:r>
          <w:r w:rsidR="00E15423">
            <w:rPr>
              <w:noProof/>
            </w:rPr>
          </w:r>
          <w:r w:rsidR="00E15423">
            <w:rPr>
              <w:noProof/>
            </w:rPr>
            <w:fldChar w:fldCharType="separate"/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>Objetivos</w:t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ab/>
            <w:t>5</w:t>
          </w:r>
          <w:r w:rsidR="00E15423">
            <w:rPr>
              <w:noProof/>
            </w:rPr>
            <w:fldChar w:fldCharType="end"/>
          </w:r>
        </w:p>
        <w:p w14:paraId="457F1CDD" w14:textId="77777777" w:rsidR="006B3C6D" w:rsidRDefault="00812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rFonts w:ascii="Calibri" w:eastAsia="Calibri" w:hAnsi="Calibri" w:cs="Calibri"/>
              <w:noProof/>
              <w:color w:val="000000"/>
              <w:sz w:val="24"/>
              <w:szCs w:val="24"/>
            </w:rPr>
          </w:pPr>
          <w:hyperlink w:anchor="_heading=h.44sinio">
            <w:r w:rsidR="00E15423">
              <w:rPr>
                <w:rFonts w:eastAsia="Century Gothic" w:cs="Century Gothic"/>
                <w:smallCaps/>
                <w:noProof/>
                <w:color w:val="000000"/>
              </w:rPr>
              <w:t>III.</w:t>
            </w:r>
          </w:hyperlink>
          <w:hyperlink w:anchor="_heading=h.44sinio">
            <w:r w:rsidR="00E15423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tab/>
            </w:r>
          </w:hyperlink>
          <w:r w:rsidR="00E15423">
            <w:rPr>
              <w:noProof/>
            </w:rPr>
            <w:fldChar w:fldCharType="begin"/>
          </w:r>
          <w:r w:rsidR="00E15423">
            <w:rPr>
              <w:noProof/>
            </w:rPr>
            <w:instrText xml:space="preserve"> PAGEREF _heading=h.44sinio \h </w:instrText>
          </w:r>
          <w:r w:rsidR="00E15423">
            <w:rPr>
              <w:noProof/>
            </w:rPr>
          </w:r>
          <w:r w:rsidR="00E15423">
            <w:rPr>
              <w:noProof/>
            </w:rPr>
            <w:fldChar w:fldCharType="separate"/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>Metodologia</w:t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ab/>
            <w:t>6</w:t>
          </w:r>
          <w:r w:rsidR="00E15423">
            <w:rPr>
              <w:noProof/>
            </w:rPr>
            <w:fldChar w:fldCharType="end"/>
          </w:r>
        </w:p>
        <w:p w14:paraId="3883137E" w14:textId="77777777" w:rsidR="006B3C6D" w:rsidRDefault="00812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noProof/>
            </w:rPr>
          </w:pPr>
          <w:hyperlink w:anchor="_heading=h.2jxsxqh">
            <w:r w:rsidR="00E15423">
              <w:rPr>
                <w:rFonts w:eastAsia="Century Gothic" w:cs="Century Gothic"/>
                <w:smallCaps/>
                <w:noProof/>
                <w:color w:val="000000"/>
              </w:rPr>
              <w:t>IV.</w:t>
            </w:r>
          </w:hyperlink>
          <w:hyperlink w:anchor="_heading=h.2jxsxqh">
            <w:r w:rsidR="00E15423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tab/>
            </w:r>
          </w:hyperlink>
          <w:r w:rsidR="00E15423">
            <w:rPr>
              <w:noProof/>
            </w:rPr>
            <w:fldChar w:fldCharType="begin"/>
          </w:r>
          <w:r w:rsidR="00E15423">
            <w:rPr>
              <w:noProof/>
            </w:rPr>
            <w:instrText xml:space="preserve"> PAGEREF _heading=h.2jxsxqh \h </w:instrText>
          </w:r>
          <w:r w:rsidR="00E15423">
            <w:rPr>
              <w:noProof/>
            </w:rPr>
          </w:r>
          <w:r w:rsidR="00E15423">
            <w:rPr>
              <w:noProof/>
            </w:rPr>
            <w:fldChar w:fldCharType="separate"/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>Resultados</w:t>
          </w:r>
          <w:r w:rsidR="00E15423">
            <w:rPr>
              <w:rFonts w:eastAsia="Century Gothic" w:cs="Century Gothic"/>
              <w:smallCaps/>
              <w:noProof/>
              <w:color w:val="000000"/>
            </w:rPr>
            <w:tab/>
            <w:t>6</w:t>
          </w:r>
          <w:r w:rsidR="00E15423">
            <w:rPr>
              <w:noProof/>
            </w:rPr>
            <w:fldChar w:fldCharType="end"/>
          </w:r>
        </w:p>
        <w:p w14:paraId="3883BCA0" w14:textId="0988809E" w:rsidR="00772B4C" w:rsidRPr="00772B4C" w:rsidRDefault="00772B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noProof/>
            </w:rPr>
          </w:pPr>
          <w:r>
            <w:rPr>
              <w:noProof/>
            </w:rPr>
            <w:t xml:space="preserve">VI. </w:t>
          </w:r>
          <w:r>
            <w:rPr>
              <w:noProof/>
            </w:rPr>
            <w:tab/>
            <w:t>Discussões</w:t>
          </w:r>
          <w:r>
            <w:rPr>
              <w:noProof/>
            </w:rPr>
            <w:tab/>
          </w:r>
        </w:p>
        <w:p w14:paraId="178F8E03" w14:textId="7C26EB80" w:rsidR="006B3C6D" w:rsidRPr="00772B4C" w:rsidRDefault="00812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rFonts w:eastAsia="Century Gothic" w:cs="Century Gothic"/>
              <w:noProof/>
              <w:color w:val="000000"/>
            </w:rPr>
          </w:pPr>
          <w:hyperlink w:anchor="_heading=h.z337ya">
            <w:r w:rsidR="00E15423">
              <w:rPr>
                <w:rFonts w:eastAsia="Century Gothic" w:cs="Century Gothic"/>
                <w:smallCaps/>
                <w:noProof/>
                <w:color w:val="000000"/>
              </w:rPr>
              <w:t>V</w:t>
            </w:r>
            <w:r w:rsidR="00772B4C">
              <w:rPr>
                <w:rFonts w:eastAsia="Century Gothic" w:cs="Century Gothic"/>
                <w:smallCaps/>
                <w:noProof/>
                <w:color w:val="000000"/>
              </w:rPr>
              <w:t>I</w:t>
            </w:r>
            <w:r w:rsidR="00E15423">
              <w:rPr>
                <w:rFonts w:eastAsia="Century Gothic" w:cs="Century Gothic"/>
                <w:smallCaps/>
                <w:noProof/>
                <w:color w:val="000000"/>
              </w:rPr>
              <w:t>.</w:t>
            </w:r>
          </w:hyperlink>
          <w:hyperlink w:anchor="_heading=h.z337ya">
            <w:r w:rsidR="00E15423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tab/>
            </w:r>
          </w:hyperlink>
          <w:r w:rsidR="00E15423">
            <w:rPr>
              <w:noProof/>
            </w:rPr>
            <w:t xml:space="preserve">Agradecimentos à </w:t>
          </w:r>
          <w:r w:rsidR="00E15423">
            <w:rPr>
              <w:rFonts w:eastAsia="Century Gothic" w:cs="Century Gothic"/>
              <w:noProof/>
              <w:color w:val="000000"/>
            </w:rPr>
            <w:t>CNPq</w:t>
          </w:r>
          <w:r w:rsidR="00E15423">
            <w:rPr>
              <w:noProof/>
            </w:rPr>
            <w:t xml:space="preserve"> e</w:t>
          </w:r>
          <w:r w:rsidR="00E15423">
            <w:rPr>
              <w:rFonts w:eastAsia="Century Gothic" w:cs="Century Gothic"/>
              <w:noProof/>
              <w:color w:val="000000"/>
            </w:rPr>
            <w:t xml:space="preserve"> UFNT</w:t>
          </w:r>
          <w:r w:rsidR="00E15423">
            <w:rPr>
              <w:noProof/>
            </w:rPr>
            <w:fldChar w:fldCharType="begin"/>
          </w:r>
          <w:r w:rsidR="00E15423">
            <w:rPr>
              <w:noProof/>
            </w:rPr>
            <w:instrText xml:space="preserve"> PAGEREF _heading=h.2jxsxqh \h </w:instrText>
          </w:r>
          <w:r w:rsidR="00E15423">
            <w:rPr>
              <w:noProof/>
            </w:rPr>
          </w:r>
          <w:r w:rsidR="00E15423">
            <w:rPr>
              <w:noProof/>
            </w:rPr>
            <w:fldChar w:fldCharType="separate"/>
          </w:r>
          <w:r w:rsidR="00E15423">
            <w:rPr>
              <w:rFonts w:eastAsia="Century Gothic" w:cs="Century Gothic"/>
              <w:noProof/>
              <w:color w:val="000000"/>
            </w:rPr>
            <w:tab/>
            <w:t>6</w:t>
          </w:r>
          <w:r w:rsidR="00E15423">
            <w:rPr>
              <w:noProof/>
            </w:rPr>
            <w:fldChar w:fldCharType="end"/>
          </w:r>
        </w:p>
        <w:p w14:paraId="7947B645" w14:textId="2570EA79" w:rsidR="006B3C6D" w:rsidRDefault="00E154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8630"/>
            </w:tabs>
            <w:spacing w:before="360" w:after="0"/>
            <w:ind w:firstLine="0"/>
            <w:jc w:val="lef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eastAsia="Century Gothic" w:cs="Century Gothic"/>
              <w:smallCaps/>
              <w:noProof/>
              <w:color w:val="000000"/>
            </w:rPr>
            <w:t>VI</w:t>
          </w:r>
          <w:r w:rsidR="00772B4C">
            <w:rPr>
              <w:rFonts w:eastAsia="Century Gothic" w:cs="Century Gothic"/>
              <w:smallCaps/>
              <w:noProof/>
              <w:color w:val="000000"/>
            </w:rPr>
            <w:t>I</w:t>
          </w:r>
          <w:r>
            <w:rPr>
              <w:rFonts w:eastAsia="Century Gothic" w:cs="Century Gothic"/>
              <w:smallCaps/>
              <w:noProof/>
              <w:color w:val="000000"/>
            </w:rPr>
            <w:t>.</w:t>
          </w:r>
          <w:r>
            <w:rPr>
              <w:rFonts w:eastAsia="Century Gothic" w:cs="Century Gothic"/>
              <w:smallCaps/>
              <w:noProof/>
              <w:color w:val="000000"/>
            </w:rPr>
            <w:tab/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_heading=h.z337ya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rFonts w:eastAsia="Century Gothic" w:cs="Century Gothic"/>
              <w:smallCaps/>
              <w:noProof/>
              <w:color w:val="000000"/>
            </w:rPr>
            <w:t>Referências Bibliográficas</w:t>
          </w:r>
          <w:r>
            <w:rPr>
              <w:noProof/>
            </w:rPr>
            <w:fldChar w:fldCharType="end"/>
          </w:r>
          <w:hyperlink w:anchor="_heading=h.2jxsxqh">
            <w:r>
              <w:rPr>
                <w:rFonts w:eastAsia="Century Gothic" w:cs="Century Gothic"/>
                <w:smallCaps/>
                <w:noProof/>
                <w:color w:val="000000"/>
              </w:rPr>
              <w:tab/>
              <w:t>6</w:t>
            </w:r>
          </w:hyperlink>
          <w:r>
            <w:fldChar w:fldCharType="end"/>
          </w:r>
        </w:p>
      </w:sdtContent>
    </w:sdt>
    <w:p w14:paraId="4F286336" w14:textId="77777777" w:rsidR="006B3C6D" w:rsidRDefault="00E1542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bookmarkStart w:id="1" w:name="_GoBack"/>
      <w:bookmarkEnd w:id="1"/>
    </w:p>
    <w:p w14:paraId="5B72E90E" w14:textId="77777777" w:rsidR="006B3C6D" w:rsidRDefault="00E15423">
      <w:pPr>
        <w:pStyle w:val="Ttulo1"/>
      </w:pPr>
      <w:bookmarkStart w:id="2" w:name="_heading=h.2et92p0" w:colFirst="0" w:colLast="0"/>
      <w:bookmarkEnd w:id="2"/>
      <w:r>
        <w:lastRenderedPageBreak/>
        <w:t>Apresentação e Justificativa</w:t>
      </w:r>
    </w:p>
    <w:p w14:paraId="6263A124" w14:textId="77777777" w:rsidR="006B3C6D" w:rsidRDefault="006B3C6D">
      <w:pPr>
        <w:ind w:firstLine="0"/>
      </w:pPr>
    </w:p>
    <w:p w14:paraId="2329C0DD" w14:textId="77777777" w:rsidR="006B3C6D" w:rsidRDefault="00E15423">
      <w:pPr>
        <w:spacing w:line="276" w:lineRule="auto"/>
      </w:pPr>
      <w:r>
        <w:t>A Organização Mundial da Saúde define doenças transmitidas por alimentos (DTAs) como infecciosas ou tóxicas, resultantes do consumo de alimentos ou água contaminados. Em 2015, a OMS identificou 31 agentes infecciosos que afetam mais de 600 milhões de pessoas anualmente, com impacto significativo em populações vulneráveis (OMS/WHO, 2022). A manipulação adequada de alimentos exige condições higiênicas rigorosas em utensílios e equipamentos para evitar contaminação cruzada, conforme identificado pelo CRMV-SP (2009). Para garantir a segurança alimentar, é essencial seguir as Boas Práticas de Manipulação conforme a RDC nº 2016/2004. O objetivo deste trabalho é avaliar a satisfação com os serviços do Restaurante Universitário da UFNT em</w:t>
      </w:r>
      <w:r w:rsidRPr="002B3671">
        <w:rPr>
          <w:lang w:val="pt-BR"/>
        </w:rPr>
        <w:t xml:space="preserve"> Araguaína</w:t>
      </w:r>
      <w:r>
        <w:t>, focando</w:t>
      </w:r>
      <w:r w:rsidRPr="002B3671">
        <w:rPr>
          <w:lang w:val="pt-BR"/>
        </w:rPr>
        <w:t xml:space="preserve"> na importância</w:t>
      </w:r>
      <w:r>
        <w:t xml:space="preserve"> da</w:t>
      </w:r>
      <w:r w:rsidRPr="002B3671">
        <w:rPr>
          <w:lang w:val="pt-BR"/>
        </w:rPr>
        <w:t xml:space="preserve"> qualidade</w:t>
      </w:r>
      <w:r>
        <w:t xml:space="preserve"> alimentar e no bem-estar dos comensais.</w:t>
      </w:r>
    </w:p>
    <w:p w14:paraId="13D8AF83" w14:textId="77777777" w:rsidR="006B3C6D" w:rsidRDefault="006B3C6D">
      <w:pPr>
        <w:spacing w:line="276" w:lineRule="auto"/>
        <w:ind w:firstLine="0"/>
      </w:pPr>
    </w:p>
    <w:p w14:paraId="7AD1E42B" w14:textId="77777777" w:rsidR="006B3C6D" w:rsidRDefault="00E15423">
      <w:pPr>
        <w:pStyle w:val="Ttulo1"/>
      </w:pPr>
      <w:bookmarkStart w:id="3" w:name="_heading=h.lnxbz9" w:colFirst="0" w:colLast="0"/>
      <w:bookmarkEnd w:id="3"/>
      <w:r>
        <w:t>Objetivo geral</w:t>
      </w:r>
    </w:p>
    <w:p w14:paraId="612B2C92" w14:textId="77777777" w:rsidR="006B3C6D" w:rsidRDefault="006B3C6D">
      <w:pPr>
        <w:ind w:firstLine="0"/>
      </w:pPr>
    </w:p>
    <w:p w14:paraId="5059CD0E" w14:textId="77777777" w:rsidR="006B3C6D" w:rsidRDefault="00E15423">
      <w:pPr>
        <w:spacing w:before="0" w:after="0" w:line="360" w:lineRule="auto"/>
      </w:pPr>
      <w:r>
        <w:t>Examinar as condições higiênicas e microbiológicas das superfícies e utensílios utilizados no Restaurante Universitário da UFNT - Anexo Centro de Ciências Integradas (Cimba), em Araguaína, Tocantins.</w:t>
      </w:r>
    </w:p>
    <w:p w14:paraId="201C8122" w14:textId="77777777" w:rsidR="006B3C6D" w:rsidRDefault="006B3C6D">
      <w:pPr>
        <w:spacing w:line="276" w:lineRule="auto"/>
        <w:ind w:firstLine="0"/>
      </w:pPr>
    </w:p>
    <w:p w14:paraId="0092B02D" w14:textId="77777777" w:rsidR="006B3C6D" w:rsidRDefault="00E15423">
      <w:pPr>
        <w:pStyle w:val="Ttulo1"/>
      </w:pPr>
      <w:bookmarkStart w:id="4" w:name="_heading=h.44sinio" w:colFirst="0" w:colLast="0"/>
      <w:bookmarkEnd w:id="4"/>
      <w:r>
        <w:t>Metodologia</w:t>
      </w:r>
    </w:p>
    <w:p w14:paraId="167D5204" w14:textId="77777777" w:rsidR="006B3C6D" w:rsidRDefault="006B3C6D">
      <w:pPr>
        <w:ind w:firstLine="0"/>
      </w:pPr>
    </w:p>
    <w:p w14:paraId="60C0289D" w14:textId="77777777" w:rsidR="0073524A" w:rsidRDefault="0073524A">
      <w:pPr>
        <w:spacing w:line="276" w:lineRule="auto"/>
      </w:pPr>
    </w:p>
    <w:p w14:paraId="46E2E71D" w14:textId="77777777" w:rsidR="006B3C6D" w:rsidRDefault="00E15423">
      <w:pPr>
        <w:spacing w:line="276" w:lineRule="auto"/>
      </w:pPr>
      <w:r>
        <w:t>Após a observação dos equipamentos, utensílios e infraestrutura, foram priorizadas as superfícies com maior risco de contaminação cruzada dos alimentos servidos, como talheres, pratos, bandejas e cabines de acomodação das refeições. Coletas de amostras foram realizadas ao longo do primeiro semestre, em datas não anunciadas para evitar viés na pesquisa.</w:t>
      </w:r>
    </w:p>
    <w:p w14:paraId="09C91E0D" w14:textId="77777777" w:rsidR="006B3C6D" w:rsidRDefault="00E15423">
      <w:pPr>
        <w:spacing w:line="276" w:lineRule="auto"/>
      </w:pPr>
      <w:r>
        <w:t>Para verificar a qualidade microbiana dessas superfícies e utensílios, utilizou-se o método do swab, que envolve friccionar um swab estéril e umedecido com movimentos giratórios em solução estéril na superfície avaliada, conforme Andrade (2008) e Pinheiro et al. (2010). O procedimento seguiu Andrade et al. (2003), com friccionamento do swab por três vezes, formando um ângulo de 30º com a superfície. Após a coleta, o swab foi mergulhado em um tubo com 10 ml de solução de diluição, sendo transportado até o laboratório para análises.</w:t>
      </w:r>
    </w:p>
    <w:p w14:paraId="03929C63" w14:textId="77777777" w:rsidR="006B3C6D" w:rsidRDefault="00E15423">
      <w:pPr>
        <w:spacing w:line="276" w:lineRule="auto"/>
      </w:pPr>
      <w:r>
        <w:t xml:space="preserve">No laboratório, as amostras foram diluídas começando com 1mL da amostra em 10mL de água peptonada estéril (diluição 10-1). Após homogeneização, obteve-se a diluição 10-2 retirando-se 1mL da diluição 10-1 e adicionandoos a 9mL de água peptonada estéril. Cada diluição foi utilizada como inóculo para o meio de cultura </w:t>
      </w:r>
      <w:r>
        <w:lastRenderedPageBreak/>
        <w:t>correspondente: Plate Count Agar (PCA) para aeróbias mesófilas e Potato Dextrose Agar (PDA) para bolores e leveduras.</w:t>
      </w:r>
    </w:p>
    <w:p w14:paraId="2A863644" w14:textId="77777777" w:rsidR="006B3C6D" w:rsidRDefault="00E15423">
      <w:pPr>
        <w:spacing w:line="276" w:lineRule="auto"/>
      </w:pPr>
      <w:r>
        <w:t>Para determinar bactérias mesófilas aeróbias, utilizou-se o meio Plate Count Agar (PCA) com a técnica de semeadura em profundidade ou Pour Plate. Pipetou-se 1 mL de cada diluição em placas de Petri esterilizadas, e foram vertidos 15 a 20 mL de agar PCA fundido e resfriado. As placas foram homogeneizadas gentilmente e incubadas, em posição invertida, a 35–37º C por 24–48 horas (SILVA et al., 2017).</w:t>
      </w:r>
    </w:p>
    <w:p w14:paraId="79DCA04C" w14:textId="05380A79" w:rsidR="006B3C6D" w:rsidRDefault="00B4049B" w:rsidP="00B4049B">
      <w:pPr>
        <w:pStyle w:val="Textodecomentrio"/>
      </w:pPr>
      <w:r>
        <w:t>A</w:t>
      </w:r>
      <w:r w:rsidR="00E15423">
        <w:t xml:space="preserve"> </w:t>
      </w:r>
      <w:r>
        <w:t>contagem de bolores e leveduras foi determinada</w:t>
      </w:r>
      <w:r w:rsidRPr="0073524A">
        <w:t xml:space="preserve"> pela transferência de alíquotas de 1 mL para as placas Petrifilm® EC (3M Company, St. Paul, MN, EUA), de acordo com a técnica de uso d</w:t>
      </w:r>
      <w:r>
        <w:t>a 3M Interpretation Guide (</w:t>
      </w:r>
      <w:r w:rsidRPr="0073524A">
        <w:t>2020).</w:t>
      </w:r>
      <w:r>
        <w:t xml:space="preserve"> </w:t>
      </w:r>
      <w:r w:rsidR="00E15423">
        <w:t>Os resultados foram comparados com as recomendações da APHA (1992) e especificações da OMS, com uma contagem máxima recomendada de 30 UFC/cm² por semana para microrganismos aeróbios mesófilos (SVEUM et al., 1993).</w:t>
      </w:r>
    </w:p>
    <w:p w14:paraId="1FFE7C65" w14:textId="77777777" w:rsidR="006B3C6D" w:rsidRDefault="006B3C6D">
      <w:pPr>
        <w:spacing w:line="276" w:lineRule="auto"/>
        <w:ind w:firstLine="0"/>
      </w:pPr>
    </w:p>
    <w:p w14:paraId="00F7010B" w14:textId="77777777" w:rsidR="006B3C6D" w:rsidRDefault="00E15423">
      <w:pPr>
        <w:pStyle w:val="Ttulo1"/>
      </w:pPr>
      <w:bookmarkStart w:id="5" w:name="_heading=h.2jxsxqh" w:colFirst="0" w:colLast="0"/>
      <w:bookmarkEnd w:id="5"/>
      <w:r>
        <w:t>Resultados</w:t>
      </w:r>
    </w:p>
    <w:p w14:paraId="1EEFA803" w14:textId="77777777" w:rsidR="006B3C6D" w:rsidRDefault="006B3C6D">
      <w:pPr>
        <w:ind w:firstLine="0"/>
      </w:pPr>
    </w:p>
    <w:p w14:paraId="6B0D4A96" w14:textId="12D3CD75" w:rsidR="006B3C6D" w:rsidRDefault="00E15423">
      <w:pPr>
        <w:spacing w:line="276" w:lineRule="auto"/>
        <w:ind w:firstLine="0"/>
      </w:pPr>
      <w:r>
        <w:t>Tabela 1 – Valores das contagens de bactérias m</w:t>
      </w:r>
      <w:r w:rsidR="00772B4C">
        <w:t xml:space="preserve">esófilas e Bolores/leveduras das amostras </w:t>
      </w:r>
      <w:r w:rsidR="00B4049B">
        <w:t>de</w:t>
      </w:r>
      <w:r>
        <w:t xml:space="preserve"> superfícies de  utensílios utilizados no RU/Anexo Cimba, da UFNT em Araguaína, Tocantins</w:t>
      </w:r>
    </w:p>
    <w:tbl>
      <w:tblPr>
        <w:tblStyle w:val="4"/>
        <w:tblW w:w="10053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141"/>
        <w:gridCol w:w="1071"/>
        <w:gridCol w:w="1070"/>
        <w:gridCol w:w="1071"/>
        <w:gridCol w:w="1070"/>
        <w:gridCol w:w="1071"/>
        <w:gridCol w:w="1070"/>
        <w:gridCol w:w="1071"/>
      </w:tblGrid>
      <w:tr w:rsidR="00772B4C" w14:paraId="2A25C08D" w14:textId="112168AF" w:rsidTr="00772B4C">
        <w:trPr>
          <w:trHeight w:val="17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85688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</w:p>
        </w:tc>
        <w:tc>
          <w:tcPr>
            <w:tcW w:w="2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01878" w14:textId="3496BE55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1° Amostragem</w:t>
            </w: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AB2A41" w14:textId="76918F59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2</w:t>
            </w:r>
            <w:r>
              <w:rPr>
                <w:b/>
                <w:color w:val="231F20"/>
                <w:sz w:val="17"/>
                <w:szCs w:val="17"/>
              </w:rPr>
              <w:t>° Amostragem</w:t>
            </w: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1ACF76" w14:textId="48828F9D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3</w:t>
            </w:r>
            <w:r>
              <w:rPr>
                <w:b/>
                <w:color w:val="231F20"/>
                <w:sz w:val="17"/>
                <w:szCs w:val="17"/>
              </w:rPr>
              <w:t>° Amostragem</w:t>
            </w:r>
          </w:p>
        </w:tc>
        <w:tc>
          <w:tcPr>
            <w:tcW w:w="214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B9AC6F" w14:textId="6363CB65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4</w:t>
            </w:r>
            <w:r>
              <w:rPr>
                <w:b/>
                <w:color w:val="231F20"/>
                <w:sz w:val="17"/>
                <w:szCs w:val="17"/>
              </w:rPr>
              <w:t>° Amostragem</w:t>
            </w:r>
          </w:p>
        </w:tc>
      </w:tr>
      <w:tr w:rsidR="00772B4C" w14:paraId="5385F833" w14:textId="7318F444" w:rsidTr="00772B4C">
        <w:trPr>
          <w:trHeight w:val="7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35D7A" w14:textId="2185591D" w:rsidR="00772B4C" w:rsidRDefault="00772B4C" w:rsidP="00772B4C">
            <w:pPr>
              <w:spacing w:before="0" w:after="0"/>
              <w:ind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Amostras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61904" w14:textId="7B9C5033" w:rsidR="00772B4C" w:rsidRPr="0081295E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Bactérias Aeróbias Mesófilas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67A06" w14:textId="5E127BA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Bolores e leveduras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B7F1B1" w14:textId="6F9EA9E5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Bactérias Aeróbias Mesófilas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5D3445" w14:textId="061E962E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Bolores e leveduras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5A1FB7" w14:textId="651BFDCC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Bactérias Aeróbias Mesófilas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CA23D9" w14:textId="5E741463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Bolores e leveduras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153968" w14:textId="2F600793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Bactérias Aeróbias Mesófilas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5FBBA8" w14:textId="263F043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Bolores e leveduras UFC/</w:t>
            </w:r>
            <w:r>
              <w:rPr>
                <w:color w:val="231F20"/>
                <w:sz w:val="17"/>
                <w:szCs w:val="17"/>
              </w:rPr>
              <w:t xml:space="preserve"> cm</w:t>
            </w:r>
            <w:r>
              <w:rPr>
                <w:color w:val="231F20"/>
                <w:sz w:val="17"/>
                <w:szCs w:val="17"/>
                <w:vertAlign w:val="superscript"/>
              </w:rPr>
              <w:t>2</w:t>
            </w:r>
          </w:p>
        </w:tc>
      </w:tr>
      <w:tr w:rsidR="00772B4C" w14:paraId="4453A7C7" w14:textId="36AEE5B0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F9012" w14:textId="59CAA3A3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Prato/1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6F0AE" w14:textId="6FFD8BE5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0,1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44A7A" w14:textId="55BE7E59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5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A375C56" w14:textId="082074A1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1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06D6BD" w14:textId="48D033C0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2AF3ED7" w14:textId="6E3349CB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ECF8AF2" w14:textId="42D63C2D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E1A655A" w14:textId="6460E4F0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5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EAE599E" w14:textId="3D4E1085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1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</w:tr>
      <w:tr w:rsidR="00772B4C" w14:paraId="2D03E016" w14:textId="31B0E395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85AA7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Prato/2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A9EF2" w14:textId="6CECC77A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0,04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238CC" w14:textId="0801F93F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C231016" w14:textId="765E3AD1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BF6A4D4" w14:textId="18035D9D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40A6EEB" w14:textId="265A275D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82449D6" w14:textId="5C0A3986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1435AAF" w14:textId="743BBEF3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4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A17953B" w14:textId="65554CDB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  <w:tr w:rsidR="00772B4C" w14:paraId="7B967F2C" w14:textId="25C4EAED" w:rsidTr="00772B4C">
        <w:trPr>
          <w:trHeight w:val="228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871D4" w14:textId="242A292C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Bandeja/1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39095" w14:textId="52AD73C1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0,92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D9AA0" w14:textId="4EC3A25A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2,2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24F81FD" w14:textId="6026F32B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7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09D9D5" w14:textId="37CD2C77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1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DE41AC" w14:textId="2D90E8B5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0C0705A" w14:textId="2FCF6BD5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412328E" w14:textId="33196278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3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E754E8F" w14:textId="76DCA437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</w:tr>
      <w:tr w:rsidR="00772B4C" w14:paraId="09FCC92B" w14:textId="455369DD" w:rsidTr="00772B4C">
        <w:trPr>
          <w:trHeight w:val="228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9C0CE" w14:textId="6E9B82C1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Bandeja/2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6888F" w14:textId="633E8442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2,3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3B688" w14:textId="5DDBD670" w:rsidR="00772B4C" w:rsidRDefault="00772B4C" w:rsidP="00772B4C">
            <w:pPr>
              <w:spacing w:before="0" w:after="0"/>
              <w:ind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  <w:vertAlign w:val="superscript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55B6CC2" w14:textId="4A29FE72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BEE4C57" w14:textId="542B02E9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CF8C908" w14:textId="6BA4D620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FC1365" w14:textId="0F4D9DF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99903F1" w14:textId="6FE36889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4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C1119AE" w14:textId="2AD5C0E1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  <w:tr w:rsidR="00772B4C" w14:paraId="1336F261" w14:textId="2712EC3F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E3855" w14:textId="4F21B3CA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Reservatório/1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3FA2F" w14:textId="7064CD50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61C9E" w14:textId="423846F0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6,2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DF8ADE5" w14:textId="481348BC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6D0A17" w14:textId="111B8B4D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5CFA028" w14:textId="41095D43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996F3B4" w14:textId="436889EB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97C6D" w14:textId="022E52E6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6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FE0408" w14:textId="0994D363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</w:tr>
      <w:tr w:rsidR="00772B4C" w14:paraId="27670AEF" w14:textId="7AED63E5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D1D80" w14:textId="70BF6153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Reservatório/2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17C0F" w14:textId="66256122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2,3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86C3C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D46A731" w14:textId="26DA2EA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75C8D3" w14:textId="68BBB69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BB421F" w14:textId="2DB7846F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A210049" w14:textId="2FB2408F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E2C8199" w14:textId="0828AC10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01E42DA" w14:textId="6DBCA601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  <w:tr w:rsidR="00772B4C" w14:paraId="23519EB9" w14:textId="23F76603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B2D1F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Concha/1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EBDE1" w14:textId="430C44EC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8A58D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4028D7" w14:textId="1B3CE57C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4DCA98C" w14:textId="0459238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60A1A8" w14:textId="35E36803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3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E46AD1" w14:textId="1C7FD769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4F3B0F4" w14:textId="462EF03C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7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113923" w14:textId="2D7E24C1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1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</w:tr>
      <w:tr w:rsidR="00772B4C" w14:paraId="604B586D" w14:textId="60C9D6D8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2ED96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Concha/2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146D1" w14:textId="48BCD6F8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0,5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589D0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8C8E7EF" w14:textId="0A3C8298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83DCFC2" w14:textId="6AB526B1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144353D" w14:textId="74606512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B5BA567" w14:textId="64638563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CBEA14" w14:textId="11C30DDC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12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A440239" w14:textId="7939660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  <w:tr w:rsidR="00772B4C" w14:paraId="25001C8C" w14:textId="5E1611CF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C42C9" w14:textId="248B866D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Garfo/1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AF628" w14:textId="0F8FBBA4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0,8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7DACD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F1A5FD8" w14:textId="514B98AE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2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D153F58" w14:textId="429A5208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96160B2" w14:textId="32DB690F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F819AF" w14:textId="6F77A538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A8C24FB" w14:textId="02F77629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3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FB60885" w14:textId="5B54C4E5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</w:tr>
      <w:tr w:rsidR="00772B4C" w14:paraId="53F62237" w14:textId="77777777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D1793" w14:textId="75AAB4B0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Garfo/2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E4A07" w14:textId="109CF206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AD067" w14:textId="6D49F1D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AA9BB70" w14:textId="5C2D1FCE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</w:t>
            </w:r>
            <w:r>
              <w:rPr>
                <w:color w:val="231F20"/>
                <w:sz w:val="17"/>
                <w:szCs w:val="17"/>
              </w:rPr>
              <w:t xml:space="preserve">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C887E1F" w14:textId="3549CECE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B5B3B37" w14:textId="31126012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5FB5930" w14:textId="59012631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9966B8" w14:textId="6A7CB013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9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068A57" w14:textId="68B0F5A0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  <w:tr w:rsidR="00772B4C" w14:paraId="24FDE737" w14:textId="55719362" w:rsidTr="00772B4C">
        <w:trPr>
          <w:trHeight w:val="176"/>
        </w:trPr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DA90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b/>
                <w:color w:val="231F20"/>
                <w:sz w:val="17"/>
                <w:szCs w:val="17"/>
              </w:rPr>
            </w:pPr>
            <w:r>
              <w:rPr>
                <w:b/>
                <w:color w:val="231F20"/>
                <w:sz w:val="17"/>
                <w:szCs w:val="17"/>
              </w:rPr>
              <w:t>Faca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48686" w14:textId="181E4A5D" w:rsidR="00772B4C" w:rsidRP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  <w:vertAlign w:val="superscript"/>
              </w:rPr>
            </w:pPr>
            <w:r>
              <w:rPr>
                <w:color w:val="231F20"/>
                <w:sz w:val="17"/>
                <w:szCs w:val="17"/>
              </w:rPr>
              <w:t>0 x 10</w:t>
            </w:r>
            <w:r>
              <w:rPr>
                <w:color w:val="231F20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A9FE4" w14:textId="77777777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42E524" w14:textId="4E6AABB4" w:rsidR="00772B4C" w:rsidRDefault="00772B4C" w:rsidP="00772B4C">
            <w:pPr>
              <w:spacing w:before="0" w:after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16E94D4" w14:textId="6B8F7CC4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D5453BF" w14:textId="28FC682F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9F6E0F8" w14:textId="1C230FFA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44C6E4" w14:textId="1B5D84CE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12FF1DE" w14:textId="2A0C0983" w:rsidR="00772B4C" w:rsidRDefault="00772B4C" w:rsidP="00772B4C">
            <w:pPr>
              <w:spacing w:before="0" w:after="0"/>
              <w:ind w:left="60" w:firstLine="0"/>
              <w:jc w:val="center"/>
              <w:rPr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-</w:t>
            </w:r>
          </w:p>
        </w:tc>
      </w:tr>
    </w:tbl>
    <w:p w14:paraId="5A917B2F" w14:textId="77777777" w:rsidR="00772B4C" w:rsidRDefault="00772B4C">
      <w:pPr>
        <w:spacing w:line="276" w:lineRule="auto"/>
        <w:ind w:firstLine="0"/>
        <w:rPr>
          <w:rStyle w:val="Refdecomentrio"/>
        </w:rPr>
      </w:pPr>
    </w:p>
    <w:p w14:paraId="6EAD4F72" w14:textId="4E36CA9B" w:rsidR="006B3C6D" w:rsidRDefault="00772B4C">
      <w:pPr>
        <w:spacing w:line="276" w:lineRule="auto"/>
        <w:ind w:firstLine="0"/>
      </w:pPr>
      <w:r>
        <w:lastRenderedPageBreak/>
        <w:t>Os resultados das análises de superfícies demonstraram que todas as amostras estavam em conformidade com os requisitos de higiene e saneamento estabelecidos pela legislação vigente, sendo consideradas adequadas para consumo humano. Este resultado é significativo pois indica que, de forma geral, as práticas de controle de higiene e saneamento estão sendo efetivas na manutenção da segurança alimentar.</w:t>
      </w:r>
    </w:p>
    <w:p w14:paraId="27077A45" w14:textId="77777777" w:rsidR="00772B4C" w:rsidRDefault="00772B4C">
      <w:pPr>
        <w:spacing w:line="276" w:lineRule="auto"/>
        <w:ind w:firstLine="0"/>
      </w:pPr>
    </w:p>
    <w:p w14:paraId="09CDBD02" w14:textId="79AD2DF2" w:rsidR="006B3C6D" w:rsidRDefault="00E15423">
      <w:pPr>
        <w:spacing w:line="276" w:lineRule="auto"/>
        <w:ind w:firstLine="0"/>
        <w:rPr>
          <w:rFonts w:eastAsia="Century Gothic" w:cs="Century Gothic"/>
          <w:sz w:val="44"/>
          <w:szCs w:val="44"/>
        </w:rPr>
      </w:pPr>
      <w:r>
        <w:rPr>
          <w:sz w:val="44"/>
          <w:szCs w:val="44"/>
        </w:rPr>
        <w:t xml:space="preserve">V. </w:t>
      </w:r>
      <w:r w:rsidR="00772B4C">
        <w:rPr>
          <w:sz w:val="44"/>
          <w:szCs w:val="44"/>
        </w:rPr>
        <w:t>Discussões</w:t>
      </w:r>
    </w:p>
    <w:p w14:paraId="3294DD08" w14:textId="63DD0D3F" w:rsidR="00772B4C" w:rsidRDefault="00772B4C" w:rsidP="00772B4C">
      <w:pPr>
        <w:spacing w:line="276" w:lineRule="auto"/>
        <w:ind w:firstLine="0"/>
      </w:pPr>
      <w:r>
        <w:t>A conformidade com as normas de higiene e saneamento sugere que práticas eficazes de limpeza e desinfecção estão em vigor. Esses procedimentos reduzem significativamente a carga microbiana, incluindo bolores e leveduras, no a</w:t>
      </w:r>
      <w:r>
        <w:t>mbiente. A limpeza incluindo detergentes apropriados e protocolos rigorosos de</w:t>
      </w:r>
      <w:r>
        <w:t xml:space="preserve"> manutenção das </w:t>
      </w:r>
      <w:r>
        <w:t xml:space="preserve">superficies, assim como o transporte e armazenagem adequados </w:t>
      </w:r>
      <w:r>
        <w:t>ajuda</w:t>
      </w:r>
      <w:r>
        <w:t>m</w:t>
      </w:r>
      <w:r>
        <w:t xml:space="preserve"> a minimizar o crescimento de microrganismos patogênicos e deterior</w:t>
      </w:r>
      <w:r>
        <w:t>antes (Franco; Landgraf, 2008).</w:t>
      </w:r>
    </w:p>
    <w:p w14:paraId="4C57757E" w14:textId="1BE05364" w:rsidR="00772B4C" w:rsidRDefault="00772B4C" w:rsidP="00772B4C">
      <w:pPr>
        <w:spacing w:line="276" w:lineRule="auto"/>
        <w:ind w:firstLine="0"/>
      </w:pPr>
      <w:r>
        <w:t>Dessa forma o</w:t>
      </w:r>
      <w:r>
        <w:t xml:space="preserve"> resultado positivo observado nas análises pode ser atribuído a uma combinação de práticas eficazes de higiene e saneamento, medidas preventivas contra contaminação cruzada, treinamento adequado do pessoal, e estratégias eficazes de armazenamento. No entanto, a presença residual de bolores e leveduras</w:t>
      </w:r>
      <w:r>
        <w:t>, assim como o de bactérias aeróbias mesófilas,</w:t>
      </w:r>
      <w:r>
        <w:t xml:space="preserve"> destaca a importância de um monitoramento contínuo e da manutenção das condições ideais para prevenir a deterioração dos alimentos e garantir a segurança alimentar.</w:t>
      </w:r>
    </w:p>
    <w:p w14:paraId="07EBF3E1" w14:textId="77777777" w:rsidR="00772B4C" w:rsidRDefault="00772B4C" w:rsidP="00772B4C">
      <w:pPr>
        <w:spacing w:line="276" w:lineRule="auto"/>
        <w:ind w:firstLine="0"/>
      </w:pPr>
    </w:p>
    <w:p w14:paraId="7BD49E09" w14:textId="7E82DD95" w:rsidR="00772B4C" w:rsidRDefault="00772B4C" w:rsidP="00772B4C">
      <w:pPr>
        <w:pStyle w:val="Ttulo1"/>
        <w:numPr>
          <w:ilvl w:val="0"/>
          <w:numId w:val="0"/>
        </w:numPr>
      </w:pPr>
      <w:r>
        <w:t xml:space="preserve">VI. </w:t>
      </w:r>
      <w:r>
        <w:t>Agradecimentos à sua respectiva agência de fomento (CNPq, FAPT ou UFNT)</w:t>
      </w:r>
    </w:p>
    <w:p w14:paraId="2A062883" w14:textId="00D3D749" w:rsidR="00772B4C" w:rsidRPr="00772B4C" w:rsidRDefault="00772B4C" w:rsidP="00772B4C">
      <w:pPr>
        <w:spacing w:line="276" w:lineRule="auto"/>
        <w:ind w:firstLine="0"/>
      </w:pPr>
      <w:r>
        <w:t xml:space="preserve">Agradeço à Universidade Federal do Norte do Tocantins - UFNT e ao CNPq pelo apoio no desenvolvimento da pesquisa. </w:t>
      </w:r>
    </w:p>
    <w:p w14:paraId="52435304" w14:textId="77777777" w:rsidR="00772B4C" w:rsidRDefault="00772B4C">
      <w:pPr>
        <w:spacing w:line="276" w:lineRule="auto"/>
        <w:ind w:firstLine="0"/>
      </w:pPr>
    </w:p>
    <w:p w14:paraId="74C399DF" w14:textId="26BFBA74" w:rsidR="006B3C6D" w:rsidRDefault="00E15423" w:rsidP="00772B4C">
      <w:pPr>
        <w:pStyle w:val="Ttulo1"/>
        <w:numPr>
          <w:ilvl w:val="0"/>
          <w:numId w:val="0"/>
        </w:numPr>
      </w:pPr>
      <w:bookmarkStart w:id="6" w:name="_heading=h.z337ya" w:colFirst="0" w:colLast="0"/>
      <w:bookmarkEnd w:id="6"/>
      <w:r>
        <w:t>VI</w:t>
      </w:r>
      <w:r w:rsidR="00772B4C">
        <w:t>I</w:t>
      </w:r>
      <w:r>
        <w:t>.</w:t>
      </w:r>
      <w:r>
        <w:tab/>
        <w:t>Referências Bibliográficas</w:t>
      </w:r>
    </w:p>
    <w:p w14:paraId="0EF30743" w14:textId="77777777" w:rsidR="006B3C6D" w:rsidRDefault="006B3C6D">
      <w:pPr>
        <w:spacing w:line="276" w:lineRule="auto"/>
        <w:ind w:firstLine="0"/>
      </w:pPr>
    </w:p>
    <w:p w14:paraId="246E0B76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ANDRADE, N. J.; SILVA, R. M. M.; BRABES, K. C. S. Avaliação das condições microbiológicas em unidades de alimentação e nutrição. </w:t>
      </w:r>
      <w:r w:rsidRPr="00772B4C">
        <w:rPr>
          <w:i/>
          <w:iCs/>
          <w:lang w:val="pt-BR"/>
        </w:rPr>
        <w:t>Ciência e Agrotecnologia</w:t>
      </w:r>
      <w:r w:rsidRPr="00772B4C">
        <w:rPr>
          <w:lang w:val="pt-BR"/>
        </w:rPr>
        <w:t xml:space="preserve">, Lavras, v. 27, n. 3, p. 590-596, 2003. Disponível em: </w:t>
      </w:r>
      <w:hyperlink r:id="rId9" w:tgtFrame="_new" w:history="1">
        <w:r w:rsidRPr="00772B4C">
          <w:rPr>
            <w:rStyle w:val="Hyperlink"/>
            <w:lang w:val="pt-BR"/>
          </w:rPr>
          <w:t>https://www.scielo.br/j/cagro/a/rV7JMkk6HZ9m5RBbwyCh4bn/?format=pdf&amp;lang=pt</w:t>
        </w:r>
      </w:hyperlink>
      <w:r w:rsidRPr="00772B4C">
        <w:rPr>
          <w:lang w:val="pt-BR"/>
        </w:rPr>
        <w:t>. Acesso em: [data de acesso].</w:t>
      </w:r>
    </w:p>
    <w:p w14:paraId="2CBA805D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BRASIL. Resolução nº 12, de 02 de janeiro de 2001. Regulamento Técnico sobre Padrões Microbiológicos para Alimentos. </w:t>
      </w:r>
      <w:r w:rsidRPr="00772B4C">
        <w:rPr>
          <w:i/>
          <w:iCs/>
          <w:lang w:val="pt-BR"/>
        </w:rPr>
        <w:t>Diário Oficial da República Federativa do Brasil</w:t>
      </w:r>
      <w:r w:rsidRPr="00772B4C">
        <w:rPr>
          <w:lang w:val="pt-BR"/>
        </w:rPr>
        <w:t>, Brasília, 2001.</w:t>
      </w:r>
    </w:p>
    <w:p w14:paraId="09DB491A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lastRenderedPageBreak/>
        <w:t xml:space="preserve">BRASIL. Resolução nº 216, de 15 de setembro de 2004. Regulamento Técnico de Boas Práticas para Serviços de Alimentação 2004. Brasília: ANVISA – Agência Nacional de Vigilância Sanitária, 2004. Disponível em: </w:t>
      </w:r>
      <w:hyperlink r:id="rId10" w:tgtFrame="_new" w:history="1">
        <w:r w:rsidRPr="00772B4C">
          <w:rPr>
            <w:rStyle w:val="Hyperlink"/>
            <w:lang w:val="pt-BR"/>
          </w:rPr>
          <w:t>http://portal.anvisa.gov.br/wps/wcm/connect/aa0bc300474575dd83f2d73fbc4c6735/RDC_N_216_DE_15_DE_SETEMBRO_DE_2004.pdf?MOD=AJPERES</w:t>
        </w:r>
      </w:hyperlink>
      <w:r w:rsidRPr="00772B4C">
        <w:rPr>
          <w:lang w:val="pt-BR"/>
        </w:rPr>
        <w:t>. Acesso em: [data de acesso].</w:t>
      </w:r>
    </w:p>
    <w:p w14:paraId="3C9031B4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CONSELHO REGIONAL DE MEDICINA VETERINÁRIA DO ESTADO DE SÃO PAULO. Contaminação cruzada em alimentos. Disponível em: </w:t>
      </w:r>
      <w:hyperlink r:id="rId11" w:tgtFrame="_new" w:history="1">
        <w:r w:rsidRPr="00772B4C">
          <w:rPr>
            <w:rStyle w:val="Hyperlink"/>
            <w:lang w:val="pt-BR"/>
          </w:rPr>
          <w:t>https://crmvsp.gov.br/contaminacao-cruzada-em-alimentos/</w:t>
        </w:r>
      </w:hyperlink>
      <w:r w:rsidRPr="00772B4C">
        <w:rPr>
          <w:lang w:val="pt-BR"/>
        </w:rPr>
        <w:t>. Acesso em: jan. 2023.</w:t>
      </w:r>
    </w:p>
    <w:p w14:paraId="02CF9645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ORGANIZAÇÃO MUNDIAL DA SAÚDE. Food safety. 2022. Disponível em: </w:t>
      </w:r>
      <w:hyperlink r:id="rId12" w:tgtFrame="_new" w:history="1">
        <w:r w:rsidRPr="00772B4C">
          <w:rPr>
            <w:rStyle w:val="Hyperlink"/>
            <w:lang w:val="pt-BR"/>
          </w:rPr>
          <w:t>https://www.who.int/news-room/fact-sheets/detail/food-safety</w:t>
        </w:r>
      </w:hyperlink>
      <w:r w:rsidRPr="00772B4C">
        <w:rPr>
          <w:lang w:val="pt-BR"/>
        </w:rPr>
        <w:t>. Acesso em: [data de acesso].</w:t>
      </w:r>
    </w:p>
    <w:p w14:paraId="70C47A4E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PINHEIRO, M. B.; WADA, T. C.; PEREIRA, C. A. M. Análise microbiológica de tábuas de manipulação de alimentos de uma instituição de ensino superior em São Carlos, SP. </w:t>
      </w:r>
      <w:r w:rsidRPr="00772B4C">
        <w:rPr>
          <w:i/>
          <w:iCs/>
          <w:lang w:val="pt-BR"/>
        </w:rPr>
        <w:t>Revista Simbio-Logias</w:t>
      </w:r>
      <w:r w:rsidRPr="00772B4C">
        <w:rPr>
          <w:lang w:val="pt-BR"/>
        </w:rPr>
        <w:t>, v. 3, n. 5, p. 44-50, 2010.</w:t>
      </w:r>
    </w:p>
    <w:p w14:paraId="3C94E6BE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SCHERRER, J. V.; MARCON, L. N. Formação de biofilme e segurança dos alimentos em serviços de alimentação. </w:t>
      </w:r>
      <w:r w:rsidRPr="00772B4C">
        <w:rPr>
          <w:i/>
          <w:iCs/>
          <w:lang w:val="pt-BR"/>
        </w:rPr>
        <w:t>Revista da Associação Brasileira de Nutrição</w:t>
      </w:r>
      <w:r w:rsidRPr="00772B4C">
        <w:rPr>
          <w:lang w:val="pt-BR"/>
        </w:rPr>
        <w:t xml:space="preserve">, São Paulo, v. 7, n. 2, p. 91-99, 2010. Disponível em: </w:t>
      </w:r>
      <w:hyperlink r:id="rId13" w:tgtFrame="_new" w:history="1">
        <w:r w:rsidRPr="00772B4C">
          <w:rPr>
            <w:rStyle w:val="Hyperlink"/>
            <w:lang w:val="pt-BR"/>
          </w:rPr>
          <w:t>https://www.rasbran.com.br/rasbran/article/view/102/139</w:t>
        </w:r>
      </w:hyperlink>
      <w:r w:rsidRPr="00772B4C">
        <w:rPr>
          <w:lang w:val="pt-BR"/>
        </w:rPr>
        <w:t>. Acesso em: [data de acesso].</w:t>
      </w:r>
    </w:p>
    <w:p w14:paraId="3764E0DD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SVEUM, W. H.; MOBERG, L. J.; RUDE, R. A.; FRANK, J. F. Microbiological monitoring of the food processing environment. In: VANDERZANT, C.; SPLITTSTOESSER, D. F.; SPECK, M. L. (Eds.). </w:t>
      </w:r>
      <w:r w:rsidRPr="00772B4C">
        <w:rPr>
          <w:i/>
          <w:iCs/>
          <w:lang w:val="pt-BR"/>
        </w:rPr>
        <w:t>Compendium of methods for the microbiological examination of foods</w:t>
      </w:r>
      <w:r w:rsidRPr="00772B4C">
        <w:rPr>
          <w:lang w:val="pt-BR"/>
        </w:rPr>
        <w:t>. 3. ed. Washington: American Public Health Association, 1992. p. 51-74.</w:t>
      </w:r>
    </w:p>
    <w:p w14:paraId="34134FF5" w14:textId="77777777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 xml:space="preserve">3M COMPANY. </w:t>
      </w:r>
      <w:r w:rsidRPr="00772B4C">
        <w:rPr>
          <w:i/>
          <w:iCs/>
          <w:lang w:val="pt-BR"/>
        </w:rPr>
        <w:t>Interpretation guide – Yeast and mold count plate</w:t>
      </w:r>
      <w:r w:rsidRPr="00772B4C">
        <w:rPr>
          <w:lang w:val="pt-BR"/>
        </w:rPr>
        <w:t>. 2020. 8 p.</w:t>
      </w:r>
    </w:p>
    <w:p w14:paraId="63EF4364" w14:textId="2E9CEA5F" w:rsidR="00772B4C" w:rsidRPr="00772B4C" w:rsidRDefault="00772B4C" w:rsidP="00772B4C">
      <w:pPr>
        <w:spacing w:line="276" w:lineRule="auto"/>
        <w:ind w:firstLine="0"/>
        <w:rPr>
          <w:lang w:val="pt-BR"/>
        </w:rPr>
      </w:pPr>
      <w:r w:rsidRPr="00772B4C">
        <w:rPr>
          <w:lang w:val="pt-BR"/>
        </w:rPr>
        <w:t>4o mini</w:t>
      </w:r>
      <w:r>
        <w:rPr>
          <w:lang w:val="pt-BR"/>
        </w:rPr>
        <w:t>.</w:t>
      </w:r>
    </w:p>
    <w:p w14:paraId="7097F1E3" w14:textId="77777777" w:rsidR="009339FF" w:rsidRDefault="009339FF">
      <w:pPr>
        <w:spacing w:line="276" w:lineRule="auto"/>
        <w:ind w:firstLine="0"/>
      </w:pPr>
    </w:p>
    <w:sectPr w:rsidR="009339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21D0A" w14:textId="77777777" w:rsidR="001B0587" w:rsidRDefault="001B0587">
      <w:pPr>
        <w:spacing w:before="0" w:after="0"/>
      </w:pPr>
      <w:r>
        <w:separator/>
      </w:r>
    </w:p>
  </w:endnote>
  <w:endnote w:type="continuationSeparator" w:id="0">
    <w:p w14:paraId="1FFB47A0" w14:textId="77777777" w:rsidR="001B0587" w:rsidRDefault="001B05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507C" w14:textId="77777777" w:rsidR="006B3C6D" w:rsidRDefault="006B3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entury Gothic" w:cs="Century Gothic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1696" w14:textId="0E872D31" w:rsidR="00772B4C" w:rsidRDefault="00772B4C" w:rsidP="00772B4C">
    <w:pPr>
      <w:pStyle w:val="Rodap"/>
      <w:jc w:val="center"/>
    </w:pPr>
  </w:p>
  <w:p w14:paraId="2DBB193E" w14:textId="77777777" w:rsidR="00772B4C" w:rsidRPr="00772B4C" w:rsidRDefault="00772B4C" w:rsidP="00772B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0"/>
      <w:rPr>
        <w:rFonts w:eastAsia="Century Gothic" w:cs="Century Gothic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ED00" w14:textId="77777777" w:rsidR="006B3C6D" w:rsidRDefault="00E154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fldChar w:fldCharType="begin"/>
    </w:r>
    <w:r>
      <w:rPr>
        <w:rFonts w:eastAsia="Century Gothic" w:cs="Century Gothic"/>
        <w:color w:val="000000"/>
      </w:rPr>
      <w:instrText>PAGE</w:instrText>
    </w:r>
    <w:r>
      <w:rPr>
        <w:rFonts w:eastAsia="Century Gothic" w:cs="Century Gothic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AEB1D" w14:textId="77777777" w:rsidR="001B0587" w:rsidRDefault="001B0587">
      <w:pPr>
        <w:spacing w:before="0" w:after="0"/>
      </w:pPr>
      <w:r>
        <w:separator/>
      </w:r>
    </w:p>
  </w:footnote>
  <w:footnote w:type="continuationSeparator" w:id="0">
    <w:p w14:paraId="6470709A" w14:textId="77777777" w:rsidR="001B0587" w:rsidRDefault="001B05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91EA" w14:textId="77777777" w:rsidR="006B3C6D" w:rsidRDefault="00E154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tab/>
    </w:r>
    <w:r>
      <w:rPr>
        <w:rFonts w:eastAsia="Century Gothic" w:cs="Century Gothic"/>
        <w:color w:val="000000"/>
      </w:rPr>
      <w:tab/>
    </w:r>
    <w:r>
      <w:rPr>
        <w:rFonts w:eastAsia="Century Gothic" w:cs="Century Gothic"/>
        <w:noProof/>
        <w:color w:val="000000"/>
        <w:lang w:val="pt-BR" w:eastAsia="pt-BR"/>
      </w:rPr>
      <w:drawing>
        <wp:inline distT="0" distB="0" distL="0" distR="0" wp14:anchorId="4C7E88D0" wp14:editId="2D536E14">
          <wp:extent cx="897890" cy="991870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1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A8EC" w14:textId="77777777" w:rsidR="006B3C6D" w:rsidRDefault="00E154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tab/>
    </w:r>
    <w:r>
      <w:rPr>
        <w:rFonts w:eastAsia="Century Gothic" w:cs="Century Gothic"/>
        <w:color w:val="000000"/>
      </w:rPr>
      <w:tab/>
    </w:r>
    <w:r>
      <w:rPr>
        <w:rFonts w:eastAsia="Century Gothic" w:cs="Century Gothic"/>
        <w:noProof/>
        <w:color w:val="000000"/>
        <w:lang w:val="pt-BR" w:eastAsia="pt-BR"/>
      </w:rPr>
      <w:drawing>
        <wp:inline distT="0" distB="0" distL="0" distR="0" wp14:anchorId="74B2B8EC" wp14:editId="076D36C4">
          <wp:extent cx="897890" cy="991870"/>
          <wp:effectExtent l="0" t="0" r="0" b="0"/>
          <wp:docPr id="4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1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E168A"/>
    <w:multiLevelType w:val="multilevel"/>
    <w:tmpl w:val="A7804B96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7ECB0016"/>
    <w:multiLevelType w:val="multilevel"/>
    <w:tmpl w:val="11F2F51C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6D"/>
    <w:rsid w:val="001B0587"/>
    <w:rsid w:val="002B3671"/>
    <w:rsid w:val="00410BD6"/>
    <w:rsid w:val="006007E8"/>
    <w:rsid w:val="006B3C6D"/>
    <w:rsid w:val="0073524A"/>
    <w:rsid w:val="00772B4C"/>
    <w:rsid w:val="0081295E"/>
    <w:rsid w:val="009339FF"/>
    <w:rsid w:val="00B4049B"/>
    <w:rsid w:val="00B47A83"/>
    <w:rsid w:val="00B70799"/>
    <w:rsid w:val="00E15423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62D9"/>
  <w15:docId w15:val="{896A094A-3756-45F7-B40E-5798BE4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4C"/>
    <w:pPr>
      <w:suppressAutoHyphens/>
    </w:pPr>
    <w:rPr>
      <w:rFonts w:eastAsia="Times New Roman" w:cs="Times New Roman"/>
      <w:lang w:val="en-US" w:eastAsia="ar-SA"/>
    </w:rPr>
  </w:style>
  <w:style w:type="paragraph" w:styleId="Ttulo1">
    <w:name w:val="heading 1"/>
    <w:next w:val="Normal"/>
    <w:qFormat/>
    <w:pPr>
      <w:numPr>
        <w:numId w:val="1"/>
      </w:numPr>
      <w:suppressAutoHyphens/>
      <w:spacing w:before="0" w:after="80"/>
      <w:jc w:val="left"/>
      <w:outlineLvl w:val="0"/>
    </w:pPr>
    <w:rPr>
      <w:rFonts w:eastAsia="Arial" w:cs="Arial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qFormat/>
    <w:pPr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spacing w:before="240"/>
      <w:jc w:val="center"/>
    </w:pPr>
    <w:rPr>
      <w:rFonts w:ascii="Cambria" w:hAnsi="Cambria"/>
      <w:b/>
      <w:bCs/>
      <w:kern w:val="2"/>
      <w:sz w:val="32"/>
      <w:szCs w:val="32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  <w:sz w:val="16"/>
      <w:szCs w:val="16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-Absatz-Standardschriftart111">
    <w:name w:val="WW-Absatz-Standardschriftart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6z0">
    <w:name w:val="WW8Num26z0"/>
    <w:qFormat/>
    <w:rPr>
      <w:rFonts w:ascii="Symbol" w:hAnsi="Symbol"/>
      <w:color w:val="auto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1z0">
    <w:name w:val="WW8Num31z0"/>
    <w:qFormat/>
    <w:rPr>
      <w:rFonts w:ascii="Symbol" w:hAnsi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rFonts w:ascii="Symbol" w:hAnsi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0">
    <w:name w:val="WW8Num34z0"/>
    <w:qFormat/>
    <w:rPr>
      <w:rFonts w:ascii="Symbol" w:hAnsi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6z1">
    <w:name w:val="WW8Num36z1"/>
    <w:qFormat/>
    <w:rPr>
      <w:rFonts w:ascii="Symbol" w:hAnsi="Symbol"/>
    </w:rPr>
  </w:style>
  <w:style w:type="character" w:customStyle="1" w:styleId="WW8Num37z0">
    <w:name w:val="WW8Num37z0"/>
    <w:qFormat/>
    <w:rPr>
      <w:rFonts w:ascii="Symbol" w:hAnsi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9z0">
    <w:name w:val="WW8Num39z0"/>
    <w:qFormat/>
    <w:rPr>
      <w:rFonts w:ascii="Symbol" w:hAnsi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40z0">
    <w:name w:val="WW8Num40z0"/>
    <w:qFormat/>
    <w:rPr>
      <w:rFonts w:ascii="Symbol" w:hAnsi="Symbol"/>
      <w:sz w:val="16"/>
      <w:szCs w:val="16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3">
    <w:name w:val="WW8Num40z3"/>
    <w:qFormat/>
    <w:rPr>
      <w:rFonts w:ascii="Symbol" w:hAnsi="Symbol"/>
    </w:rPr>
  </w:style>
  <w:style w:type="character" w:customStyle="1" w:styleId="WW8Num42z0">
    <w:name w:val="WW8Num42z0"/>
    <w:qFormat/>
    <w:rPr>
      <w:rFonts w:ascii="Symbol" w:hAnsi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entury Gothic" w:hAnsi="Century Gothic" w:cs="Arial"/>
      <w:sz w:val="44"/>
      <w:szCs w:val="44"/>
      <w:lang w:val="en-US" w:eastAsia="ar-SA" w:bidi="ar-SA"/>
    </w:rPr>
  </w:style>
  <w:style w:type="character" w:customStyle="1" w:styleId="ProposalChar">
    <w:name w:val="Proposal Char"/>
    <w:qFormat/>
    <w:rPr>
      <w:rFonts w:ascii="Century Gothic" w:hAnsi="Century Gothic" w:cs="Arial"/>
      <w:color w:val="C0C0C0"/>
      <w:sz w:val="88"/>
      <w:szCs w:val="44"/>
      <w:lang w:val="en-US"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semiHidden/>
    <w:qFormat/>
    <w:rPr>
      <w:rFonts w:ascii="Century Gothic" w:hAnsi="Century Gothic"/>
      <w:sz w:val="18"/>
    </w:rPr>
  </w:style>
  <w:style w:type="character" w:customStyle="1" w:styleId="FootnoteCharacters">
    <w:name w:val="Footnote Characters"/>
    <w:uiPriority w:val="99"/>
    <w:semiHidden/>
    <w:unhideWhenUsed/>
    <w:qFormat/>
    <w:rsid w:val="00C57319"/>
    <w:rPr>
      <w:vertAlign w:val="superscript"/>
    </w:rPr>
  </w:style>
  <w:style w:type="character" w:styleId="Forte">
    <w:name w:val="Strong"/>
    <w:qFormat/>
    <w:rPr>
      <w:b/>
      <w:bCs/>
    </w:rPr>
  </w:style>
  <w:style w:type="character" w:customStyle="1" w:styleId="Pr-formataoHTMLChar">
    <w:name w:val="Pré-formatação HTML Char"/>
    <w:qFormat/>
    <w:rPr>
      <w:rFonts w:ascii="Courier New" w:hAnsi="Courier New" w:cs="Courier New"/>
      <w:lang w:val="pt-BR" w:eastAsia="ar-SA" w:bidi="ar-SA"/>
    </w:rPr>
  </w:style>
  <w:style w:type="character" w:customStyle="1" w:styleId="RodapChar">
    <w:name w:val="Rodapé Char"/>
    <w:uiPriority w:val="99"/>
    <w:qFormat/>
    <w:rPr>
      <w:rFonts w:ascii="Century Gothic" w:hAnsi="Century Gothic"/>
      <w:lang w:val="en-US" w:eastAsia="ar-SA" w:bidi="ar-SA"/>
    </w:rPr>
  </w:style>
  <w:style w:type="character" w:customStyle="1" w:styleId="Ttulo2Char">
    <w:name w:val="Título 2 Char"/>
    <w:qFormat/>
    <w:rPr>
      <w:rFonts w:ascii="Century Gothic" w:hAnsi="Century Gothic" w:cs="Arial"/>
      <w:sz w:val="32"/>
      <w:szCs w:val="32"/>
      <w:lang w:val="en-US"/>
    </w:rPr>
  </w:style>
  <w:style w:type="character" w:customStyle="1" w:styleId="Pr-formataoHTMLChar1">
    <w:name w:val="Pré-formatação HTML Char1"/>
    <w:qFormat/>
    <w:rPr>
      <w:rFonts w:ascii="Courier New" w:hAnsi="Courier New" w:cs="Courier New"/>
    </w:rPr>
  </w:style>
  <w:style w:type="character" w:customStyle="1" w:styleId="Ttulo3Char">
    <w:name w:val="Título 3 Char"/>
    <w:qFormat/>
    <w:rPr>
      <w:rFonts w:ascii="Century Gothic" w:hAnsi="Century Gothic" w:cs="Arial"/>
      <w:b/>
      <w:bCs/>
      <w:sz w:val="26"/>
      <w:szCs w:val="26"/>
    </w:rPr>
  </w:style>
  <w:style w:type="character" w:customStyle="1" w:styleId="TextodenotaderodapChar">
    <w:name w:val="Texto de nota de rodapé Char"/>
    <w:qFormat/>
    <w:rPr>
      <w:rFonts w:ascii="Arial" w:hAnsi="Arial"/>
      <w:color w:val="000000"/>
      <w:sz w:val="18"/>
    </w:rPr>
  </w:style>
  <w:style w:type="character" w:customStyle="1" w:styleId="WW-FootnoteCharacters">
    <w:name w:val="WW-Footnote Characters"/>
    <w:qFormat/>
    <w:rPr>
      <w:vertAlign w:val="superscript"/>
    </w:rPr>
  </w:style>
  <w:style w:type="character" w:customStyle="1" w:styleId="MTDisplayEquationChar">
    <w:name w:val="MTDisplayEquation Char"/>
    <w:qFormat/>
    <w:rPr>
      <w:rFonts w:ascii="Century Gothic" w:hAnsi="Century Gothic"/>
    </w:rPr>
  </w:style>
  <w:style w:type="character" w:customStyle="1" w:styleId="nfakpe">
    <w:name w:val="nfakpe"/>
    <w:basedOn w:val="Fontepargpadro1"/>
    <w:qFormat/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SubttuloChar">
    <w:name w:val="Subtítulo Char"/>
    <w:qFormat/>
    <w:rPr>
      <w:rFonts w:ascii="Cambria" w:eastAsia="Times New Roman" w:hAnsi="Cambria" w:cs="Times New Roman"/>
      <w:sz w:val="24"/>
      <w:szCs w:val="24"/>
      <w:lang w:val="en-US"/>
    </w:rPr>
  </w:style>
  <w:style w:type="character" w:styleId="nfase">
    <w:name w:val="Emphasis"/>
    <w:qFormat/>
    <w:rPr>
      <w:iCs/>
      <w:sz w:val="16"/>
      <w:szCs w:val="16"/>
    </w:rPr>
  </w:style>
  <w:style w:type="character" w:customStyle="1" w:styleId="FootnoteChar">
    <w:name w:val="Footnote Char"/>
    <w:qFormat/>
    <w:rPr>
      <w:rFonts w:ascii="Arial" w:hAnsi="Arial"/>
      <w:color w:val="000000"/>
      <w:sz w:val="18"/>
      <w:lang w:val="en-US"/>
    </w:rPr>
  </w:style>
  <w:style w:type="character" w:customStyle="1" w:styleId="texto">
    <w:name w:val="texto"/>
    <w:basedOn w:val="Fontepargpadro1"/>
    <w:qFormat/>
  </w:style>
  <w:style w:type="character" w:customStyle="1" w:styleId="text1">
    <w:name w:val="text1"/>
    <w:basedOn w:val="Fontepargpadro1"/>
    <w:qFormat/>
  </w:style>
  <w:style w:type="character" w:customStyle="1" w:styleId="style41">
    <w:name w:val="style41"/>
    <w:basedOn w:val="Fontepargpadro1"/>
    <w:qFormat/>
  </w:style>
  <w:style w:type="character" w:customStyle="1" w:styleId="TabeladeGrade1Clara1">
    <w:name w:val="Tabela de Grade 1 Clara1"/>
    <w:qFormat/>
    <w:rPr>
      <w:b/>
      <w:bCs/>
      <w:smallCaps/>
      <w:spacing w:val="5"/>
    </w:rPr>
  </w:style>
  <w:style w:type="character" w:customStyle="1" w:styleId="longtext">
    <w:name w:val="long_text"/>
    <w:basedOn w:val="Fontepargpadro1"/>
    <w:qFormat/>
  </w:style>
  <w:style w:type="character" w:customStyle="1" w:styleId="mediumtext">
    <w:name w:val="medium_text"/>
    <w:basedOn w:val="Fontepargpadro1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TextodenotadefimChar">
    <w:name w:val="Texto de nota de fim Char"/>
    <w:link w:val="Textodenotadefim"/>
    <w:uiPriority w:val="99"/>
    <w:semiHidden/>
    <w:qFormat/>
    <w:rsid w:val="00C57319"/>
    <w:rPr>
      <w:rFonts w:ascii="Century Gothic" w:hAnsi="Century Gothic"/>
      <w:lang w:val="en-US" w:eastAsia="ar-SA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7319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styleId="Refdecomentrio">
    <w:name w:val="annotation reference"/>
    <w:uiPriority w:val="99"/>
    <w:semiHidden/>
    <w:unhideWhenUsed/>
    <w:qFormat/>
    <w:rsid w:val="002A163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2A163A"/>
    <w:rPr>
      <w:rFonts w:ascii="Century Gothic" w:hAnsi="Century Gothic"/>
      <w:lang w:val="en-US"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A163A"/>
    <w:rPr>
      <w:rFonts w:ascii="Century Gothic" w:hAnsi="Century Gothic"/>
      <w:b/>
      <w:bCs/>
      <w:lang w:val="en-US" w:eastAsia="ar-SA"/>
    </w:rPr>
  </w:style>
  <w:style w:type="character" w:customStyle="1" w:styleId="Vnculodendice">
    <w:name w:val="Vínculo de índice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200" w:line="260" w:lineRule="exact"/>
      <w:ind w:left="864"/>
    </w:pPr>
    <w:rPr>
      <w:sz w:val="18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roposal">
    <w:name w:val="Proposal"/>
    <w:qFormat/>
    <w:pPr>
      <w:pBdr>
        <w:top w:val="single" w:sz="8" w:space="0" w:color="C0C0C0"/>
      </w:pBdr>
      <w:suppressAutoHyphens/>
      <w:spacing w:before="1100" w:after="0"/>
      <w:jc w:val="left"/>
    </w:pPr>
    <w:rPr>
      <w:rFonts w:eastAsia="Arial" w:cs="Arial"/>
      <w:color w:val="C0C0C0"/>
      <w:sz w:val="88"/>
      <w:szCs w:val="44"/>
      <w:lang w:val="en-US" w:eastAsia="ar-SA"/>
    </w:rPr>
  </w:style>
  <w:style w:type="paragraph" w:customStyle="1" w:styleId="OrgNameandDate">
    <w:name w:val="Org Name and Date"/>
    <w:qFormat/>
    <w:pPr>
      <w:suppressAutoHyphens/>
      <w:spacing w:before="0" w:after="0"/>
      <w:jc w:val="left"/>
    </w:pPr>
    <w:rPr>
      <w:rFonts w:eastAsia="Arial" w:cs="Times New Roman"/>
      <w:sz w:val="28"/>
      <w:szCs w:val="28"/>
      <w:lang w:val="en-US" w:eastAsia="ar-SA"/>
    </w:rPr>
  </w:style>
  <w:style w:type="paragraph" w:customStyle="1" w:styleId="ProjectName">
    <w:name w:val="Project Name"/>
    <w:qFormat/>
    <w:pPr>
      <w:suppressAutoHyphens/>
      <w:spacing w:before="100" w:after="0"/>
      <w:jc w:val="left"/>
    </w:pPr>
    <w:rPr>
      <w:rFonts w:eastAsia="Arial" w:cs="Times New Roman"/>
      <w:sz w:val="44"/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mrio1">
    <w:name w:val="toc 1"/>
    <w:next w:val="Normal"/>
    <w:uiPriority w:val="39"/>
    <w:pPr>
      <w:tabs>
        <w:tab w:val="left" w:pos="720"/>
        <w:tab w:val="right" w:leader="dot" w:pos="8630"/>
      </w:tabs>
      <w:suppressAutoHyphens/>
      <w:spacing w:before="360" w:after="0"/>
      <w:jc w:val="left"/>
    </w:pPr>
    <w:rPr>
      <w:rFonts w:eastAsia="Arial" w:cs="Arial"/>
      <w:bCs/>
      <w:caps/>
      <w:lang w:val="en-US" w:eastAsia="ar-SA"/>
    </w:rPr>
  </w:style>
  <w:style w:type="paragraph" w:customStyle="1" w:styleId="TableText">
    <w:name w:val="Table Text"/>
    <w:qFormat/>
    <w:pPr>
      <w:suppressAutoHyphens/>
      <w:spacing w:before="0" w:after="0"/>
      <w:jc w:val="left"/>
    </w:pPr>
    <w:rPr>
      <w:rFonts w:eastAsia="Arial" w:cs="Times New Roman"/>
      <w:sz w:val="16"/>
      <w:lang w:val="en-US" w:eastAsia="ar-SA"/>
    </w:rPr>
  </w:style>
  <w:style w:type="paragraph" w:customStyle="1" w:styleId="Total">
    <w:name w:val="Total"/>
    <w:basedOn w:val="TableText"/>
    <w:qFormat/>
    <w:pPr>
      <w:jc w:val="right"/>
    </w:pPr>
    <w:rPr>
      <w:b/>
      <w:bCs/>
    </w:rPr>
  </w:style>
  <w:style w:type="paragraph" w:styleId="Sumrio2">
    <w:name w:val="toc 2"/>
    <w:basedOn w:val="Normal"/>
    <w:next w:val="Normal"/>
    <w:uiPriority w:val="39"/>
    <w:pPr>
      <w:spacing w:before="240"/>
    </w:pPr>
    <w:rPr>
      <w:b/>
      <w:bCs/>
    </w:rPr>
  </w:style>
  <w:style w:type="paragraph" w:styleId="Sumrio3">
    <w:name w:val="toc 3"/>
    <w:basedOn w:val="Normal"/>
    <w:next w:val="Normal"/>
    <w:semiHidden/>
    <w:pPr>
      <w:ind w:left="240"/>
    </w:pPr>
  </w:style>
  <w:style w:type="paragraph" w:styleId="Sumrio4">
    <w:name w:val="toc 4"/>
    <w:basedOn w:val="Normal"/>
    <w:next w:val="Normal"/>
    <w:semiHidden/>
    <w:pPr>
      <w:ind w:left="480"/>
    </w:pPr>
  </w:style>
  <w:style w:type="paragraph" w:styleId="Sumrio5">
    <w:name w:val="toc 5"/>
    <w:basedOn w:val="Normal"/>
    <w:next w:val="Normal"/>
    <w:semiHidden/>
    <w:pPr>
      <w:ind w:left="720"/>
    </w:pPr>
  </w:style>
  <w:style w:type="paragraph" w:styleId="Sumrio6">
    <w:name w:val="toc 6"/>
    <w:basedOn w:val="Normal"/>
    <w:next w:val="Normal"/>
    <w:semiHidden/>
    <w:pPr>
      <w:ind w:left="96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40"/>
    </w:pPr>
  </w:style>
  <w:style w:type="paragraph" w:styleId="Sumrio9">
    <w:name w:val="toc 9"/>
    <w:basedOn w:val="Normal"/>
    <w:next w:val="Normal"/>
    <w:semiHidden/>
    <w:pPr>
      <w:ind w:left="1680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qFormat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qFormat/>
    <w:rPr>
      <w:b/>
      <w:color w:val="000000"/>
      <w:szCs w:val="16"/>
    </w:rPr>
  </w:style>
  <w:style w:type="paragraph" w:styleId="Textodenotaderodap">
    <w:name w:val="footnote text"/>
    <w:basedOn w:val="Normal"/>
    <w:semiHidden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qFormat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  <w:qFormat/>
  </w:style>
  <w:style w:type="paragraph" w:styleId="Pr-formataoHTML">
    <w:name w:val="HTML Preformatted"/>
    <w:basedOn w:val="Normal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WW-Default">
    <w:name w:val="WW-Default"/>
    <w:qFormat/>
    <w:pPr>
      <w:suppressAutoHyphens/>
      <w:spacing w:before="0" w:after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qFormat/>
    <w:pPr>
      <w:tabs>
        <w:tab w:val="center" w:pos="4320"/>
        <w:tab w:val="right" w:pos="8640"/>
      </w:tabs>
    </w:pPr>
    <w:rPr>
      <w:lang w:val="pt-BR"/>
    </w:rPr>
  </w:style>
  <w:style w:type="paragraph" w:styleId="Subttulo">
    <w:name w:val="Subtitle"/>
    <w:basedOn w:val="Normal"/>
    <w:next w:val="Normal"/>
    <w:pPr>
      <w:jc w:val="center"/>
    </w:pPr>
    <w:rPr>
      <w:rFonts w:ascii="Cambria" w:eastAsia="Cambria" w:hAnsi="Cambria" w:cs="Cambria"/>
      <w:sz w:val="24"/>
      <w:szCs w:val="24"/>
    </w:rPr>
  </w:style>
  <w:style w:type="paragraph" w:customStyle="1" w:styleId="WW-Footnote">
    <w:name w:val="WW-Footnote"/>
    <w:basedOn w:val="Textodenotaderodap"/>
    <w:qFormat/>
  </w:style>
  <w:style w:type="paragraph" w:styleId="NormalWeb">
    <w:name w:val="Normal (Web)"/>
    <w:basedOn w:val="Normal"/>
    <w:semiHidden/>
    <w:qFormat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qFormat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qFormat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qFormat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qFormat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Sumrio10">
    <w:name w:val="Sumário 10"/>
    <w:basedOn w:val="ndice"/>
    <w:qFormat/>
    <w:pPr>
      <w:tabs>
        <w:tab w:val="right" w:leader="dot" w:pos="7425"/>
      </w:tabs>
      <w:ind w:left="2547" w:firstLine="0"/>
    </w:p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ela">
    <w:name w:val="Tabela"/>
    <w:basedOn w:val="Caption1"/>
    <w:qFormat/>
  </w:style>
  <w:style w:type="paragraph" w:customStyle="1" w:styleId="Ilustrao">
    <w:name w:val="Ilustração"/>
    <w:basedOn w:val="Caption1"/>
    <w:qFormat/>
  </w:style>
  <w:style w:type="paragraph" w:customStyle="1" w:styleId="Figura">
    <w:name w:val="Figura"/>
    <w:basedOn w:val="Caption1"/>
    <w:qFormat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7319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A16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163A"/>
    <w:rPr>
      <w:b/>
      <w:bCs/>
    </w:rPr>
  </w:style>
  <w:style w:type="paragraph" w:styleId="Ttulodendiceremissivo">
    <w:name w:val="index heading"/>
    <w:basedOn w:val="Ttulo10"/>
    <w:pPr>
      <w:suppressLineNumbers/>
      <w:ind w:firstLine="0"/>
    </w:pPr>
    <w:rPr>
      <w:b/>
      <w:bCs/>
      <w:sz w:val="32"/>
      <w:szCs w:val="32"/>
    </w:rPr>
  </w:style>
  <w:style w:type="paragraph" w:styleId="CabealhodoSumrio">
    <w:name w:val="TOC Heading"/>
    <w:basedOn w:val="Ttulodendiceremissivo"/>
  </w:style>
  <w:style w:type="table" w:styleId="Tabelacomgrade">
    <w:name w:val="Table Grid"/>
    <w:basedOn w:val="Tabelanormal"/>
    <w:uiPriority w:val="59"/>
    <w:rsid w:val="008D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73524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sbran.com.br/rasbran/article/view/102/139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ho.int/news-room/fact-sheets/detail/food-safet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mvsp.gov.br/contaminacao-cruzada-em-alimento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ortal.anvisa.gov.br/wps/wcm/connect/aa0bc300474575dd83f2d73fbc4c6735/RDC_N_216_DE_15_DE_SETEMBRO_DE_2004.pdf?MOD=AJPERE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cielo.br/j/cagro/a/rV7JMkk6HZ9m5RBbwyCh4bn/?format=pdf&amp;lang=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EwP9j8y6tCtHWJ/2Oi9GU2WgQ==">CgMxLjAaHwoBMBIaChgICVIUChJ0YWJsZS5jMHE3cDU1ankwcnoaHgoBMRIZChcICVITChF0YWJsZS5tc200NzJkemFoNjIIaC5namRneHMyCWguMmV0OTJwMDIIaC5sbnhiejkyCWguNDRzaW5pbzIJaC4yanhzeHFoMghoLnozMzd5YTgAciExT3lUMElHUmlfY2c4T3lnZGctdXBlRG5ZX3NJUGgzdzk=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2B577E-0FEC-4252-AE5E-AB484CB1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1537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Novaes</dc:creator>
  <cp:keywords/>
  <dc:description/>
  <cp:lastModifiedBy>Cliente</cp:lastModifiedBy>
  <cp:revision>1</cp:revision>
  <dcterms:created xsi:type="dcterms:W3CDTF">2024-08-30T19:44:00Z</dcterms:created>
  <dcterms:modified xsi:type="dcterms:W3CDTF">2024-09-12T01:50:00Z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false</vt:lpwstr>
  </property>
  <property fmtid="{D5CDD505-2E9C-101B-9397-08002B2CF9AE}" pid="3" name="_TemplateID">
    <vt:lpwstr>TC060891651033</vt:lpwstr>
  </property>
</Properties>
</file>