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DEC" w:rsidRPr="00805B27" w:rsidRDefault="008B5DEC" w:rsidP="008B5DEC">
      <w:pPr>
        <w:tabs>
          <w:tab w:val="left" w:pos="24807"/>
        </w:tabs>
        <w:jc w:val="center"/>
        <w:rPr>
          <w:b/>
          <w:sz w:val="24"/>
          <w:szCs w:val="24"/>
        </w:rPr>
      </w:pPr>
      <w:r w:rsidRPr="00805B27">
        <w:rPr>
          <w:b/>
          <w:sz w:val="24"/>
          <w:szCs w:val="24"/>
        </w:rPr>
        <w:t>AVALIAÇÃO DO TEOR DE CARBONO EM AMOSTRAS DE SOLUÇÃO SOLO EM DIVERSOS AGROSSISTEMAS DO MUNICÍPIO DE IGARAPÉ AÇÚ – PARÁ</w:t>
      </w:r>
    </w:p>
    <w:p w:rsidR="008B5DEC" w:rsidRPr="004F6258" w:rsidRDefault="008B5DEC" w:rsidP="008B5DEC">
      <w:pPr>
        <w:jc w:val="center"/>
        <w:rPr>
          <w:b/>
          <w:sz w:val="24"/>
          <w:szCs w:val="24"/>
        </w:rPr>
      </w:pPr>
    </w:p>
    <w:p w:rsidR="008B5DEC" w:rsidRPr="00300776" w:rsidRDefault="008B5DEC" w:rsidP="008B5DEC">
      <w:pPr>
        <w:jc w:val="center"/>
        <w:rPr>
          <w:rFonts w:ascii="Arial" w:hAnsi="Arial" w:cs="Arial"/>
          <w:b/>
          <w:sz w:val="24"/>
          <w:szCs w:val="24"/>
        </w:rPr>
      </w:pPr>
      <w:r w:rsidRPr="00300776">
        <w:rPr>
          <w:sz w:val="24"/>
          <w:szCs w:val="24"/>
        </w:rPr>
        <w:t>Leonardo Lemos Almeida</w:t>
      </w:r>
      <w:r w:rsidRPr="004F6258">
        <w:rPr>
          <w:sz w:val="24"/>
          <w:szCs w:val="24"/>
          <w:vertAlign w:val="superscript"/>
        </w:rPr>
        <w:t>1</w:t>
      </w:r>
      <w:r>
        <w:rPr>
          <w:sz w:val="24"/>
          <w:szCs w:val="24"/>
        </w:rPr>
        <w:t>;</w:t>
      </w:r>
      <w:r w:rsidRPr="004F6258">
        <w:rPr>
          <w:sz w:val="24"/>
          <w:szCs w:val="24"/>
        </w:rPr>
        <w:t xml:space="preserve"> </w:t>
      </w:r>
      <w:r w:rsidR="00E32F25" w:rsidRPr="00300776">
        <w:rPr>
          <w:sz w:val="24"/>
          <w:szCs w:val="24"/>
        </w:rPr>
        <w:t>Patr</w:t>
      </w:r>
      <w:r w:rsidR="008F44A8">
        <w:rPr>
          <w:sz w:val="24"/>
          <w:szCs w:val="24"/>
        </w:rPr>
        <w:t>i</w:t>
      </w:r>
      <w:bookmarkStart w:id="0" w:name="_GoBack"/>
      <w:bookmarkEnd w:id="0"/>
      <w:r w:rsidR="00E32F25" w:rsidRPr="00300776">
        <w:rPr>
          <w:sz w:val="24"/>
          <w:szCs w:val="24"/>
        </w:rPr>
        <w:t>cia</w:t>
      </w:r>
      <w:r w:rsidRPr="00300776">
        <w:rPr>
          <w:sz w:val="24"/>
          <w:szCs w:val="24"/>
        </w:rPr>
        <w:t xml:space="preserve"> Silva dos Santos</w:t>
      </w:r>
      <w:r w:rsidRPr="004F6258">
        <w:rPr>
          <w:sz w:val="24"/>
          <w:szCs w:val="24"/>
          <w:vertAlign w:val="superscript"/>
        </w:rPr>
        <w:t>2</w:t>
      </w:r>
      <w:r>
        <w:rPr>
          <w:sz w:val="24"/>
          <w:szCs w:val="24"/>
        </w:rPr>
        <w:t xml:space="preserve">; </w:t>
      </w:r>
      <w:r w:rsidRPr="00300776">
        <w:rPr>
          <w:sz w:val="24"/>
          <w:szCs w:val="24"/>
        </w:rPr>
        <w:t>Juliana Feitosa Felizzola</w:t>
      </w:r>
      <w:r>
        <w:rPr>
          <w:sz w:val="24"/>
          <w:szCs w:val="24"/>
        </w:rPr>
        <w:t xml:space="preserve">³ </w:t>
      </w:r>
      <w:r w:rsidRPr="004F6258">
        <w:rPr>
          <w:sz w:val="24"/>
          <w:szCs w:val="24"/>
        </w:rPr>
        <w:t xml:space="preserve"> </w:t>
      </w:r>
    </w:p>
    <w:p w:rsidR="008B5DEC" w:rsidRPr="004F6258" w:rsidRDefault="008B5DEC" w:rsidP="008B5DEC">
      <w:pPr>
        <w:spacing w:line="360" w:lineRule="auto"/>
        <w:jc w:val="center"/>
        <w:rPr>
          <w:sz w:val="24"/>
          <w:szCs w:val="24"/>
        </w:rPr>
      </w:pPr>
    </w:p>
    <w:p w:rsidR="008B5DEC" w:rsidRDefault="008B5DEC" w:rsidP="008B5DEC">
      <w:pPr>
        <w:pStyle w:val="Rodap"/>
        <w:jc w:val="center"/>
        <w:rPr>
          <w:sz w:val="24"/>
          <w:szCs w:val="24"/>
        </w:rPr>
      </w:pPr>
      <w:r w:rsidRPr="004F6258">
        <w:rPr>
          <w:sz w:val="24"/>
          <w:szCs w:val="24"/>
          <w:vertAlign w:val="superscript"/>
        </w:rPr>
        <w:t xml:space="preserve">1 </w:t>
      </w:r>
      <w:r>
        <w:rPr>
          <w:sz w:val="24"/>
          <w:szCs w:val="24"/>
        </w:rPr>
        <w:t>Graduando do Curso de Química. UFPA</w:t>
      </w:r>
      <w:r w:rsidRPr="004F6258">
        <w:rPr>
          <w:sz w:val="24"/>
          <w:szCs w:val="24"/>
        </w:rPr>
        <w:t xml:space="preserve">. </w:t>
      </w:r>
      <w:proofErr w:type="spellStart"/>
      <w:r>
        <w:rPr>
          <w:sz w:val="24"/>
          <w:szCs w:val="24"/>
        </w:rPr>
        <w:t>Email</w:t>
      </w:r>
      <w:proofErr w:type="spellEnd"/>
      <w:r>
        <w:rPr>
          <w:sz w:val="24"/>
          <w:szCs w:val="24"/>
        </w:rPr>
        <w:t xml:space="preserve">: </w:t>
      </w:r>
      <w:hyperlink r:id="rId8" w:history="1">
        <w:r w:rsidRPr="002254A1">
          <w:rPr>
            <w:rStyle w:val="Hyperlink"/>
            <w:sz w:val="24"/>
            <w:szCs w:val="24"/>
          </w:rPr>
          <w:t>leolemos202@gmail.com</w:t>
        </w:r>
      </w:hyperlink>
    </w:p>
    <w:p w:rsidR="008B5DEC" w:rsidRDefault="008B5DEC" w:rsidP="008B5DEC">
      <w:pPr>
        <w:pStyle w:val="Rodap"/>
        <w:jc w:val="center"/>
        <w:rPr>
          <w:sz w:val="24"/>
          <w:szCs w:val="24"/>
        </w:rPr>
      </w:pPr>
      <w:r w:rsidRPr="004F6258">
        <w:rPr>
          <w:sz w:val="24"/>
          <w:szCs w:val="24"/>
          <w:vertAlign w:val="superscript"/>
        </w:rPr>
        <w:t xml:space="preserve">2 </w:t>
      </w:r>
      <w:r>
        <w:rPr>
          <w:sz w:val="24"/>
          <w:szCs w:val="24"/>
        </w:rPr>
        <w:t>Graduanda do Curso de Engenharia Ambiental. Faculdade Estácio de Belém</w:t>
      </w:r>
      <w:r w:rsidRPr="004F6258">
        <w:rPr>
          <w:sz w:val="24"/>
          <w:szCs w:val="24"/>
        </w:rPr>
        <w:t xml:space="preserve">. </w:t>
      </w:r>
      <w:proofErr w:type="spellStart"/>
      <w:r>
        <w:rPr>
          <w:sz w:val="24"/>
          <w:szCs w:val="24"/>
        </w:rPr>
        <w:t>Email</w:t>
      </w:r>
      <w:proofErr w:type="spellEnd"/>
      <w:r>
        <w:rPr>
          <w:sz w:val="24"/>
          <w:szCs w:val="24"/>
        </w:rPr>
        <w:t xml:space="preserve">: </w:t>
      </w:r>
      <w:hyperlink r:id="rId9" w:history="1">
        <w:r w:rsidRPr="002254A1">
          <w:rPr>
            <w:rStyle w:val="Hyperlink"/>
            <w:sz w:val="24"/>
            <w:szCs w:val="24"/>
          </w:rPr>
          <w:t>ssilva.patriciasantos@gmail.com</w:t>
        </w:r>
      </w:hyperlink>
    </w:p>
    <w:p w:rsidR="008B5DEC" w:rsidRDefault="008B5DEC" w:rsidP="008B5DEC">
      <w:pPr>
        <w:pStyle w:val="Rodap"/>
        <w:jc w:val="center"/>
        <w:rPr>
          <w:sz w:val="24"/>
          <w:szCs w:val="24"/>
        </w:rPr>
      </w:pPr>
      <w:r>
        <w:rPr>
          <w:sz w:val="24"/>
          <w:szCs w:val="24"/>
        </w:rPr>
        <w:t xml:space="preserve">³ </w:t>
      </w:r>
      <w:r w:rsidR="000E67E9">
        <w:rPr>
          <w:sz w:val="24"/>
          <w:szCs w:val="24"/>
        </w:rPr>
        <w:t>Doutora em Química.</w:t>
      </w:r>
      <w:r>
        <w:rPr>
          <w:sz w:val="24"/>
          <w:szCs w:val="24"/>
        </w:rPr>
        <w:t xml:space="preserve"> Embrapa Amazônia Oriental.</w:t>
      </w:r>
      <w:r w:rsidRPr="004315CA">
        <w:rPr>
          <w:sz w:val="24"/>
          <w:szCs w:val="24"/>
        </w:rPr>
        <w:t xml:space="preserve"> E-mail: </w:t>
      </w:r>
      <w:hyperlink r:id="rId10" w:history="1">
        <w:r w:rsidRPr="002254A1">
          <w:rPr>
            <w:rStyle w:val="Hyperlink"/>
            <w:sz w:val="24"/>
            <w:szCs w:val="24"/>
          </w:rPr>
          <w:t>juliana.felizzola@embrapa.br</w:t>
        </w:r>
      </w:hyperlink>
    </w:p>
    <w:p w:rsidR="008B5DEC" w:rsidRDefault="008B5DEC" w:rsidP="008B5DEC">
      <w:pPr>
        <w:rPr>
          <w:b/>
          <w:sz w:val="24"/>
          <w:szCs w:val="24"/>
        </w:rPr>
      </w:pPr>
    </w:p>
    <w:p w:rsidR="008B5DEC" w:rsidRPr="0088419D" w:rsidRDefault="008B5DEC" w:rsidP="008B5DEC">
      <w:pPr>
        <w:jc w:val="center"/>
        <w:rPr>
          <w:b/>
          <w:sz w:val="24"/>
          <w:szCs w:val="24"/>
        </w:rPr>
      </w:pPr>
      <w:r w:rsidRPr="004F6258">
        <w:rPr>
          <w:b/>
          <w:sz w:val="24"/>
          <w:szCs w:val="24"/>
        </w:rPr>
        <w:t xml:space="preserve">RESUMO </w:t>
      </w:r>
    </w:p>
    <w:p w:rsidR="008B5DEC" w:rsidRDefault="00426F37" w:rsidP="008B5DEC">
      <w:pPr>
        <w:jc w:val="both"/>
        <w:rPr>
          <w:sz w:val="24"/>
          <w:szCs w:val="28"/>
        </w:rPr>
      </w:pPr>
      <w:r w:rsidRPr="00170278">
        <w:rPr>
          <w:bCs/>
          <w:sz w:val="24"/>
          <w:szCs w:val="28"/>
          <w:lang w:val="pt-PT"/>
        </w:rPr>
        <w:t>O solo é constituído por partes sólidas, líquidas e gasosas, sendo tridimensionais dinâmicos e formados por materiais minerais e orgânicos que ocupam a maior parte do manto superficial, presentes nas extensões continentais da terra</w:t>
      </w:r>
      <w:r>
        <w:rPr>
          <w:bCs/>
          <w:sz w:val="24"/>
          <w:szCs w:val="28"/>
          <w:lang w:val="pt-PT"/>
        </w:rPr>
        <w:t>. Sendo assim, o</w:t>
      </w:r>
      <w:r w:rsidR="00AB2550" w:rsidRPr="00AB2550">
        <w:rPr>
          <w:bCs/>
          <w:sz w:val="24"/>
          <w:szCs w:val="28"/>
          <w:lang w:val="pt-PT"/>
        </w:rPr>
        <w:t xml:space="preserve"> </w:t>
      </w:r>
      <w:r>
        <w:rPr>
          <w:bCs/>
          <w:sz w:val="24"/>
          <w:szCs w:val="28"/>
          <w:lang w:val="pt-PT"/>
        </w:rPr>
        <w:t xml:space="preserve">presente </w:t>
      </w:r>
      <w:r w:rsidR="00AB2550" w:rsidRPr="00AB2550">
        <w:rPr>
          <w:bCs/>
          <w:sz w:val="24"/>
          <w:szCs w:val="28"/>
          <w:lang w:val="pt-PT"/>
        </w:rPr>
        <w:t xml:space="preserve">trabalho tem como objetivo monitorar a dinâmica do carbono dissolvido, presente na solução do solo em duas microbacias paraenses. </w:t>
      </w:r>
      <w:r w:rsidR="00AB2550">
        <w:rPr>
          <w:bCs/>
          <w:sz w:val="24"/>
          <w:szCs w:val="28"/>
          <w:lang w:val="pt-PT"/>
        </w:rPr>
        <w:t xml:space="preserve">Observou-se </w:t>
      </w:r>
      <w:r w:rsidR="008B5DEC" w:rsidRPr="00AB2550">
        <w:rPr>
          <w:bCs/>
          <w:sz w:val="24"/>
          <w:szCs w:val="28"/>
          <w:lang w:val="pt-PT"/>
        </w:rPr>
        <w:t xml:space="preserve">entre os anos de 2014 e 2015, os teores de </w:t>
      </w:r>
      <w:r w:rsidR="008B5DEC" w:rsidRPr="00AB2550">
        <w:rPr>
          <w:sz w:val="24"/>
          <w:szCs w:val="28"/>
        </w:rPr>
        <w:t>Carbono Orgânico Dissolvid</w:t>
      </w:r>
      <w:r w:rsidR="00C30F52">
        <w:rPr>
          <w:sz w:val="24"/>
          <w:szCs w:val="28"/>
        </w:rPr>
        <w:t>o (COD</w:t>
      </w:r>
      <w:r w:rsidR="008B5DEC" w:rsidRPr="00AB2550">
        <w:rPr>
          <w:sz w:val="24"/>
          <w:szCs w:val="28"/>
        </w:rPr>
        <w:t xml:space="preserve">), Carbono Inorgânico Dissolvido </w:t>
      </w:r>
      <w:r w:rsidR="00C30F52">
        <w:rPr>
          <w:sz w:val="24"/>
          <w:szCs w:val="28"/>
        </w:rPr>
        <w:t>(CID</w:t>
      </w:r>
      <w:r w:rsidR="003B013E">
        <w:rPr>
          <w:sz w:val="24"/>
          <w:szCs w:val="28"/>
        </w:rPr>
        <w:t>) e Carbono</w:t>
      </w:r>
      <w:r w:rsidR="00C30F52">
        <w:rPr>
          <w:sz w:val="24"/>
          <w:szCs w:val="28"/>
        </w:rPr>
        <w:t xml:space="preserve"> </w:t>
      </w:r>
      <w:r w:rsidR="008B5DEC" w:rsidRPr="00AB2550">
        <w:rPr>
          <w:sz w:val="24"/>
          <w:szCs w:val="28"/>
        </w:rPr>
        <w:t xml:space="preserve">Total </w:t>
      </w:r>
      <w:r w:rsidR="00794F91">
        <w:rPr>
          <w:sz w:val="24"/>
          <w:szCs w:val="28"/>
        </w:rPr>
        <w:t>D</w:t>
      </w:r>
      <w:r w:rsidR="00C30F52">
        <w:rPr>
          <w:sz w:val="24"/>
          <w:szCs w:val="28"/>
        </w:rPr>
        <w:t>iss</w:t>
      </w:r>
      <w:r w:rsidR="003B013E">
        <w:rPr>
          <w:sz w:val="24"/>
          <w:szCs w:val="28"/>
        </w:rPr>
        <w:t>olvido (C</w:t>
      </w:r>
      <w:r w:rsidR="00C30F52">
        <w:rPr>
          <w:sz w:val="24"/>
          <w:szCs w:val="28"/>
        </w:rPr>
        <w:t>T</w:t>
      </w:r>
      <w:r w:rsidR="00643160">
        <w:rPr>
          <w:sz w:val="24"/>
          <w:szCs w:val="28"/>
        </w:rPr>
        <w:t>D</w:t>
      </w:r>
      <w:r w:rsidR="008B5DEC" w:rsidRPr="00AB2550">
        <w:rPr>
          <w:sz w:val="24"/>
          <w:szCs w:val="28"/>
        </w:rPr>
        <w:t xml:space="preserve">) presentes em amostras de solução solo em profundidades de 30 e 60 cm de seis </w:t>
      </w:r>
      <w:r w:rsidR="008B5DEC" w:rsidRPr="00AB2550">
        <w:rPr>
          <w:bCs/>
          <w:sz w:val="24"/>
          <w:szCs w:val="28"/>
          <w:lang w:val="pt-PT"/>
        </w:rPr>
        <w:t>Agrossistemas (Vegetação ripária, SAFs, Capoeira com regeneração de até 20 anos, Agricultura de derruba e queima, Agricultura sem queima/Trituração e Pastagem) em duas microbacias (</w:t>
      </w:r>
      <w:r w:rsidR="000E67E9" w:rsidRPr="00AB2550">
        <w:rPr>
          <w:sz w:val="24"/>
          <w:szCs w:val="28"/>
        </w:rPr>
        <w:t>Microbacia</w:t>
      </w:r>
      <w:r w:rsidR="008B5DEC" w:rsidRPr="00AB2550">
        <w:rPr>
          <w:sz w:val="24"/>
          <w:szCs w:val="28"/>
        </w:rPr>
        <w:t xml:space="preserve"> do Igarapé Cumaru/MIC e Microbacia do Igarapé São João/MISJ), localizadas no município de Igarapé Açú, nordeste paraense. Estas amostras foram coletadas por meio de </w:t>
      </w:r>
      <w:r w:rsidR="00643160">
        <w:rPr>
          <w:sz w:val="24"/>
          <w:szCs w:val="28"/>
        </w:rPr>
        <w:t xml:space="preserve">sondas </w:t>
      </w:r>
      <w:r w:rsidR="00C30F52">
        <w:rPr>
          <w:sz w:val="24"/>
          <w:szCs w:val="28"/>
        </w:rPr>
        <w:t>extratores</w:t>
      </w:r>
      <w:r w:rsidR="003B013E">
        <w:rPr>
          <w:sz w:val="24"/>
          <w:szCs w:val="28"/>
        </w:rPr>
        <w:t xml:space="preserve"> de sucção de cápsula porosa, </w:t>
      </w:r>
      <w:r w:rsidR="008B5DEC" w:rsidRPr="00AB2550">
        <w:rPr>
          <w:sz w:val="24"/>
          <w:szCs w:val="28"/>
        </w:rPr>
        <w:t>filtradas em microfib</w:t>
      </w:r>
      <w:r w:rsidR="00C30F52">
        <w:rPr>
          <w:sz w:val="24"/>
          <w:szCs w:val="28"/>
        </w:rPr>
        <w:t>ra de vidro (para análise de COD</w:t>
      </w:r>
      <w:r w:rsidR="008B5DEC" w:rsidRPr="00AB2550">
        <w:rPr>
          <w:sz w:val="24"/>
          <w:szCs w:val="28"/>
        </w:rPr>
        <w:t xml:space="preserve">) e microfibra de acetato </w:t>
      </w:r>
      <w:r w:rsidR="00C30F52">
        <w:rPr>
          <w:sz w:val="24"/>
          <w:szCs w:val="28"/>
        </w:rPr>
        <w:t>de celulose (para análise de CID</w:t>
      </w:r>
      <w:r w:rsidR="008B5DEC" w:rsidRPr="00AB2550">
        <w:rPr>
          <w:sz w:val="24"/>
          <w:szCs w:val="28"/>
        </w:rPr>
        <w:t>), armazenadas em câmara escura a 4</w:t>
      </w:r>
      <w:r w:rsidR="003B013E">
        <w:rPr>
          <w:sz w:val="24"/>
          <w:szCs w:val="28"/>
        </w:rPr>
        <w:t>°C. Os resultados destas mostraram uma variedade espaço-</w:t>
      </w:r>
      <w:r w:rsidR="008B5DEC" w:rsidRPr="00AB2550">
        <w:rPr>
          <w:sz w:val="24"/>
          <w:szCs w:val="28"/>
        </w:rPr>
        <w:t>temporal e e</w:t>
      </w:r>
      <w:r w:rsidR="00C30F52">
        <w:rPr>
          <w:sz w:val="24"/>
          <w:szCs w:val="28"/>
        </w:rPr>
        <w:t>m pro</w:t>
      </w:r>
      <w:r w:rsidR="00643160">
        <w:rPr>
          <w:sz w:val="24"/>
          <w:szCs w:val="28"/>
        </w:rPr>
        <w:t>fundidade nos teores de COD e C</w:t>
      </w:r>
      <w:r w:rsidR="003B013E">
        <w:rPr>
          <w:sz w:val="24"/>
          <w:szCs w:val="28"/>
        </w:rPr>
        <w:t>T</w:t>
      </w:r>
      <w:r w:rsidR="00643160">
        <w:rPr>
          <w:sz w:val="24"/>
          <w:szCs w:val="28"/>
        </w:rPr>
        <w:t>D</w:t>
      </w:r>
      <w:r w:rsidR="003B013E">
        <w:rPr>
          <w:sz w:val="24"/>
          <w:szCs w:val="28"/>
        </w:rPr>
        <w:t xml:space="preserve"> e</w:t>
      </w:r>
      <w:r w:rsidR="00C30F52">
        <w:rPr>
          <w:sz w:val="24"/>
          <w:szCs w:val="28"/>
        </w:rPr>
        <w:t xml:space="preserve"> variação de </w:t>
      </w:r>
      <w:r w:rsidR="003B013E">
        <w:rPr>
          <w:sz w:val="24"/>
          <w:szCs w:val="28"/>
        </w:rPr>
        <w:t xml:space="preserve">forma heterogênea de </w:t>
      </w:r>
      <w:r w:rsidR="00C30F52">
        <w:rPr>
          <w:sz w:val="24"/>
          <w:szCs w:val="28"/>
        </w:rPr>
        <w:t>CID, com elevados teores de COD</w:t>
      </w:r>
      <w:r w:rsidR="008B5DEC" w:rsidRPr="00AB2550">
        <w:rPr>
          <w:sz w:val="24"/>
          <w:szCs w:val="28"/>
        </w:rPr>
        <w:t xml:space="preserve"> e </w:t>
      </w:r>
      <w:r w:rsidR="003B013E">
        <w:rPr>
          <w:sz w:val="24"/>
          <w:szCs w:val="28"/>
        </w:rPr>
        <w:t>C</w:t>
      </w:r>
      <w:r w:rsidR="00C30F52">
        <w:rPr>
          <w:sz w:val="24"/>
          <w:szCs w:val="28"/>
        </w:rPr>
        <w:t>T</w:t>
      </w:r>
      <w:r w:rsidR="00643160">
        <w:rPr>
          <w:sz w:val="24"/>
          <w:szCs w:val="28"/>
        </w:rPr>
        <w:t>D</w:t>
      </w:r>
      <w:r w:rsidR="008B5DEC" w:rsidRPr="00AB2550">
        <w:rPr>
          <w:sz w:val="24"/>
          <w:szCs w:val="28"/>
        </w:rPr>
        <w:t xml:space="preserve"> nos Agrossistemas Pastagem e Queima e baixos nos SAFs e na Vegetação Ripária. Estes nos mostram a influência do uso indevido do solo no fluxo de carbono da região estudada e da condição dos SAFs como Sistema Sustentável.</w:t>
      </w:r>
    </w:p>
    <w:p w:rsidR="008B5DEC" w:rsidRPr="004F6258" w:rsidRDefault="008B5DEC" w:rsidP="008B5DEC">
      <w:pPr>
        <w:rPr>
          <w:b/>
          <w:bCs/>
          <w:sz w:val="24"/>
          <w:szCs w:val="24"/>
        </w:rPr>
      </w:pPr>
    </w:p>
    <w:p w:rsidR="008B5DEC" w:rsidRPr="00A73A99" w:rsidRDefault="008B5DEC" w:rsidP="008B5DEC">
      <w:pPr>
        <w:rPr>
          <w:bCs/>
          <w:sz w:val="24"/>
          <w:szCs w:val="24"/>
        </w:rPr>
      </w:pPr>
      <w:r w:rsidRPr="004F6258">
        <w:rPr>
          <w:b/>
          <w:bCs/>
          <w:sz w:val="24"/>
          <w:szCs w:val="24"/>
        </w:rPr>
        <w:t xml:space="preserve">Palavras-chave: </w:t>
      </w:r>
      <w:r>
        <w:rPr>
          <w:bCs/>
          <w:sz w:val="24"/>
          <w:szCs w:val="24"/>
        </w:rPr>
        <w:t>Fluxo de carbono. Solução solo. Microbacias paraenses.</w:t>
      </w:r>
    </w:p>
    <w:p w:rsidR="0012462E" w:rsidRDefault="0012462E" w:rsidP="008B5DEC">
      <w:pPr>
        <w:rPr>
          <w:sz w:val="24"/>
          <w:szCs w:val="28"/>
        </w:rPr>
      </w:pPr>
    </w:p>
    <w:p w:rsidR="0012462E" w:rsidRDefault="0012462E" w:rsidP="004425A3">
      <w:pPr>
        <w:rPr>
          <w:sz w:val="24"/>
          <w:szCs w:val="28"/>
        </w:rPr>
      </w:pPr>
    </w:p>
    <w:p w:rsidR="008B5DEC" w:rsidRDefault="003B013E" w:rsidP="004425A3">
      <w:pPr>
        <w:rPr>
          <w:i/>
          <w:sz w:val="24"/>
          <w:szCs w:val="28"/>
        </w:rPr>
      </w:pPr>
      <w:r w:rsidRPr="003B013E">
        <w:rPr>
          <w:b/>
          <w:sz w:val="24"/>
          <w:szCs w:val="28"/>
        </w:rPr>
        <w:t>Área de Interesse:</w:t>
      </w:r>
      <w:r w:rsidR="00937ADF">
        <w:rPr>
          <w:b/>
          <w:sz w:val="24"/>
          <w:szCs w:val="28"/>
        </w:rPr>
        <w:t xml:space="preserve"> </w:t>
      </w:r>
      <w:r w:rsidR="00937ADF" w:rsidRPr="00937ADF">
        <w:rPr>
          <w:i/>
          <w:sz w:val="24"/>
          <w:szCs w:val="28"/>
        </w:rPr>
        <w:t>Química Ambiental</w:t>
      </w:r>
      <w:r w:rsidRPr="003B013E">
        <w:rPr>
          <w:i/>
          <w:sz w:val="24"/>
          <w:szCs w:val="28"/>
        </w:rPr>
        <w:t>.</w:t>
      </w:r>
    </w:p>
    <w:p w:rsidR="00643160" w:rsidRPr="003B013E" w:rsidRDefault="00643160" w:rsidP="004425A3">
      <w:pPr>
        <w:rPr>
          <w:b/>
          <w:i/>
          <w:sz w:val="24"/>
          <w:szCs w:val="28"/>
        </w:rPr>
      </w:pPr>
    </w:p>
    <w:p w:rsidR="00AB2550" w:rsidRDefault="00AB2550" w:rsidP="004425A3">
      <w:pPr>
        <w:rPr>
          <w:sz w:val="24"/>
          <w:szCs w:val="28"/>
        </w:rPr>
      </w:pPr>
    </w:p>
    <w:p w:rsidR="00FD1741" w:rsidRDefault="00FD1741" w:rsidP="004425A3">
      <w:pPr>
        <w:rPr>
          <w:sz w:val="24"/>
          <w:szCs w:val="28"/>
        </w:rPr>
      </w:pPr>
    </w:p>
    <w:p w:rsidR="00AB2550" w:rsidRDefault="00AB2550" w:rsidP="004425A3">
      <w:pPr>
        <w:rPr>
          <w:sz w:val="24"/>
          <w:szCs w:val="28"/>
        </w:rPr>
      </w:pPr>
    </w:p>
    <w:p w:rsidR="00AB2550" w:rsidRDefault="00AB2550" w:rsidP="004425A3">
      <w:pPr>
        <w:rPr>
          <w:sz w:val="24"/>
          <w:szCs w:val="28"/>
        </w:rPr>
      </w:pPr>
    </w:p>
    <w:p w:rsidR="00AB2550" w:rsidRDefault="00AB2550" w:rsidP="004425A3">
      <w:pPr>
        <w:rPr>
          <w:sz w:val="24"/>
          <w:szCs w:val="28"/>
        </w:rPr>
      </w:pPr>
    </w:p>
    <w:p w:rsidR="00AB2550" w:rsidRDefault="00AB2550" w:rsidP="004425A3">
      <w:pPr>
        <w:rPr>
          <w:sz w:val="24"/>
          <w:szCs w:val="28"/>
        </w:rPr>
      </w:pPr>
    </w:p>
    <w:p w:rsidR="00AB2550" w:rsidRDefault="00AB2550" w:rsidP="004425A3">
      <w:pPr>
        <w:rPr>
          <w:sz w:val="24"/>
          <w:szCs w:val="28"/>
        </w:rPr>
      </w:pPr>
    </w:p>
    <w:p w:rsidR="00C30F52" w:rsidRDefault="00C30F52" w:rsidP="004425A3">
      <w:pPr>
        <w:rPr>
          <w:sz w:val="24"/>
          <w:szCs w:val="28"/>
        </w:rPr>
      </w:pPr>
    </w:p>
    <w:p w:rsidR="003B013E" w:rsidRDefault="003B013E" w:rsidP="004425A3">
      <w:pPr>
        <w:rPr>
          <w:sz w:val="24"/>
          <w:szCs w:val="28"/>
        </w:rPr>
      </w:pPr>
    </w:p>
    <w:p w:rsidR="008B5DEC" w:rsidRDefault="008B5DEC" w:rsidP="004425A3">
      <w:pPr>
        <w:rPr>
          <w:sz w:val="24"/>
          <w:szCs w:val="28"/>
        </w:rPr>
      </w:pPr>
    </w:p>
    <w:p w:rsidR="0012462E" w:rsidRPr="00001E41" w:rsidRDefault="0012462E" w:rsidP="0012462E">
      <w:pPr>
        <w:tabs>
          <w:tab w:val="left" w:pos="1290"/>
        </w:tabs>
        <w:spacing w:after="360"/>
        <w:jc w:val="both"/>
        <w:rPr>
          <w:color w:val="FF0000"/>
          <w:sz w:val="24"/>
          <w:szCs w:val="28"/>
        </w:rPr>
      </w:pPr>
      <w:r>
        <w:rPr>
          <w:b/>
          <w:sz w:val="24"/>
          <w:szCs w:val="24"/>
        </w:rPr>
        <w:t xml:space="preserve">1. </w:t>
      </w:r>
      <w:r w:rsidRPr="00001E41">
        <w:rPr>
          <w:b/>
          <w:sz w:val="24"/>
          <w:szCs w:val="24"/>
        </w:rPr>
        <w:t xml:space="preserve">INTRODUÇÃO </w:t>
      </w:r>
    </w:p>
    <w:p w:rsidR="003201E0" w:rsidRPr="00706C3B" w:rsidRDefault="001B75DD" w:rsidP="0012462E">
      <w:pPr>
        <w:tabs>
          <w:tab w:val="left" w:pos="709"/>
        </w:tabs>
        <w:spacing w:line="360" w:lineRule="auto"/>
        <w:jc w:val="both"/>
        <w:rPr>
          <w:bCs/>
          <w:sz w:val="24"/>
          <w:szCs w:val="28"/>
          <w:lang w:val="pt-PT"/>
        </w:rPr>
      </w:pPr>
      <w:r>
        <w:rPr>
          <w:bCs/>
          <w:sz w:val="24"/>
          <w:szCs w:val="28"/>
        </w:rPr>
        <w:tab/>
      </w:r>
      <w:r w:rsidR="00706C3B" w:rsidRPr="00B669D3">
        <w:rPr>
          <w:bCs/>
          <w:sz w:val="24"/>
          <w:szCs w:val="28"/>
          <w:lang w:val="pt-PT"/>
        </w:rPr>
        <w:t xml:space="preserve">O solo é constituído por partes sólidas, líquidas e gasosas, sendo tridimensionais dinâmicos e formados por materiais minerais e orgânicos que ocupam a maior parte do manto superficial, presentes nas extensões continentais da terra (EMBRAPA, 2006). </w:t>
      </w:r>
      <w:r w:rsidR="00BC2E4E" w:rsidRPr="00B669D3">
        <w:rPr>
          <w:bCs/>
          <w:sz w:val="24"/>
          <w:szCs w:val="28"/>
          <w:lang w:val="pt-PT"/>
        </w:rPr>
        <w:t>A caracterização da fase líquida é de grande relevância para o monitoramento dos atributos físicos, químicos e biológicos, servindo de base para a adoção de pr</w:t>
      </w:r>
      <w:r w:rsidRPr="00B669D3">
        <w:rPr>
          <w:bCs/>
          <w:sz w:val="24"/>
          <w:szCs w:val="28"/>
          <w:lang w:val="pt-PT"/>
        </w:rPr>
        <w:t>áticas de manejo adequado (Souza</w:t>
      </w:r>
      <w:r w:rsidR="00BC2E4E" w:rsidRPr="00B669D3">
        <w:rPr>
          <w:bCs/>
          <w:sz w:val="24"/>
          <w:szCs w:val="28"/>
          <w:lang w:val="pt-PT"/>
        </w:rPr>
        <w:t xml:space="preserve"> et al, 2013)</w:t>
      </w:r>
      <w:r w:rsidR="003201E0" w:rsidRPr="00B669D3">
        <w:rPr>
          <w:bCs/>
          <w:sz w:val="24"/>
          <w:szCs w:val="28"/>
          <w:lang w:val="pt-PT"/>
        </w:rPr>
        <w:t>.</w:t>
      </w:r>
      <w:r w:rsidR="003201E0">
        <w:rPr>
          <w:bCs/>
          <w:sz w:val="24"/>
          <w:szCs w:val="28"/>
          <w:lang w:val="pt-PT"/>
        </w:rPr>
        <w:t xml:space="preserve"> </w:t>
      </w:r>
    </w:p>
    <w:p w:rsidR="00C94CDC" w:rsidRDefault="00706C3B" w:rsidP="00BB4CC9">
      <w:pPr>
        <w:tabs>
          <w:tab w:val="left" w:pos="709"/>
        </w:tabs>
        <w:spacing w:line="360" w:lineRule="auto"/>
        <w:jc w:val="both"/>
        <w:rPr>
          <w:bCs/>
          <w:sz w:val="24"/>
          <w:szCs w:val="28"/>
          <w:lang w:val="pt-PT"/>
        </w:rPr>
      </w:pPr>
      <w:r>
        <w:rPr>
          <w:bCs/>
          <w:sz w:val="24"/>
          <w:szCs w:val="28"/>
          <w:lang w:val="pt-PT"/>
        </w:rPr>
        <w:tab/>
      </w:r>
      <w:r w:rsidRPr="00B669D3">
        <w:rPr>
          <w:bCs/>
          <w:sz w:val="24"/>
          <w:szCs w:val="28"/>
          <w:lang w:val="pt-PT"/>
        </w:rPr>
        <w:t>Dentre estes atributos destaca-se o carbono</w:t>
      </w:r>
      <w:r w:rsidR="00313106" w:rsidRPr="00B669D3">
        <w:rPr>
          <w:bCs/>
          <w:sz w:val="24"/>
          <w:szCs w:val="28"/>
          <w:lang w:val="pt-PT"/>
        </w:rPr>
        <w:t>, que representa</w:t>
      </w:r>
      <w:r w:rsidRPr="00B669D3">
        <w:rPr>
          <w:bCs/>
          <w:sz w:val="24"/>
          <w:szCs w:val="28"/>
          <w:lang w:val="pt-PT"/>
        </w:rPr>
        <w:t xml:space="preserve"> fundamental importância para o processo de fotossíntese das plantas. </w:t>
      </w:r>
      <w:r w:rsidR="007D0634" w:rsidRPr="00B669D3">
        <w:rPr>
          <w:bCs/>
          <w:sz w:val="24"/>
          <w:szCs w:val="28"/>
          <w:lang w:val="pt-PT"/>
        </w:rPr>
        <w:t>O carbono é composto pela matéria orgânica e pode ser considerado como um indicador de qualidade ambiental, o qual desempenha muitas funções e p</w:t>
      </w:r>
      <w:r w:rsidR="00C94CDC">
        <w:rPr>
          <w:bCs/>
          <w:sz w:val="24"/>
          <w:szCs w:val="28"/>
          <w:lang w:val="pt-PT"/>
        </w:rPr>
        <w:t>rocessos do solo (</w:t>
      </w:r>
      <w:r w:rsidR="00D04865">
        <w:rPr>
          <w:bCs/>
          <w:sz w:val="24"/>
          <w:szCs w:val="28"/>
          <w:lang w:val="pt-PT"/>
        </w:rPr>
        <w:t xml:space="preserve">Sampaio et al., </w:t>
      </w:r>
      <w:r w:rsidR="00C94CDC">
        <w:rPr>
          <w:bCs/>
          <w:sz w:val="24"/>
          <w:szCs w:val="28"/>
          <w:lang w:val="pt-PT"/>
        </w:rPr>
        <w:t xml:space="preserve">Jerkeet al., 2012; </w:t>
      </w:r>
      <w:r w:rsidR="003B013E">
        <w:rPr>
          <w:bCs/>
          <w:sz w:val="24"/>
          <w:szCs w:val="28"/>
          <w:lang w:val="pt-PT"/>
        </w:rPr>
        <w:t xml:space="preserve">Santos, </w:t>
      </w:r>
      <w:r w:rsidR="007D0634" w:rsidRPr="00B669D3">
        <w:rPr>
          <w:bCs/>
          <w:sz w:val="24"/>
          <w:szCs w:val="28"/>
          <w:lang w:val="pt-PT"/>
        </w:rPr>
        <w:t>2012).</w:t>
      </w:r>
      <w:r w:rsidR="008B5DEC">
        <w:rPr>
          <w:bCs/>
          <w:sz w:val="24"/>
          <w:szCs w:val="28"/>
          <w:lang w:val="pt-PT"/>
        </w:rPr>
        <w:t xml:space="preserve"> </w:t>
      </w:r>
      <w:r w:rsidR="00F17FFA" w:rsidRPr="00F17FFA">
        <w:rPr>
          <w:bCs/>
          <w:sz w:val="24"/>
          <w:szCs w:val="28"/>
          <w:lang w:val="pt-PT"/>
        </w:rPr>
        <w:t>Atualmente, um grande destaque tem sido concedido a Amazônia em termos dos estoques de carbono contidos nos seus ecossistemas como precursores em potencial de a</w:t>
      </w:r>
      <w:r w:rsidR="003B013E">
        <w:rPr>
          <w:bCs/>
          <w:sz w:val="24"/>
          <w:szCs w:val="28"/>
          <w:lang w:val="pt-PT"/>
        </w:rPr>
        <w:t xml:space="preserve">umentos nas concentrações de </w:t>
      </w:r>
      <w:r w:rsidR="003B013E" w:rsidRPr="00F17FFA">
        <w:rPr>
          <w:bCs/>
          <w:sz w:val="24"/>
          <w:szCs w:val="28"/>
          <w:lang w:val="pt-PT"/>
        </w:rPr>
        <w:t>CO</w:t>
      </w:r>
      <w:r w:rsidR="003B013E" w:rsidRPr="00F06B9D">
        <w:rPr>
          <w:bCs/>
          <w:sz w:val="24"/>
          <w:szCs w:val="28"/>
          <w:vertAlign w:val="subscript"/>
          <w:lang w:val="pt-PT"/>
        </w:rPr>
        <w:t>2</w:t>
      </w:r>
      <w:r w:rsidR="003B013E" w:rsidRPr="00F17FFA">
        <w:rPr>
          <w:bCs/>
          <w:sz w:val="24"/>
          <w:szCs w:val="28"/>
          <w:lang w:val="pt-PT"/>
        </w:rPr>
        <w:t xml:space="preserve"> </w:t>
      </w:r>
      <w:r w:rsidR="00C94CDC">
        <w:rPr>
          <w:bCs/>
          <w:sz w:val="24"/>
          <w:szCs w:val="28"/>
          <w:lang w:val="pt-PT"/>
        </w:rPr>
        <w:t xml:space="preserve">atmosféricos. </w:t>
      </w:r>
    </w:p>
    <w:p w:rsidR="00C93112" w:rsidRDefault="001B75DD" w:rsidP="00C94CDC">
      <w:pPr>
        <w:tabs>
          <w:tab w:val="left" w:pos="709"/>
        </w:tabs>
        <w:spacing w:line="360" w:lineRule="auto"/>
        <w:ind w:firstLine="709"/>
        <w:jc w:val="both"/>
        <w:rPr>
          <w:bCs/>
          <w:sz w:val="24"/>
          <w:szCs w:val="28"/>
          <w:lang w:val="pt-PT"/>
        </w:rPr>
      </w:pPr>
      <w:r w:rsidRPr="00B669D3">
        <w:rPr>
          <w:bCs/>
          <w:sz w:val="24"/>
          <w:szCs w:val="28"/>
          <w:lang w:val="pt-PT"/>
        </w:rPr>
        <w:t>Segundo (MARQUES, 2013)</w:t>
      </w:r>
      <w:r w:rsidR="00F17FFA" w:rsidRPr="00B669D3">
        <w:rPr>
          <w:bCs/>
          <w:sz w:val="24"/>
          <w:szCs w:val="28"/>
          <w:lang w:val="pt-PT"/>
        </w:rPr>
        <w:t xml:space="preserve"> determinar os estoques de carbono no solo, bem como os atribu</w:t>
      </w:r>
      <w:r w:rsidR="003B013E">
        <w:rPr>
          <w:bCs/>
          <w:sz w:val="24"/>
          <w:szCs w:val="28"/>
          <w:lang w:val="pt-PT"/>
        </w:rPr>
        <w:t>tos do solo que interferem neste</w:t>
      </w:r>
      <w:r w:rsidR="00F17FFA" w:rsidRPr="00B669D3">
        <w:rPr>
          <w:bCs/>
          <w:sz w:val="24"/>
          <w:szCs w:val="28"/>
          <w:lang w:val="pt-PT"/>
        </w:rPr>
        <w:t xml:space="preserve"> </w:t>
      </w:r>
      <w:r w:rsidR="003B013E">
        <w:rPr>
          <w:bCs/>
          <w:sz w:val="24"/>
          <w:szCs w:val="28"/>
          <w:lang w:val="pt-PT"/>
        </w:rPr>
        <w:t>são de extrema importância na determinação de</w:t>
      </w:r>
      <w:r w:rsidR="00F17FFA" w:rsidRPr="00B669D3">
        <w:rPr>
          <w:bCs/>
          <w:sz w:val="24"/>
          <w:szCs w:val="28"/>
          <w:lang w:val="pt-PT"/>
        </w:rPr>
        <w:t xml:space="preserve"> práticas de manejo </w:t>
      </w:r>
      <w:r w:rsidR="003B013E">
        <w:rPr>
          <w:bCs/>
          <w:sz w:val="24"/>
          <w:szCs w:val="28"/>
          <w:lang w:val="pt-PT"/>
        </w:rPr>
        <w:t xml:space="preserve">e conservação do ambiente </w:t>
      </w:r>
      <w:r w:rsidR="00F17FFA" w:rsidRPr="00B669D3">
        <w:rPr>
          <w:bCs/>
          <w:sz w:val="24"/>
          <w:szCs w:val="28"/>
          <w:lang w:val="pt-PT"/>
        </w:rPr>
        <w:t>que mantenh</w:t>
      </w:r>
      <w:r w:rsidR="003B013E">
        <w:rPr>
          <w:bCs/>
          <w:sz w:val="24"/>
          <w:szCs w:val="28"/>
          <w:lang w:val="pt-PT"/>
        </w:rPr>
        <w:t>am o carbono no meio terrestre</w:t>
      </w:r>
      <w:r w:rsidR="00F17FFA" w:rsidRPr="00B669D3">
        <w:rPr>
          <w:bCs/>
          <w:sz w:val="24"/>
          <w:szCs w:val="28"/>
          <w:lang w:val="pt-PT"/>
        </w:rPr>
        <w:t>.</w:t>
      </w:r>
      <w:r w:rsidR="007A1D9E">
        <w:rPr>
          <w:bCs/>
          <w:sz w:val="24"/>
          <w:szCs w:val="28"/>
          <w:lang w:val="pt-PT"/>
        </w:rPr>
        <w:t xml:space="preserve"> </w:t>
      </w:r>
    </w:p>
    <w:p w:rsidR="001B75DD" w:rsidRDefault="00C93112" w:rsidP="00BB4CC9">
      <w:pPr>
        <w:tabs>
          <w:tab w:val="left" w:pos="709"/>
        </w:tabs>
        <w:spacing w:line="360" w:lineRule="auto"/>
        <w:jc w:val="both"/>
        <w:rPr>
          <w:bCs/>
          <w:sz w:val="24"/>
          <w:szCs w:val="28"/>
          <w:lang w:val="pt-PT"/>
        </w:rPr>
      </w:pPr>
      <w:r>
        <w:rPr>
          <w:bCs/>
          <w:sz w:val="24"/>
          <w:szCs w:val="28"/>
          <w:lang w:val="pt-PT"/>
        </w:rPr>
        <w:tab/>
      </w:r>
      <w:r w:rsidR="00F17FFA" w:rsidRPr="00150757">
        <w:rPr>
          <w:bCs/>
          <w:sz w:val="24"/>
          <w:szCs w:val="28"/>
          <w:lang w:val="pt-PT"/>
        </w:rPr>
        <w:t>Sendo assim, e de extrema importancia realizar estudos para analisar o comportamento deste no meio ambiente, através de equipamentos especilizados, dentre o</w:t>
      </w:r>
      <w:r w:rsidR="00BB4CC9" w:rsidRPr="00150757">
        <w:rPr>
          <w:bCs/>
          <w:sz w:val="24"/>
          <w:szCs w:val="28"/>
          <w:lang w:val="pt-PT"/>
        </w:rPr>
        <w:t>s quais destaca-se a utilização de sondas extratoras munidas de cápsulas porosas (Lao et al., 2003; Blanco et al., 2008)</w:t>
      </w:r>
      <w:r w:rsidR="00BB4CC9" w:rsidRPr="00BB4CC9">
        <w:rPr>
          <w:bCs/>
          <w:sz w:val="24"/>
          <w:szCs w:val="28"/>
          <w:lang w:val="pt-PT"/>
        </w:rPr>
        <w:t xml:space="preserve"> devido a sua facilidade, baixo custo, eficiência e a permissão da repetição da coleta por longos períodos em uma mesma área, processo este impos</w:t>
      </w:r>
      <w:r w:rsidR="00BA500E">
        <w:rPr>
          <w:bCs/>
          <w:sz w:val="24"/>
          <w:szCs w:val="28"/>
          <w:lang w:val="pt-PT"/>
        </w:rPr>
        <w:t xml:space="preserve">sibilitado por outras técnicas. </w:t>
      </w:r>
    </w:p>
    <w:p w:rsidR="00C93112" w:rsidRDefault="001B75DD" w:rsidP="00BB4CC9">
      <w:pPr>
        <w:tabs>
          <w:tab w:val="left" w:pos="709"/>
        </w:tabs>
        <w:spacing w:line="360" w:lineRule="auto"/>
        <w:jc w:val="both"/>
        <w:rPr>
          <w:bCs/>
          <w:sz w:val="24"/>
          <w:szCs w:val="28"/>
          <w:lang w:val="pt-PT"/>
        </w:rPr>
      </w:pPr>
      <w:r>
        <w:rPr>
          <w:bCs/>
          <w:sz w:val="24"/>
          <w:szCs w:val="28"/>
          <w:lang w:val="pt-PT"/>
        </w:rPr>
        <w:tab/>
      </w:r>
      <w:r w:rsidR="00BB4CC9" w:rsidRPr="00C15D2C">
        <w:rPr>
          <w:bCs/>
          <w:sz w:val="24"/>
          <w:szCs w:val="28"/>
          <w:lang w:val="pt-PT"/>
        </w:rPr>
        <w:t>O manejo irregular do solo pode gerar consequências drásticas ao meio</w:t>
      </w:r>
      <w:r w:rsidR="00643160">
        <w:rPr>
          <w:bCs/>
          <w:sz w:val="24"/>
          <w:szCs w:val="28"/>
          <w:lang w:val="pt-PT"/>
        </w:rPr>
        <w:t xml:space="preserve"> ambiente</w:t>
      </w:r>
      <w:r w:rsidR="00BB4CC9" w:rsidRPr="00C15D2C">
        <w:rPr>
          <w:bCs/>
          <w:sz w:val="24"/>
          <w:szCs w:val="28"/>
          <w:lang w:val="pt-PT"/>
        </w:rPr>
        <w:t xml:space="preserve">. Dentre as tecnologias disponíveis para a recuperação da capacidade produtiva do solo, tem-se a agricultura sem queima </w:t>
      </w:r>
      <w:r w:rsidR="00C30F52" w:rsidRPr="00C15D2C">
        <w:rPr>
          <w:bCs/>
          <w:sz w:val="24"/>
          <w:szCs w:val="28"/>
          <w:lang w:val="pt-PT"/>
        </w:rPr>
        <w:t>e os sistemas a</w:t>
      </w:r>
      <w:r w:rsidR="00BB4CC9" w:rsidRPr="00C15D2C">
        <w:rPr>
          <w:bCs/>
          <w:sz w:val="24"/>
          <w:szCs w:val="28"/>
          <w:lang w:val="pt-PT"/>
        </w:rPr>
        <w:t xml:space="preserve">groflorestais (Embrapa, 2003). </w:t>
      </w:r>
      <w:r w:rsidR="00C30F52" w:rsidRPr="00C15D2C">
        <w:rPr>
          <w:bCs/>
          <w:sz w:val="24"/>
          <w:szCs w:val="28"/>
          <w:lang w:val="pt-PT"/>
        </w:rPr>
        <w:t>Quanto aos sistemas a</w:t>
      </w:r>
      <w:r w:rsidR="00BB4CC9" w:rsidRPr="00C15D2C">
        <w:rPr>
          <w:bCs/>
          <w:sz w:val="24"/>
          <w:szCs w:val="28"/>
          <w:lang w:val="pt-PT"/>
        </w:rPr>
        <w:t>groflorestais (SAFs), que consistem em uma combinação de sistemas agropastoris de forma integrada e sustentável (Assis, Júnior et al., 2003), pode se diz</w:t>
      </w:r>
      <w:r w:rsidR="00BB4CC9" w:rsidRPr="00BB4CC9">
        <w:rPr>
          <w:bCs/>
          <w:sz w:val="24"/>
          <w:szCs w:val="28"/>
          <w:lang w:val="pt-PT"/>
        </w:rPr>
        <w:t xml:space="preserve">er que equivale a um sistema versátil e vantajoso, visto que atua na redução do desmatamento devido ao fato de destituir os ciclos de </w:t>
      </w:r>
      <w:r w:rsidR="00BB4CC9" w:rsidRPr="00C15D2C">
        <w:rPr>
          <w:bCs/>
          <w:sz w:val="24"/>
          <w:szCs w:val="28"/>
          <w:lang w:val="pt-PT"/>
        </w:rPr>
        <w:t>culturas migratórias (Smith et al, 1998), bem como no melhoramento da renda do produtor, que terá o que colher durante todo o ano (OLIVEIRA et al, 201</w:t>
      </w:r>
      <w:r w:rsidR="00BA500E" w:rsidRPr="00C15D2C">
        <w:rPr>
          <w:bCs/>
          <w:sz w:val="24"/>
          <w:szCs w:val="28"/>
          <w:lang w:val="pt-PT"/>
        </w:rPr>
        <w:t>0).</w:t>
      </w:r>
      <w:r w:rsidR="00BA500E">
        <w:rPr>
          <w:bCs/>
          <w:sz w:val="24"/>
          <w:szCs w:val="28"/>
          <w:lang w:val="pt-PT"/>
        </w:rPr>
        <w:t xml:space="preserve"> </w:t>
      </w:r>
      <w:r w:rsidR="00F17FFA">
        <w:rPr>
          <w:bCs/>
          <w:sz w:val="24"/>
          <w:szCs w:val="28"/>
          <w:lang w:val="pt-PT"/>
        </w:rPr>
        <w:tab/>
      </w:r>
    </w:p>
    <w:p w:rsidR="00170278" w:rsidRPr="00BA500E" w:rsidRDefault="00C93112" w:rsidP="00BB4CC9">
      <w:pPr>
        <w:tabs>
          <w:tab w:val="left" w:pos="709"/>
        </w:tabs>
        <w:spacing w:line="360" w:lineRule="auto"/>
        <w:jc w:val="both"/>
        <w:rPr>
          <w:bCs/>
          <w:sz w:val="24"/>
          <w:szCs w:val="28"/>
          <w:lang w:val="pt-PT"/>
        </w:rPr>
      </w:pPr>
      <w:r>
        <w:rPr>
          <w:bCs/>
          <w:sz w:val="24"/>
          <w:szCs w:val="28"/>
          <w:lang w:val="pt-PT"/>
        </w:rPr>
        <w:lastRenderedPageBreak/>
        <w:tab/>
      </w:r>
      <w:r w:rsidR="00BB4CC9" w:rsidRPr="00BA500E">
        <w:rPr>
          <w:bCs/>
          <w:sz w:val="24"/>
          <w:szCs w:val="28"/>
          <w:lang w:val="pt-PT"/>
        </w:rPr>
        <w:t xml:space="preserve">Portanto, o objetivo deste trabalho foi monitorar a dinâmica do </w:t>
      </w:r>
      <w:r w:rsidR="00BA500E" w:rsidRPr="00BA500E">
        <w:rPr>
          <w:bCs/>
          <w:sz w:val="24"/>
          <w:szCs w:val="28"/>
          <w:lang w:val="pt-PT"/>
        </w:rPr>
        <w:t>carbono</w:t>
      </w:r>
      <w:r w:rsidR="00BB4CC9" w:rsidRPr="00BA500E">
        <w:rPr>
          <w:bCs/>
          <w:sz w:val="24"/>
          <w:szCs w:val="28"/>
          <w:lang w:val="pt-PT"/>
        </w:rPr>
        <w:t xml:space="preserve"> </w:t>
      </w:r>
      <w:r w:rsidR="00BA500E" w:rsidRPr="00BA500E">
        <w:rPr>
          <w:bCs/>
          <w:sz w:val="24"/>
          <w:szCs w:val="28"/>
          <w:lang w:val="pt-PT"/>
        </w:rPr>
        <w:t>orgânico e inorgânico dissolvido</w:t>
      </w:r>
      <w:r w:rsidR="00BB4CC9" w:rsidRPr="00BA500E">
        <w:rPr>
          <w:bCs/>
          <w:sz w:val="24"/>
          <w:szCs w:val="28"/>
          <w:lang w:val="pt-PT"/>
        </w:rPr>
        <w:t xml:space="preserve">, presente na solução do solo </w:t>
      </w:r>
      <w:r w:rsidR="00F17FFA">
        <w:rPr>
          <w:bCs/>
          <w:sz w:val="24"/>
          <w:szCs w:val="28"/>
          <w:lang w:val="pt-PT"/>
        </w:rPr>
        <w:t>em</w:t>
      </w:r>
      <w:r w:rsidR="00BB4CC9" w:rsidRPr="00BA500E">
        <w:rPr>
          <w:bCs/>
          <w:sz w:val="24"/>
          <w:szCs w:val="28"/>
          <w:lang w:val="pt-PT"/>
        </w:rPr>
        <w:t xml:space="preserve"> duas microbacias paraenses: </w:t>
      </w:r>
      <w:r w:rsidR="00BA500E" w:rsidRPr="00BA500E">
        <w:rPr>
          <w:bCs/>
          <w:sz w:val="24"/>
          <w:szCs w:val="28"/>
          <w:lang w:val="pt-PT"/>
        </w:rPr>
        <w:t>Igarapé Cumaru</w:t>
      </w:r>
      <w:r w:rsidR="00BB4CC9" w:rsidRPr="00BA500E">
        <w:rPr>
          <w:bCs/>
          <w:sz w:val="24"/>
          <w:szCs w:val="28"/>
          <w:lang w:val="pt-PT"/>
        </w:rPr>
        <w:t xml:space="preserve"> e </w:t>
      </w:r>
      <w:r w:rsidR="00BA500E" w:rsidRPr="00BA500E">
        <w:rPr>
          <w:bCs/>
          <w:sz w:val="24"/>
          <w:szCs w:val="28"/>
          <w:lang w:val="pt-PT"/>
        </w:rPr>
        <w:t>Igarapé São João</w:t>
      </w:r>
      <w:r w:rsidR="00BB4CC9" w:rsidRPr="00BA500E">
        <w:rPr>
          <w:bCs/>
          <w:sz w:val="24"/>
          <w:szCs w:val="28"/>
          <w:lang w:val="pt-PT"/>
        </w:rPr>
        <w:t xml:space="preserve">, </w:t>
      </w:r>
      <w:r w:rsidR="003B013E">
        <w:rPr>
          <w:bCs/>
          <w:sz w:val="24"/>
          <w:szCs w:val="28"/>
          <w:lang w:val="pt-PT"/>
        </w:rPr>
        <w:t>sendo</w:t>
      </w:r>
      <w:r w:rsidR="00BB4CC9" w:rsidRPr="00BA500E">
        <w:rPr>
          <w:bCs/>
          <w:sz w:val="24"/>
          <w:szCs w:val="28"/>
          <w:lang w:val="pt-PT"/>
        </w:rPr>
        <w:t xml:space="preserve"> </w:t>
      </w:r>
      <w:r w:rsidR="003B013E" w:rsidRPr="00BA500E">
        <w:rPr>
          <w:bCs/>
          <w:sz w:val="24"/>
          <w:szCs w:val="28"/>
          <w:lang w:val="pt-PT"/>
        </w:rPr>
        <w:t>observad</w:t>
      </w:r>
      <w:r w:rsidR="003B013E">
        <w:rPr>
          <w:bCs/>
          <w:sz w:val="24"/>
          <w:szCs w:val="28"/>
          <w:lang w:val="pt-PT"/>
        </w:rPr>
        <w:t>os seis agrossistemas</w:t>
      </w:r>
      <w:r w:rsidR="00BA500E" w:rsidRPr="00BA500E">
        <w:rPr>
          <w:bCs/>
          <w:sz w:val="24"/>
          <w:szCs w:val="28"/>
          <w:lang w:val="pt-PT"/>
        </w:rPr>
        <w:t xml:space="preserve">: </w:t>
      </w:r>
      <w:r w:rsidR="00F17FFA" w:rsidRPr="00BA500E">
        <w:rPr>
          <w:bCs/>
          <w:sz w:val="24"/>
          <w:szCs w:val="28"/>
          <w:lang w:val="pt-PT"/>
        </w:rPr>
        <w:t>SAFs</w:t>
      </w:r>
      <w:r w:rsidR="00F17FFA">
        <w:rPr>
          <w:bCs/>
          <w:sz w:val="24"/>
          <w:szCs w:val="28"/>
          <w:lang w:val="pt-PT"/>
        </w:rPr>
        <w:t>, vegetação ripária</w:t>
      </w:r>
      <w:r w:rsidR="00BB4CC9" w:rsidRPr="00BA500E">
        <w:rPr>
          <w:bCs/>
          <w:sz w:val="24"/>
          <w:szCs w:val="28"/>
          <w:lang w:val="pt-PT"/>
        </w:rPr>
        <w:t xml:space="preserve">, Capoeira com regeneração de até 20 anos, agricultura de derruba e queima, </w:t>
      </w:r>
      <w:r w:rsidR="00917E8C">
        <w:rPr>
          <w:bCs/>
          <w:sz w:val="24"/>
          <w:szCs w:val="28"/>
          <w:lang w:val="pt-PT"/>
        </w:rPr>
        <w:t>agricultura de derruba sem queima/</w:t>
      </w:r>
      <w:r w:rsidR="003B013E">
        <w:rPr>
          <w:bCs/>
          <w:sz w:val="24"/>
          <w:szCs w:val="28"/>
          <w:lang w:val="pt-PT"/>
        </w:rPr>
        <w:t>trituração</w:t>
      </w:r>
      <w:r w:rsidR="00BA500E" w:rsidRPr="00BA500E">
        <w:rPr>
          <w:bCs/>
          <w:sz w:val="24"/>
          <w:szCs w:val="28"/>
          <w:lang w:val="pt-PT"/>
        </w:rPr>
        <w:t xml:space="preserve"> e pastagem</w:t>
      </w:r>
      <w:r w:rsidR="00BB4CC9" w:rsidRPr="00BA500E">
        <w:rPr>
          <w:bCs/>
          <w:sz w:val="24"/>
          <w:szCs w:val="28"/>
          <w:lang w:val="pt-PT"/>
        </w:rPr>
        <w:t>.</w:t>
      </w:r>
    </w:p>
    <w:p w:rsidR="0012462E" w:rsidRPr="00F17FFA" w:rsidRDefault="0012462E" w:rsidP="00F17FFA">
      <w:pPr>
        <w:tabs>
          <w:tab w:val="left" w:pos="1290"/>
        </w:tabs>
        <w:rPr>
          <w:sz w:val="24"/>
          <w:szCs w:val="28"/>
        </w:rPr>
      </w:pPr>
    </w:p>
    <w:p w:rsidR="0012462E" w:rsidRDefault="0012462E" w:rsidP="0012462E">
      <w:pPr>
        <w:tabs>
          <w:tab w:val="left" w:pos="1290"/>
        </w:tabs>
        <w:spacing w:after="360"/>
        <w:jc w:val="both"/>
        <w:rPr>
          <w:color w:val="FF0000"/>
          <w:sz w:val="24"/>
          <w:szCs w:val="28"/>
        </w:rPr>
      </w:pPr>
      <w:r>
        <w:rPr>
          <w:b/>
          <w:sz w:val="24"/>
          <w:szCs w:val="24"/>
        </w:rPr>
        <w:t xml:space="preserve">2. </w:t>
      </w:r>
      <w:r w:rsidRPr="00001E41">
        <w:rPr>
          <w:b/>
          <w:sz w:val="24"/>
          <w:szCs w:val="24"/>
        </w:rPr>
        <w:t xml:space="preserve">MATERIAL E MÉTODOS </w:t>
      </w:r>
    </w:p>
    <w:p w:rsidR="008B5DEC" w:rsidRDefault="00FA1C13" w:rsidP="008B5DEC">
      <w:pPr>
        <w:spacing w:line="360" w:lineRule="auto"/>
        <w:jc w:val="both"/>
        <w:rPr>
          <w:sz w:val="24"/>
          <w:szCs w:val="24"/>
        </w:rPr>
      </w:pPr>
      <w:r>
        <w:rPr>
          <w:sz w:val="24"/>
          <w:szCs w:val="28"/>
        </w:rPr>
        <w:t>2.1</w:t>
      </w:r>
      <w:r w:rsidR="00F17FFA" w:rsidRPr="00F17FFA">
        <w:rPr>
          <w:sz w:val="24"/>
          <w:szCs w:val="28"/>
        </w:rPr>
        <w:t xml:space="preserve"> </w:t>
      </w:r>
      <w:r w:rsidR="00F17FFA">
        <w:rPr>
          <w:sz w:val="24"/>
          <w:szCs w:val="24"/>
        </w:rPr>
        <w:t>ÁREA DE ESTUDO</w:t>
      </w:r>
      <w:r>
        <w:rPr>
          <w:sz w:val="24"/>
          <w:szCs w:val="24"/>
        </w:rPr>
        <w:t>.</w:t>
      </w:r>
    </w:p>
    <w:p w:rsidR="007A4E44" w:rsidRDefault="00F17FFA" w:rsidP="00472460">
      <w:pPr>
        <w:spacing w:line="360" w:lineRule="auto"/>
        <w:ind w:firstLine="708"/>
        <w:jc w:val="both"/>
        <w:rPr>
          <w:rFonts w:eastAsia="Calibri"/>
          <w:sz w:val="24"/>
          <w:szCs w:val="24"/>
        </w:rPr>
      </w:pPr>
      <w:r w:rsidRPr="007A4E44">
        <w:rPr>
          <w:rFonts w:eastAsia="Calibri"/>
          <w:sz w:val="24"/>
          <w:szCs w:val="24"/>
        </w:rPr>
        <w:t>Conforme a figura 1, o presente estudo está inserido dent</w:t>
      </w:r>
      <w:r w:rsidR="007255AA">
        <w:rPr>
          <w:rFonts w:eastAsia="Calibri"/>
          <w:sz w:val="24"/>
          <w:szCs w:val="24"/>
        </w:rPr>
        <w:t>ro da área das microbacias dos I</w:t>
      </w:r>
      <w:r w:rsidRPr="007A4E44">
        <w:rPr>
          <w:rFonts w:eastAsia="Calibri"/>
          <w:sz w:val="24"/>
          <w:szCs w:val="24"/>
        </w:rPr>
        <w:t xml:space="preserve">garapés Cumaru, com aproximadamente </w:t>
      </w:r>
      <w:r w:rsidR="001B75DD" w:rsidRPr="001B75DD">
        <w:rPr>
          <w:rFonts w:eastAsia="Calibri"/>
          <w:sz w:val="24"/>
          <w:szCs w:val="24"/>
        </w:rPr>
        <w:t xml:space="preserve">1.850 </w:t>
      </w:r>
      <w:r w:rsidRPr="007A4E44">
        <w:rPr>
          <w:rFonts w:eastAsia="Calibri"/>
          <w:sz w:val="24"/>
          <w:szCs w:val="24"/>
        </w:rPr>
        <w:t xml:space="preserve">ha (1°11’ S, 47°34’ W) e São João com </w:t>
      </w:r>
      <w:r w:rsidR="001B75DD">
        <w:rPr>
          <w:rFonts w:eastAsia="Calibri"/>
          <w:sz w:val="24"/>
          <w:szCs w:val="24"/>
        </w:rPr>
        <w:t>1.330</w:t>
      </w:r>
      <w:r w:rsidRPr="007A4E44">
        <w:rPr>
          <w:rFonts w:eastAsia="Calibri"/>
          <w:sz w:val="24"/>
          <w:szCs w:val="24"/>
        </w:rPr>
        <w:t xml:space="preserve"> ha (01° 10' S, 47° 32' </w:t>
      </w:r>
      <w:r w:rsidR="007255AA">
        <w:rPr>
          <w:rFonts w:eastAsia="Calibri"/>
          <w:sz w:val="24"/>
          <w:szCs w:val="24"/>
        </w:rPr>
        <w:t xml:space="preserve">W), </w:t>
      </w:r>
      <w:r w:rsidR="00643160">
        <w:rPr>
          <w:rFonts w:eastAsia="Calibri"/>
          <w:sz w:val="24"/>
          <w:szCs w:val="24"/>
        </w:rPr>
        <w:t>sendo</w:t>
      </w:r>
      <w:r w:rsidR="007255AA">
        <w:rPr>
          <w:rFonts w:eastAsia="Calibri"/>
          <w:sz w:val="24"/>
          <w:szCs w:val="24"/>
        </w:rPr>
        <w:t xml:space="preserve"> situadas a cerca de 12 (doze)</w:t>
      </w:r>
      <w:r w:rsidRPr="007A4E44">
        <w:rPr>
          <w:rFonts w:eastAsia="Calibri"/>
          <w:sz w:val="24"/>
          <w:szCs w:val="24"/>
        </w:rPr>
        <w:t xml:space="preserve"> km de distância da s</w:t>
      </w:r>
      <w:r w:rsidR="00643160">
        <w:rPr>
          <w:rFonts w:eastAsia="Calibri"/>
          <w:sz w:val="24"/>
          <w:szCs w:val="24"/>
        </w:rPr>
        <w:t xml:space="preserve">ede do município de Igarapé Açu - </w:t>
      </w:r>
      <w:r w:rsidRPr="007A4E44">
        <w:rPr>
          <w:rFonts w:eastAsia="Calibri"/>
          <w:sz w:val="24"/>
          <w:szCs w:val="24"/>
        </w:rPr>
        <w:t>PA</w:t>
      </w:r>
      <w:r w:rsidR="007255AA">
        <w:rPr>
          <w:rFonts w:eastAsia="Calibri"/>
          <w:sz w:val="24"/>
          <w:szCs w:val="24"/>
        </w:rPr>
        <w:t xml:space="preserve">. Os </w:t>
      </w:r>
      <w:r w:rsidR="007255AA" w:rsidRPr="00AF7A61">
        <w:rPr>
          <w:rFonts w:eastAsia="Calibri"/>
          <w:sz w:val="24"/>
          <w:szCs w:val="24"/>
        </w:rPr>
        <w:t>solos da reg</w:t>
      </w:r>
      <w:r w:rsidR="00D04865">
        <w:rPr>
          <w:rFonts w:eastAsia="Calibri"/>
          <w:sz w:val="24"/>
          <w:szCs w:val="24"/>
        </w:rPr>
        <w:t xml:space="preserve">ião são classificados no grupo </w:t>
      </w:r>
      <w:proofErr w:type="spellStart"/>
      <w:r w:rsidR="00D04865">
        <w:rPr>
          <w:rFonts w:eastAsia="Calibri"/>
          <w:sz w:val="24"/>
          <w:szCs w:val="24"/>
        </w:rPr>
        <w:t>l</w:t>
      </w:r>
      <w:r w:rsidR="007255AA" w:rsidRPr="00AF7A61">
        <w:rPr>
          <w:rFonts w:eastAsia="Calibri"/>
          <w:sz w:val="24"/>
          <w:szCs w:val="24"/>
        </w:rPr>
        <w:t>atossolo</w:t>
      </w:r>
      <w:proofErr w:type="spellEnd"/>
      <w:r w:rsidR="007255AA">
        <w:rPr>
          <w:rFonts w:eastAsia="Calibri"/>
          <w:sz w:val="24"/>
          <w:szCs w:val="24"/>
        </w:rPr>
        <w:t xml:space="preserve"> </w:t>
      </w:r>
      <w:r w:rsidR="00D04865">
        <w:rPr>
          <w:rFonts w:eastAsia="Calibri"/>
          <w:sz w:val="24"/>
          <w:szCs w:val="24"/>
        </w:rPr>
        <w:t>a</w:t>
      </w:r>
      <w:r w:rsidR="007255AA" w:rsidRPr="00AF7A61">
        <w:rPr>
          <w:rFonts w:eastAsia="Calibri"/>
          <w:sz w:val="24"/>
          <w:szCs w:val="24"/>
        </w:rPr>
        <w:t>marelo</w:t>
      </w:r>
      <w:r w:rsidR="007255AA">
        <w:rPr>
          <w:rFonts w:eastAsia="Calibri"/>
          <w:sz w:val="24"/>
          <w:szCs w:val="24"/>
        </w:rPr>
        <w:t>,</w:t>
      </w:r>
      <w:r w:rsidR="00472460">
        <w:rPr>
          <w:rFonts w:eastAsia="Calibri"/>
          <w:sz w:val="24"/>
          <w:szCs w:val="24"/>
        </w:rPr>
        <w:t xml:space="preserve"> </w:t>
      </w:r>
      <w:r w:rsidR="007255AA">
        <w:rPr>
          <w:rFonts w:eastAsia="Calibri"/>
          <w:sz w:val="24"/>
          <w:szCs w:val="24"/>
        </w:rPr>
        <w:t>seu</w:t>
      </w:r>
      <w:r w:rsidR="00472460">
        <w:rPr>
          <w:rFonts w:eastAsia="Calibri"/>
          <w:sz w:val="24"/>
          <w:szCs w:val="24"/>
        </w:rPr>
        <w:t xml:space="preserve"> </w:t>
      </w:r>
      <w:r w:rsidR="00472460" w:rsidRPr="00472460">
        <w:rPr>
          <w:rFonts w:eastAsia="Calibri"/>
          <w:sz w:val="24"/>
          <w:szCs w:val="24"/>
        </w:rPr>
        <w:t xml:space="preserve">clima é do tipo climático Ami e do </w:t>
      </w:r>
      <w:proofErr w:type="spellStart"/>
      <w:r w:rsidR="00472460" w:rsidRPr="00472460">
        <w:rPr>
          <w:rFonts w:eastAsia="Calibri"/>
          <w:sz w:val="24"/>
          <w:szCs w:val="24"/>
        </w:rPr>
        <w:t>sub-tipo</w:t>
      </w:r>
      <w:proofErr w:type="spellEnd"/>
      <w:r w:rsidR="00472460" w:rsidRPr="00472460">
        <w:rPr>
          <w:rFonts w:eastAsia="Calibri"/>
          <w:sz w:val="24"/>
          <w:szCs w:val="24"/>
        </w:rPr>
        <w:t xml:space="preserve"> climático Am</w:t>
      </w:r>
      <w:r w:rsidR="003B013E">
        <w:rPr>
          <w:rFonts w:eastAsia="Calibri"/>
          <w:sz w:val="24"/>
          <w:szCs w:val="24"/>
        </w:rPr>
        <w:t>2</w:t>
      </w:r>
      <w:r w:rsidR="00472460" w:rsidRPr="00472460">
        <w:rPr>
          <w:rFonts w:eastAsia="Calibri"/>
          <w:sz w:val="24"/>
          <w:szCs w:val="24"/>
        </w:rPr>
        <w:t xml:space="preserve"> (</w:t>
      </w:r>
      <w:proofErr w:type="spellStart"/>
      <w:r w:rsidR="00472460" w:rsidRPr="00472460">
        <w:rPr>
          <w:rFonts w:eastAsia="Calibri"/>
          <w:sz w:val="24"/>
          <w:szCs w:val="24"/>
        </w:rPr>
        <w:t>Köppen</w:t>
      </w:r>
      <w:proofErr w:type="spellEnd"/>
      <w:r w:rsidR="00472460" w:rsidRPr="00472460">
        <w:rPr>
          <w:rFonts w:eastAsia="Calibri"/>
          <w:sz w:val="24"/>
          <w:szCs w:val="24"/>
        </w:rPr>
        <w:t>) com temperatura médi</w:t>
      </w:r>
      <w:r w:rsidR="00643160">
        <w:rPr>
          <w:rFonts w:eastAsia="Calibri"/>
          <w:sz w:val="24"/>
          <w:szCs w:val="24"/>
        </w:rPr>
        <w:t>a anual em torno de 26,5 ºC e</w:t>
      </w:r>
      <w:r w:rsidR="00472460" w:rsidRPr="00472460">
        <w:rPr>
          <w:rFonts w:eastAsia="Calibri"/>
          <w:sz w:val="24"/>
          <w:szCs w:val="24"/>
        </w:rPr>
        <w:t xml:space="preserve"> precipitação anual em torno de 2500 mm</w:t>
      </w:r>
      <w:r w:rsidR="001B75DD">
        <w:rPr>
          <w:rFonts w:eastAsia="Calibri"/>
          <w:sz w:val="24"/>
          <w:szCs w:val="24"/>
        </w:rPr>
        <w:t xml:space="preserve"> </w:t>
      </w:r>
      <w:r w:rsidR="00C15D2C" w:rsidRPr="007A4E44">
        <w:rPr>
          <w:rFonts w:eastAsia="Calibri"/>
          <w:sz w:val="24"/>
          <w:szCs w:val="24"/>
        </w:rPr>
        <w:t>(MENEZES, 2018)</w:t>
      </w:r>
      <w:r w:rsidR="00C15D2C">
        <w:rPr>
          <w:rFonts w:eastAsia="Calibri"/>
          <w:sz w:val="24"/>
          <w:szCs w:val="24"/>
        </w:rPr>
        <w:t>.</w:t>
      </w:r>
    </w:p>
    <w:p w:rsidR="00472460" w:rsidRPr="00472460" w:rsidRDefault="00472460" w:rsidP="00472460">
      <w:pPr>
        <w:spacing w:line="360" w:lineRule="auto"/>
        <w:ind w:firstLine="708"/>
        <w:jc w:val="both"/>
        <w:rPr>
          <w:rFonts w:eastAsia="Calibri"/>
          <w:sz w:val="24"/>
          <w:szCs w:val="24"/>
        </w:rPr>
      </w:pPr>
    </w:p>
    <w:p w:rsidR="00F65594" w:rsidRPr="004A716F" w:rsidRDefault="00634A56" w:rsidP="00634A56">
      <w:pPr>
        <w:pStyle w:val="Default"/>
        <w:spacing w:line="360" w:lineRule="auto"/>
        <w:jc w:val="center"/>
        <w:rPr>
          <w:rFonts w:ascii="Times New Roman" w:eastAsia="Times New Roman" w:hAnsi="Times New Roman" w:cs="Times New Roman"/>
          <w:color w:val="auto"/>
          <w:sz w:val="22"/>
          <w:szCs w:val="22"/>
          <w:lang w:eastAsia="pt-BR"/>
        </w:rPr>
      </w:pPr>
      <w:r>
        <w:rPr>
          <w:rFonts w:ascii="Times New Roman" w:eastAsia="Times New Roman" w:hAnsi="Times New Roman" w:cs="Times New Roman"/>
          <w:color w:val="auto"/>
          <w:sz w:val="22"/>
          <w:szCs w:val="22"/>
          <w:lang w:eastAsia="pt-BR"/>
        </w:rPr>
        <w:t xml:space="preserve">Figura 1. </w:t>
      </w:r>
      <w:r w:rsidR="004A716F" w:rsidRPr="004A716F">
        <w:rPr>
          <w:rFonts w:ascii="Times New Roman" w:eastAsia="Times New Roman" w:hAnsi="Times New Roman" w:cs="Times New Roman"/>
          <w:color w:val="auto"/>
          <w:sz w:val="22"/>
          <w:szCs w:val="22"/>
          <w:lang w:eastAsia="pt-BR"/>
        </w:rPr>
        <w:t xml:space="preserve">Localização das </w:t>
      </w:r>
      <w:r>
        <w:rPr>
          <w:rFonts w:ascii="Times New Roman" w:eastAsia="Times New Roman" w:hAnsi="Times New Roman" w:cs="Times New Roman"/>
          <w:color w:val="auto"/>
          <w:sz w:val="22"/>
          <w:szCs w:val="22"/>
          <w:lang w:eastAsia="pt-BR"/>
        </w:rPr>
        <w:t>sondas extratoras</w:t>
      </w:r>
      <w:r w:rsidR="004A716F" w:rsidRPr="004A716F">
        <w:rPr>
          <w:rFonts w:ascii="Times New Roman" w:eastAsia="Times New Roman" w:hAnsi="Times New Roman" w:cs="Times New Roman"/>
          <w:color w:val="auto"/>
          <w:sz w:val="22"/>
          <w:szCs w:val="22"/>
          <w:lang w:eastAsia="pt-BR"/>
        </w:rPr>
        <w:t xml:space="preserve"> nas microbacias dos igarapés Cumaru e São João, município de Igarapé Açu, Nordeste Paraense.</w:t>
      </w:r>
    </w:p>
    <w:p w:rsidR="00F17FFA" w:rsidRDefault="00F65594" w:rsidP="00634A56">
      <w:pPr>
        <w:tabs>
          <w:tab w:val="left" w:pos="1290"/>
        </w:tabs>
        <w:jc w:val="center"/>
        <w:rPr>
          <w:color w:val="FF0000"/>
          <w:sz w:val="24"/>
          <w:szCs w:val="28"/>
        </w:rPr>
      </w:pPr>
      <w:r>
        <w:rPr>
          <w:noProof/>
          <w:color w:val="FF0000"/>
          <w:sz w:val="24"/>
          <w:szCs w:val="28"/>
        </w:rPr>
        <w:drawing>
          <wp:inline distT="0" distB="0" distL="0" distR="0" wp14:anchorId="7CD7EB67" wp14:editId="026EB8F8">
            <wp:extent cx="4627659" cy="3156667"/>
            <wp:effectExtent l="0" t="0" r="1905"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708" cy="3164204"/>
                    </a:xfrm>
                    <a:prstGeom prst="rect">
                      <a:avLst/>
                    </a:prstGeom>
                    <a:noFill/>
                  </pic:spPr>
                </pic:pic>
              </a:graphicData>
            </a:graphic>
          </wp:inline>
        </w:drawing>
      </w:r>
    </w:p>
    <w:p w:rsidR="00472460" w:rsidRPr="00472460" w:rsidRDefault="007A4E44" w:rsidP="00472460">
      <w:pPr>
        <w:tabs>
          <w:tab w:val="left" w:pos="1290"/>
        </w:tabs>
        <w:jc w:val="center"/>
        <w:rPr>
          <w:color w:val="FF0000"/>
          <w:sz w:val="24"/>
          <w:szCs w:val="28"/>
        </w:rPr>
      </w:pPr>
      <w:r>
        <w:rPr>
          <w:sz w:val="22"/>
          <w:szCs w:val="22"/>
        </w:rPr>
        <w:t xml:space="preserve">Fonte: </w:t>
      </w:r>
      <w:r w:rsidR="003B013E">
        <w:rPr>
          <w:sz w:val="22"/>
          <w:szCs w:val="22"/>
        </w:rPr>
        <w:t>Laboratório de Sensoriamento Remoto</w:t>
      </w:r>
      <w:r w:rsidR="00634A56" w:rsidRPr="00D13969">
        <w:rPr>
          <w:sz w:val="22"/>
          <w:szCs w:val="22"/>
        </w:rPr>
        <w:t>,</w:t>
      </w:r>
      <w:r w:rsidR="003B013E">
        <w:rPr>
          <w:sz w:val="22"/>
          <w:szCs w:val="22"/>
        </w:rPr>
        <w:t xml:space="preserve"> Embrapa Amazônia Oriental,</w:t>
      </w:r>
      <w:r w:rsidR="00634A56" w:rsidRPr="00D13969">
        <w:rPr>
          <w:sz w:val="22"/>
          <w:szCs w:val="22"/>
        </w:rPr>
        <w:t xml:space="preserve"> 201</w:t>
      </w:r>
      <w:r w:rsidR="003B013E">
        <w:rPr>
          <w:sz w:val="22"/>
          <w:szCs w:val="22"/>
        </w:rPr>
        <w:t>5</w:t>
      </w:r>
      <w:r w:rsidR="00472460">
        <w:rPr>
          <w:sz w:val="22"/>
          <w:szCs w:val="22"/>
        </w:rPr>
        <w:t>.</w:t>
      </w:r>
    </w:p>
    <w:p w:rsidR="00AF7A61" w:rsidRDefault="007A4E44" w:rsidP="00AF7A61">
      <w:pPr>
        <w:spacing w:line="360" w:lineRule="auto"/>
        <w:jc w:val="both"/>
        <w:rPr>
          <w:sz w:val="24"/>
          <w:szCs w:val="28"/>
        </w:rPr>
      </w:pPr>
      <w:r>
        <w:rPr>
          <w:sz w:val="24"/>
          <w:szCs w:val="28"/>
        </w:rPr>
        <w:lastRenderedPageBreak/>
        <w:t>2.2</w:t>
      </w:r>
      <w:r w:rsidR="00FA1C13">
        <w:rPr>
          <w:sz w:val="24"/>
          <w:szCs w:val="28"/>
        </w:rPr>
        <w:t xml:space="preserve"> AMOSTRAS,</w:t>
      </w:r>
      <w:r w:rsidR="00FA1C13" w:rsidRPr="00FA1C13">
        <w:rPr>
          <w:sz w:val="24"/>
          <w:szCs w:val="28"/>
        </w:rPr>
        <w:t xml:space="preserve"> COLETA DE DADOS E ANÁLISE DE DADOS</w:t>
      </w:r>
      <w:r w:rsidR="00FA1C13">
        <w:rPr>
          <w:sz w:val="24"/>
          <w:szCs w:val="28"/>
        </w:rPr>
        <w:t>.</w:t>
      </w:r>
    </w:p>
    <w:p w:rsidR="00931F62" w:rsidRDefault="001027B6" w:rsidP="007A1D9E">
      <w:pPr>
        <w:spacing w:line="360" w:lineRule="auto"/>
        <w:ind w:firstLine="708"/>
        <w:jc w:val="both"/>
        <w:rPr>
          <w:sz w:val="24"/>
          <w:szCs w:val="28"/>
        </w:rPr>
      </w:pPr>
      <w:r>
        <w:rPr>
          <w:sz w:val="24"/>
          <w:szCs w:val="28"/>
        </w:rPr>
        <w:t>As</w:t>
      </w:r>
      <w:r w:rsidR="00351EDF" w:rsidRPr="00351EDF">
        <w:rPr>
          <w:sz w:val="24"/>
          <w:szCs w:val="28"/>
        </w:rPr>
        <w:t xml:space="preserve"> coletas </w:t>
      </w:r>
      <w:r w:rsidR="003B013E">
        <w:rPr>
          <w:sz w:val="24"/>
          <w:szCs w:val="28"/>
        </w:rPr>
        <w:t>ocorreram</w:t>
      </w:r>
      <w:r>
        <w:rPr>
          <w:sz w:val="24"/>
          <w:szCs w:val="28"/>
        </w:rPr>
        <w:t xml:space="preserve"> no período Chuvoso (</w:t>
      </w:r>
      <w:proofErr w:type="gramStart"/>
      <w:r w:rsidR="00C93112" w:rsidRPr="00C93112">
        <w:rPr>
          <w:sz w:val="24"/>
          <w:szCs w:val="28"/>
        </w:rPr>
        <w:t>Março</w:t>
      </w:r>
      <w:proofErr w:type="gramEnd"/>
      <w:r w:rsidR="00C93112" w:rsidRPr="00C93112">
        <w:rPr>
          <w:sz w:val="24"/>
          <w:szCs w:val="28"/>
        </w:rPr>
        <w:t xml:space="preserve"> a Junho), Transição 1 (TR</w:t>
      </w:r>
      <w:r>
        <w:rPr>
          <w:sz w:val="24"/>
          <w:szCs w:val="28"/>
        </w:rPr>
        <w:t xml:space="preserve">1, Julho a Agosto), </w:t>
      </w:r>
      <w:r w:rsidR="00D04865">
        <w:rPr>
          <w:sz w:val="24"/>
          <w:szCs w:val="28"/>
        </w:rPr>
        <w:t xml:space="preserve">seco </w:t>
      </w:r>
      <w:r>
        <w:rPr>
          <w:sz w:val="24"/>
          <w:szCs w:val="28"/>
        </w:rPr>
        <w:t>(</w:t>
      </w:r>
      <w:r w:rsidR="00C93112" w:rsidRPr="00C93112">
        <w:rPr>
          <w:sz w:val="24"/>
          <w:szCs w:val="28"/>
        </w:rPr>
        <w:t xml:space="preserve">Setembro a </w:t>
      </w:r>
      <w:r>
        <w:rPr>
          <w:sz w:val="24"/>
          <w:szCs w:val="28"/>
        </w:rPr>
        <w:t xml:space="preserve">Dezembro) e Transição 2 (TR2, </w:t>
      </w:r>
      <w:r w:rsidR="00C93112" w:rsidRPr="00C93112">
        <w:rPr>
          <w:sz w:val="24"/>
          <w:szCs w:val="28"/>
        </w:rPr>
        <w:t xml:space="preserve">Janeiro a Fevereiro), </w:t>
      </w:r>
      <w:r w:rsidR="00351EDF" w:rsidRPr="00E30F80">
        <w:rPr>
          <w:sz w:val="24"/>
          <w:szCs w:val="28"/>
        </w:rPr>
        <w:t xml:space="preserve">período caracterizado na região amazônica. As </w:t>
      </w:r>
      <w:r w:rsidR="000F23B6">
        <w:rPr>
          <w:sz w:val="24"/>
          <w:szCs w:val="28"/>
        </w:rPr>
        <w:t>mesmas</w:t>
      </w:r>
      <w:r w:rsidR="00351EDF" w:rsidRPr="00E30F80">
        <w:rPr>
          <w:sz w:val="24"/>
          <w:szCs w:val="28"/>
        </w:rPr>
        <w:t xml:space="preserve"> foram realizadas no período de Fevereiro de 2014 a Abril de 2015, sendo extraídas mensalmente por meio de </w:t>
      </w:r>
      <w:r w:rsidR="00AB2550">
        <w:rPr>
          <w:sz w:val="24"/>
          <w:szCs w:val="28"/>
        </w:rPr>
        <w:t>sondas extratoras</w:t>
      </w:r>
      <w:r w:rsidR="00351EDF" w:rsidRPr="00E30F80">
        <w:rPr>
          <w:sz w:val="24"/>
          <w:szCs w:val="28"/>
        </w:rPr>
        <w:t xml:space="preserve"> </w:t>
      </w:r>
      <w:r w:rsidR="00643160">
        <w:rPr>
          <w:sz w:val="24"/>
          <w:szCs w:val="28"/>
        </w:rPr>
        <w:t>via</w:t>
      </w:r>
      <w:r w:rsidR="00351EDF" w:rsidRPr="00E30F80">
        <w:rPr>
          <w:sz w:val="24"/>
          <w:szCs w:val="28"/>
        </w:rPr>
        <w:t xml:space="preserve"> sucção, instaladas </w:t>
      </w:r>
      <w:r w:rsidR="006058E8" w:rsidRPr="00E30F80">
        <w:rPr>
          <w:sz w:val="24"/>
          <w:szCs w:val="28"/>
        </w:rPr>
        <w:t xml:space="preserve">em uma área de 0.5 hectare </w:t>
      </w:r>
      <w:r w:rsidR="00351EDF" w:rsidRPr="00E30F80">
        <w:rPr>
          <w:sz w:val="24"/>
          <w:szCs w:val="28"/>
        </w:rPr>
        <w:t>na profu</w:t>
      </w:r>
      <w:r w:rsidR="00AB2550">
        <w:rPr>
          <w:sz w:val="24"/>
          <w:szCs w:val="28"/>
        </w:rPr>
        <w:t xml:space="preserve">ndidade de 30 e 60 cm, sendo quatro </w:t>
      </w:r>
      <w:r w:rsidR="00351EDF" w:rsidRPr="00E30F80">
        <w:rPr>
          <w:sz w:val="24"/>
          <w:szCs w:val="28"/>
        </w:rPr>
        <w:t xml:space="preserve">pontos distribuídos </w:t>
      </w:r>
      <w:r w:rsidR="00E30F80">
        <w:rPr>
          <w:sz w:val="24"/>
          <w:szCs w:val="28"/>
        </w:rPr>
        <w:t>nos</w:t>
      </w:r>
      <w:r w:rsidR="00037590" w:rsidRPr="00E30F80">
        <w:rPr>
          <w:sz w:val="24"/>
          <w:szCs w:val="28"/>
        </w:rPr>
        <w:t xml:space="preserve"> seis agrossistemas</w:t>
      </w:r>
      <w:r w:rsidR="00E30F80">
        <w:rPr>
          <w:sz w:val="24"/>
          <w:szCs w:val="28"/>
        </w:rPr>
        <w:t>, d</w:t>
      </w:r>
      <w:r w:rsidR="00351EDF" w:rsidRPr="00E30F80">
        <w:rPr>
          <w:sz w:val="24"/>
          <w:szCs w:val="28"/>
        </w:rPr>
        <w:t>estes foram situados 2 (d</w:t>
      </w:r>
      <w:r w:rsidR="00E30F80">
        <w:rPr>
          <w:sz w:val="24"/>
          <w:szCs w:val="28"/>
        </w:rPr>
        <w:t>uas) repetições nas microbacias: Igarapé Cumaru (</w:t>
      </w:r>
      <w:r w:rsidR="00351EDF" w:rsidRPr="00E30F80">
        <w:rPr>
          <w:sz w:val="24"/>
          <w:szCs w:val="28"/>
        </w:rPr>
        <w:t>MIC</w:t>
      </w:r>
      <w:r w:rsidR="00E30F80">
        <w:rPr>
          <w:sz w:val="24"/>
          <w:szCs w:val="28"/>
        </w:rPr>
        <w:t>) e Igarapé São João (</w:t>
      </w:r>
      <w:r w:rsidR="00351EDF" w:rsidRPr="00E30F80">
        <w:rPr>
          <w:sz w:val="24"/>
          <w:szCs w:val="28"/>
        </w:rPr>
        <w:t>MISJ), totalizando 24 (vinte e quatro) pontos de amostragem</w:t>
      </w:r>
      <w:r w:rsidR="00472460">
        <w:rPr>
          <w:sz w:val="24"/>
          <w:szCs w:val="28"/>
        </w:rPr>
        <w:t xml:space="preserve"> </w:t>
      </w:r>
      <w:r w:rsidR="00351EDF" w:rsidRPr="00E30F80">
        <w:rPr>
          <w:sz w:val="24"/>
          <w:szCs w:val="28"/>
        </w:rPr>
        <w:t>conforme a figura 2.</w:t>
      </w:r>
    </w:p>
    <w:p w:rsidR="007A1D9E" w:rsidRDefault="007A1D9E" w:rsidP="007A1D9E">
      <w:pPr>
        <w:spacing w:line="360" w:lineRule="auto"/>
        <w:ind w:firstLine="708"/>
        <w:jc w:val="both"/>
        <w:rPr>
          <w:sz w:val="24"/>
          <w:szCs w:val="28"/>
        </w:rPr>
      </w:pPr>
    </w:p>
    <w:p w:rsidR="00931F62" w:rsidRPr="00931F62" w:rsidRDefault="00931F62" w:rsidP="00931F62">
      <w:pPr>
        <w:spacing w:line="360" w:lineRule="auto"/>
        <w:ind w:firstLine="708"/>
        <w:jc w:val="center"/>
        <w:rPr>
          <w:sz w:val="22"/>
          <w:szCs w:val="22"/>
        </w:rPr>
      </w:pPr>
      <w:r w:rsidRPr="00931F62">
        <w:rPr>
          <w:sz w:val="22"/>
          <w:szCs w:val="22"/>
        </w:rPr>
        <w:t>Figura</w:t>
      </w:r>
      <w:r w:rsidR="007255AA">
        <w:rPr>
          <w:sz w:val="22"/>
          <w:szCs w:val="22"/>
        </w:rPr>
        <w:t xml:space="preserve"> </w:t>
      </w:r>
      <w:r w:rsidRPr="00931F62">
        <w:rPr>
          <w:sz w:val="22"/>
          <w:szCs w:val="22"/>
        </w:rPr>
        <w:t xml:space="preserve">2: </w:t>
      </w:r>
      <w:r w:rsidR="00E428E7">
        <w:rPr>
          <w:sz w:val="22"/>
          <w:szCs w:val="22"/>
        </w:rPr>
        <w:t xml:space="preserve">Extratores de </w:t>
      </w:r>
      <w:r w:rsidR="00C30F52">
        <w:rPr>
          <w:sz w:val="22"/>
          <w:szCs w:val="22"/>
        </w:rPr>
        <w:t>solução solo</w:t>
      </w:r>
      <w:r w:rsidRPr="00931F62">
        <w:rPr>
          <w:sz w:val="22"/>
          <w:szCs w:val="22"/>
        </w:rPr>
        <w:t xml:space="preserve"> instalados na área de </w:t>
      </w:r>
      <w:r w:rsidR="00E30F80">
        <w:rPr>
          <w:sz w:val="22"/>
          <w:szCs w:val="22"/>
        </w:rPr>
        <w:t>estudo</w:t>
      </w:r>
      <w:r w:rsidRPr="00931F62">
        <w:rPr>
          <w:sz w:val="22"/>
          <w:szCs w:val="22"/>
        </w:rPr>
        <w:t>.</w:t>
      </w:r>
    </w:p>
    <w:p w:rsidR="00931F62" w:rsidRDefault="00E30F80" w:rsidP="00E30F80">
      <w:pPr>
        <w:spacing w:line="360" w:lineRule="auto"/>
        <w:jc w:val="center"/>
        <w:rPr>
          <w:sz w:val="24"/>
          <w:szCs w:val="28"/>
        </w:rPr>
      </w:pPr>
      <w:r>
        <w:rPr>
          <w:noProof/>
          <w:sz w:val="24"/>
          <w:szCs w:val="28"/>
        </w:rPr>
        <w:drawing>
          <wp:inline distT="0" distB="0" distL="0" distR="0" wp14:anchorId="5D65534D" wp14:editId="1339A0EB">
            <wp:extent cx="4500438" cy="2186608"/>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PA.PNG"/>
                    <pic:cNvPicPr/>
                  </pic:nvPicPr>
                  <pic:blipFill>
                    <a:blip r:embed="rId12">
                      <a:extLst>
                        <a:ext uri="{28A0092B-C50C-407E-A947-70E740481C1C}">
                          <a14:useLocalDpi xmlns:a14="http://schemas.microsoft.com/office/drawing/2010/main" val="0"/>
                        </a:ext>
                      </a:extLst>
                    </a:blip>
                    <a:stretch>
                      <a:fillRect/>
                    </a:stretch>
                  </pic:blipFill>
                  <pic:spPr>
                    <a:xfrm>
                      <a:off x="0" y="0"/>
                      <a:ext cx="4500438" cy="2186608"/>
                    </a:xfrm>
                    <a:prstGeom prst="rect">
                      <a:avLst/>
                    </a:prstGeom>
                  </pic:spPr>
                </pic:pic>
              </a:graphicData>
            </a:graphic>
          </wp:inline>
        </w:drawing>
      </w:r>
    </w:p>
    <w:p w:rsidR="00931F62" w:rsidRDefault="00931F62" w:rsidP="00931F62">
      <w:pPr>
        <w:spacing w:after="240" w:line="360" w:lineRule="auto"/>
        <w:ind w:firstLine="708"/>
        <w:jc w:val="center"/>
        <w:rPr>
          <w:sz w:val="22"/>
          <w:szCs w:val="22"/>
        </w:rPr>
      </w:pPr>
      <w:r w:rsidRPr="00931F62">
        <w:rPr>
          <w:sz w:val="22"/>
          <w:szCs w:val="22"/>
        </w:rPr>
        <w:t>Fonte: Autor, 2015.</w:t>
      </w:r>
    </w:p>
    <w:p w:rsidR="000F23B6" w:rsidRPr="007A1D9E" w:rsidRDefault="00E30F80" w:rsidP="007255AA">
      <w:pPr>
        <w:spacing w:line="360" w:lineRule="auto"/>
        <w:ind w:firstLine="708"/>
        <w:jc w:val="both"/>
        <w:rPr>
          <w:sz w:val="24"/>
          <w:szCs w:val="28"/>
        </w:rPr>
      </w:pPr>
      <w:r>
        <w:rPr>
          <w:sz w:val="24"/>
          <w:szCs w:val="28"/>
        </w:rPr>
        <w:t>As amostras f</w:t>
      </w:r>
      <w:r w:rsidR="00931F62" w:rsidRPr="0030582C">
        <w:rPr>
          <w:sz w:val="24"/>
          <w:szCs w:val="28"/>
        </w:rPr>
        <w:t>oram armazenadas em frascos de polietileno, sendo reservada uma porção, de cada amostra, para análise de Carbono Orgânico Dissolvido (</w:t>
      </w:r>
      <w:r w:rsidR="00C30F52">
        <w:rPr>
          <w:sz w:val="24"/>
          <w:szCs w:val="28"/>
        </w:rPr>
        <w:t>COD</w:t>
      </w:r>
      <w:r w:rsidR="00931F62" w:rsidRPr="0030582C">
        <w:rPr>
          <w:sz w:val="24"/>
          <w:szCs w:val="28"/>
        </w:rPr>
        <w:t>), preservada em Solução de Ácido Fosfórico 10% e outra para análise de Carbono Inorgânico Dissolvido (</w:t>
      </w:r>
      <w:r w:rsidR="00C30F52">
        <w:rPr>
          <w:sz w:val="24"/>
          <w:szCs w:val="28"/>
        </w:rPr>
        <w:t>CID</w:t>
      </w:r>
      <w:r w:rsidR="00931F62" w:rsidRPr="0030582C">
        <w:rPr>
          <w:sz w:val="24"/>
          <w:szCs w:val="28"/>
        </w:rPr>
        <w:t xml:space="preserve">), preservado em </w:t>
      </w:r>
      <w:proofErr w:type="spellStart"/>
      <w:r w:rsidR="00931F62" w:rsidRPr="0030582C">
        <w:rPr>
          <w:sz w:val="24"/>
          <w:szCs w:val="28"/>
        </w:rPr>
        <w:t>Thymol</w:t>
      </w:r>
      <w:proofErr w:type="spellEnd"/>
      <w:r w:rsidR="00931F62" w:rsidRPr="0030582C">
        <w:rPr>
          <w:sz w:val="24"/>
          <w:szCs w:val="28"/>
        </w:rPr>
        <w:t xml:space="preserve">. </w:t>
      </w:r>
      <w:r w:rsidR="00931F62">
        <w:rPr>
          <w:sz w:val="24"/>
          <w:szCs w:val="28"/>
        </w:rPr>
        <w:t>Em seguida, a</w:t>
      </w:r>
      <w:r w:rsidR="00931F62" w:rsidRPr="0030582C">
        <w:rPr>
          <w:sz w:val="24"/>
          <w:szCs w:val="28"/>
        </w:rPr>
        <w:t>s mesmas foram encaminhadas ao laboratório da Embrapa Amazônia Oriental e filtradas em microfibra de vidro de porosidade nom</w:t>
      </w:r>
      <w:r w:rsidR="00C30F52">
        <w:rPr>
          <w:sz w:val="24"/>
          <w:szCs w:val="28"/>
        </w:rPr>
        <w:t>inal 0,7 µm (para análise de COD</w:t>
      </w:r>
      <w:r w:rsidR="00931F62" w:rsidRPr="0030582C">
        <w:rPr>
          <w:sz w:val="24"/>
          <w:szCs w:val="28"/>
        </w:rPr>
        <w:t>) e em microfibra de 0,45 µ</w:t>
      </w:r>
      <w:r w:rsidR="00C30F52">
        <w:rPr>
          <w:sz w:val="24"/>
          <w:szCs w:val="28"/>
        </w:rPr>
        <w:t>m (para análise de CID</w:t>
      </w:r>
      <w:r w:rsidR="00771EBA">
        <w:rPr>
          <w:sz w:val="24"/>
          <w:szCs w:val="28"/>
        </w:rPr>
        <w:t>), sendo</w:t>
      </w:r>
      <w:r w:rsidR="00931F62" w:rsidRPr="0030582C">
        <w:rPr>
          <w:sz w:val="24"/>
          <w:szCs w:val="28"/>
        </w:rPr>
        <w:t xml:space="preserve">, armazenadas </w:t>
      </w:r>
      <w:r w:rsidR="00931F62">
        <w:rPr>
          <w:sz w:val="24"/>
          <w:szCs w:val="28"/>
        </w:rPr>
        <w:t>longe da luminosidade</w:t>
      </w:r>
      <w:r w:rsidR="00931F62" w:rsidRPr="0030582C">
        <w:rPr>
          <w:sz w:val="24"/>
          <w:szCs w:val="28"/>
        </w:rPr>
        <w:t xml:space="preserve"> sob 4ºC até a análise.</w:t>
      </w:r>
      <w:r w:rsidR="00455C23">
        <w:rPr>
          <w:sz w:val="24"/>
          <w:szCs w:val="28"/>
        </w:rPr>
        <w:t xml:space="preserve"> </w:t>
      </w:r>
      <w:r w:rsidR="00C30F52">
        <w:rPr>
          <w:sz w:val="24"/>
          <w:szCs w:val="28"/>
        </w:rPr>
        <w:t>Os teores de COD e CID</w:t>
      </w:r>
      <w:r w:rsidR="00931F62" w:rsidRPr="0030582C">
        <w:rPr>
          <w:sz w:val="24"/>
          <w:szCs w:val="28"/>
        </w:rPr>
        <w:t xml:space="preserve"> foram determinados </w:t>
      </w:r>
      <w:r w:rsidR="000F23B6">
        <w:rPr>
          <w:sz w:val="24"/>
          <w:szCs w:val="28"/>
        </w:rPr>
        <w:t>TOC-V</w:t>
      </w:r>
      <w:r w:rsidR="00771EBA">
        <w:rPr>
          <w:sz w:val="24"/>
          <w:szCs w:val="28"/>
        </w:rPr>
        <w:t xml:space="preserve">/CSN </w:t>
      </w:r>
      <w:proofErr w:type="spellStart"/>
      <w:r w:rsidR="00931F62" w:rsidRPr="0030582C">
        <w:rPr>
          <w:sz w:val="24"/>
          <w:szCs w:val="28"/>
        </w:rPr>
        <w:t>Shimadzu</w:t>
      </w:r>
      <w:proofErr w:type="spellEnd"/>
      <w:r w:rsidR="00931F62" w:rsidRPr="0030582C">
        <w:rPr>
          <w:sz w:val="24"/>
          <w:szCs w:val="28"/>
        </w:rPr>
        <w:t>, onde o CO</w:t>
      </w:r>
      <w:r w:rsidR="00931F62" w:rsidRPr="00131C4B">
        <w:rPr>
          <w:sz w:val="24"/>
          <w:szCs w:val="28"/>
          <w:vertAlign w:val="subscript"/>
        </w:rPr>
        <w:t>2</w:t>
      </w:r>
      <w:r w:rsidR="00931F62" w:rsidRPr="0030582C">
        <w:rPr>
          <w:sz w:val="24"/>
          <w:szCs w:val="28"/>
        </w:rPr>
        <w:t xml:space="preserve"> proveniente da combustão é analisado em detector de infravermelho não dispersivo. O teor </w:t>
      </w:r>
      <w:r w:rsidR="00643160">
        <w:rPr>
          <w:sz w:val="24"/>
          <w:szCs w:val="28"/>
        </w:rPr>
        <w:t>de C</w:t>
      </w:r>
      <w:r w:rsidR="000F23B6">
        <w:rPr>
          <w:sz w:val="24"/>
          <w:szCs w:val="28"/>
        </w:rPr>
        <w:t>T</w:t>
      </w:r>
      <w:r w:rsidR="00643160">
        <w:rPr>
          <w:sz w:val="24"/>
          <w:szCs w:val="28"/>
        </w:rPr>
        <w:t>D</w:t>
      </w:r>
      <w:r w:rsidR="00931F62" w:rsidRPr="0030582C">
        <w:rPr>
          <w:sz w:val="24"/>
          <w:szCs w:val="28"/>
        </w:rPr>
        <w:t xml:space="preserve"> foi obtido por meio da soma entre o</w:t>
      </w:r>
      <w:r w:rsidR="00C30F52">
        <w:rPr>
          <w:sz w:val="24"/>
          <w:szCs w:val="28"/>
        </w:rPr>
        <w:t>s teores de COD e CID</w:t>
      </w:r>
      <w:r w:rsidR="00931F62">
        <w:rPr>
          <w:sz w:val="24"/>
          <w:szCs w:val="28"/>
        </w:rPr>
        <w:t xml:space="preserve"> por ponto.</w:t>
      </w:r>
    </w:p>
    <w:p w:rsidR="0012462E" w:rsidRPr="007A1D9E" w:rsidRDefault="0012462E" w:rsidP="007A1D9E">
      <w:pPr>
        <w:tabs>
          <w:tab w:val="left" w:pos="1290"/>
        </w:tabs>
        <w:jc w:val="both"/>
        <w:rPr>
          <w:color w:val="FF0000"/>
          <w:sz w:val="28"/>
          <w:szCs w:val="28"/>
        </w:rPr>
      </w:pPr>
      <w:r w:rsidRPr="00931F62">
        <w:rPr>
          <w:b/>
          <w:sz w:val="24"/>
          <w:szCs w:val="24"/>
        </w:rPr>
        <w:lastRenderedPageBreak/>
        <w:t>3. RESULTADOS E DISCUSSÃO</w:t>
      </w:r>
    </w:p>
    <w:p w:rsidR="007B551B" w:rsidRPr="00AB2550" w:rsidRDefault="007A25DD" w:rsidP="00AB2550">
      <w:pPr>
        <w:spacing w:before="240" w:line="360" w:lineRule="auto"/>
        <w:ind w:firstLine="708"/>
        <w:jc w:val="both"/>
        <w:rPr>
          <w:sz w:val="24"/>
          <w:szCs w:val="28"/>
        </w:rPr>
      </w:pPr>
      <w:r>
        <w:rPr>
          <w:sz w:val="24"/>
          <w:szCs w:val="28"/>
        </w:rPr>
        <w:t>M</w:t>
      </w:r>
      <w:r w:rsidR="007B551B" w:rsidRPr="00AB2550">
        <w:rPr>
          <w:sz w:val="24"/>
          <w:szCs w:val="28"/>
        </w:rPr>
        <w:t xml:space="preserve">aiores teores de carbono ocorreram no período </w:t>
      </w:r>
      <w:r>
        <w:rPr>
          <w:sz w:val="24"/>
          <w:szCs w:val="28"/>
        </w:rPr>
        <w:t>de estiagem</w:t>
      </w:r>
      <w:r w:rsidR="00D97B16">
        <w:rPr>
          <w:sz w:val="24"/>
          <w:szCs w:val="28"/>
        </w:rPr>
        <w:t xml:space="preserve"> (seco)</w:t>
      </w:r>
      <w:r w:rsidR="007B551B" w:rsidRPr="00AB2550">
        <w:rPr>
          <w:sz w:val="24"/>
          <w:szCs w:val="28"/>
        </w:rPr>
        <w:t xml:space="preserve">, sendo que, a precipitação contribui para percolação deste no meio inferindo na </w:t>
      </w:r>
      <w:r>
        <w:rPr>
          <w:sz w:val="24"/>
          <w:szCs w:val="28"/>
        </w:rPr>
        <w:t xml:space="preserve">sua retenção </w:t>
      </w:r>
      <w:r w:rsidR="007B551B" w:rsidRPr="00AB2550">
        <w:rPr>
          <w:sz w:val="24"/>
          <w:szCs w:val="28"/>
        </w:rPr>
        <w:t>na solução do solo.</w:t>
      </w:r>
    </w:p>
    <w:p w:rsidR="00FD6A42" w:rsidRDefault="00FD6A42" w:rsidP="00FD6A42">
      <w:pPr>
        <w:spacing w:after="120"/>
        <w:jc w:val="center"/>
        <w:rPr>
          <w:sz w:val="22"/>
          <w:szCs w:val="22"/>
        </w:rPr>
      </w:pPr>
      <w:r>
        <w:rPr>
          <w:sz w:val="22"/>
          <w:szCs w:val="22"/>
        </w:rPr>
        <w:t>Figura</w:t>
      </w:r>
      <w:r w:rsidRPr="00D13969">
        <w:rPr>
          <w:sz w:val="22"/>
          <w:szCs w:val="22"/>
        </w:rPr>
        <w:t xml:space="preserve"> </w:t>
      </w:r>
      <w:r>
        <w:rPr>
          <w:sz w:val="22"/>
          <w:szCs w:val="22"/>
        </w:rPr>
        <w:t xml:space="preserve">3 </w:t>
      </w:r>
      <w:r w:rsidRPr="00D13969">
        <w:rPr>
          <w:sz w:val="22"/>
          <w:szCs w:val="22"/>
        </w:rPr>
        <w:t xml:space="preserve">– </w:t>
      </w:r>
      <w:r>
        <w:rPr>
          <w:sz w:val="22"/>
          <w:szCs w:val="22"/>
        </w:rPr>
        <w:t>Teores obtidos do Agrossistema Vegetação Ripária nas MIC e MISJ a 30 e 60 cm.</w:t>
      </w:r>
    </w:p>
    <w:p w:rsidR="00FD6A42" w:rsidRPr="00DC4E3A" w:rsidRDefault="00A0097A" w:rsidP="00DC4E3A">
      <w:pPr>
        <w:spacing w:after="120"/>
        <w:jc w:val="center"/>
        <w:rPr>
          <w:color w:val="FF0000"/>
          <w:sz w:val="22"/>
          <w:szCs w:val="22"/>
        </w:rPr>
      </w:pPr>
      <w:r>
        <w:rPr>
          <w:noProof/>
        </w:rPr>
        <w:drawing>
          <wp:inline distT="0" distB="0" distL="0" distR="0" wp14:anchorId="3761A96B" wp14:editId="6BE11490">
            <wp:extent cx="4503600" cy="2952000"/>
            <wp:effectExtent l="0" t="0" r="0" b="1270"/>
            <wp:docPr id="2" name="Gráfico 2">
              <a:extLst xmlns:a="http://schemas.openxmlformats.org/drawingml/2006/main">
                <a:ext uri="{FF2B5EF4-FFF2-40B4-BE49-F238E27FC236}">
                  <a16:creationId xmlns:a16="http://schemas.microsoft.com/office/drawing/2014/main" id="{00000000-0008-0000-0B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F23B6" w:rsidRPr="007255AA" w:rsidRDefault="000F23B6" w:rsidP="007255AA">
      <w:pPr>
        <w:jc w:val="center"/>
        <w:rPr>
          <w:sz w:val="22"/>
          <w:szCs w:val="22"/>
        </w:rPr>
      </w:pPr>
      <w:r w:rsidRPr="00D13969">
        <w:rPr>
          <w:sz w:val="22"/>
          <w:szCs w:val="22"/>
        </w:rPr>
        <w:t xml:space="preserve">Fonte: </w:t>
      </w:r>
      <w:r w:rsidR="008A6215">
        <w:rPr>
          <w:sz w:val="22"/>
          <w:szCs w:val="22"/>
        </w:rPr>
        <w:t>A</w:t>
      </w:r>
      <w:r>
        <w:rPr>
          <w:sz w:val="22"/>
          <w:szCs w:val="22"/>
        </w:rPr>
        <w:t>utor</w:t>
      </w:r>
      <w:r w:rsidRPr="00D13969">
        <w:rPr>
          <w:sz w:val="22"/>
          <w:szCs w:val="22"/>
        </w:rPr>
        <w:t>, 201</w:t>
      </w:r>
      <w:r>
        <w:rPr>
          <w:sz w:val="22"/>
          <w:szCs w:val="22"/>
        </w:rPr>
        <w:t>8</w:t>
      </w:r>
      <w:r w:rsidR="007255AA">
        <w:rPr>
          <w:sz w:val="22"/>
          <w:szCs w:val="22"/>
        </w:rPr>
        <w:t>.</w:t>
      </w:r>
    </w:p>
    <w:p w:rsidR="000F23B6" w:rsidRPr="00AB2550" w:rsidRDefault="000F23B6" w:rsidP="000F23B6">
      <w:pPr>
        <w:rPr>
          <w:sz w:val="22"/>
          <w:szCs w:val="22"/>
        </w:rPr>
      </w:pPr>
    </w:p>
    <w:p w:rsidR="00FD6A42" w:rsidRDefault="00FD6A42" w:rsidP="00FD6A42">
      <w:pPr>
        <w:spacing w:after="120"/>
        <w:jc w:val="center"/>
        <w:rPr>
          <w:sz w:val="22"/>
          <w:szCs w:val="22"/>
        </w:rPr>
      </w:pPr>
      <w:r w:rsidRPr="00FF19F0">
        <w:rPr>
          <w:sz w:val="22"/>
          <w:szCs w:val="22"/>
        </w:rPr>
        <w:t xml:space="preserve">Figura </w:t>
      </w:r>
      <w:r>
        <w:rPr>
          <w:sz w:val="22"/>
          <w:szCs w:val="22"/>
        </w:rPr>
        <w:t>4</w:t>
      </w:r>
      <w:r w:rsidRPr="00FF19F0">
        <w:rPr>
          <w:sz w:val="22"/>
          <w:szCs w:val="22"/>
        </w:rPr>
        <w:t xml:space="preserve"> – Teores</w:t>
      </w:r>
      <w:r>
        <w:rPr>
          <w:sz w:val="22"/>
          <w:szCs w:val="22"/>
        </w:rPr>
        <w:t xml:space="preserve"> obtidos do Agrossistema SAFs nas MIC e MISJ a profundidades de 30 e 60 cm.</w:t>
      </w:r>
    </w:p>
    <w:p w:rsidR="00FD6A42" w:rsidRDefault="00DC4E3A" w:rsidP="00DC4E3A">
      <w:pPr>
        <w:spacing w:after="120"/>
        <w:jc w:val="center"/>
        <w:rPr>
          <w:color w:val="FF0000"/>
          <w:sz w:val="22"/>
          <w:szCs w:val="22"/>
        </w:rPr>
      </w:pPr>
      <w:r>
        <w:rPr>
          <w:noProof/>
        </w:rPr>
        <w:drawing>
          <wp:inline distT="0" distB="0" distL="0" distR="0" wp14:anchorId="187E1480" wp14:editId="708C4FD9">
            <wp:extent cx="4503600" cy="2880000"/>
            <wp:effectExtent l="0" t="0" r="0" b="0"/>
            <wp:docPr id="6" name="Gráfico 6">
              <a:extLst xmlns:a="http://schemas.openxmlformats.org/drawingml/2006/main">
                <a:ext uri="{FF2B5EF4-FFF2-40B4-BE49-F238E27FC236}">
                  <a16:creationId xmlns:a16="http://schemas.microsoft.com/office/drawing/2014/main" id="{00000000-0008-0000-0B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A6215" w:rsidRPr="007255AA" w:rsidRDefault="008A6215" w:rsidP="008A6215">
      <w:pPr>
        <w:jc w:val="center"/>
        <w:rPr>
          <w:sz w:val="22"/>
          <w:szCs w:val="22"/>
        </w:rPr>
      </w:pPr>
      <w:r w:rsidRPr="00D13969">
        <w:rPr>
          <w:sz w:val="22"/>
          <w:szCs w:val="22"/>
        </w:rPr>
        <w:t xml:space="preserve">Fonte: </w:t>
      </w:r>
      <w:r>
        <w:rPr>
          <w:sz w:val="22"/>
          <w:szCs w:val="22"/>
        </w:rPr>
        <w:t>Autor</w:t>
      </w:r>
      <w:r w:rsidRPr="00D13969">
        <w:rPr>
          <w:sz w:val="22"/>
          <w:szCs w:val="22"/>
        </w:rPr>
        <w:t>, 201</w:t>
      </w:r>
      <w:r>
        <w:rPr>
          <w:sz w:val="22"/>
          <w:szCs w:val="22"/>
        </w:rPr>
        <w:t>8.</w:t>
      </w:r>
    </w:p>
    <w:p w:rsidR="008A6215" w:rsidRPr="00DC4E3A" w:rsidRDefault="008A6215" w:rsidP="00DC4E3A">
      <w:pPr>
        <w:spacing w:after="120"/>
        <w:jc w:val="center"/>
        <w:rPr>
          <w:color w:val="FF0000"/>
          <w:sz w:val="22"/>
          <w:szCs w:val="22"/>
        </w:rPr>
      </w:pPr>
    </w:p>
    <w:p w:rsidR="00FD6A42" w:rsidRDefault="00FD6A42" w:rsidP="00FD6A42">
      <w:pPr>
        <w:spacing w:after="120"/>
        <w:jc w:val="center"/>
        <w:rPr>
          <w:sz w:val="22"/>
          <w:szCs w:val="22"/>
        </w:rPr>
      </w:pPr>
      <w:r w:rsidRPr="00FF19F0">
        <w:rPr>
          <w:sz w:val="22"/>
          <w:szCs w:val="22"/>
        </w:rPr>
        <w:t xml:space="preserve">Figura </w:t>
      </w:r>
      <w:r>
        <w:rPr>
          <w:sz w:val="22"/>
          <w:szCs w:val="22"/>
        </w:rPr>
        <w:t>5</w:t>
      </w:r>
      <w:r w:rsidRPr="00FF19F0">
        <w:rPr>
          <w:sz w:val="22"/>
          <w:szCs w:val="22"/>
        </w:rPr>
        <w:t xml:space="preserve"> – Teores</w:t>
      </w:r>
      <w:r>
        <w:rPr>
          <w:sz w:val="22"/>
          <w:szCs w:val="22"/>
        </w:rPr>
        <w:t xml:space="preserve"> obtidos do Agrossistema Capoeira nas MIC e MISJ a profundidades de 30 e 60 cm.</w:t>
      </w:r>
    </w:p>
    <w:p w:rsidR="00FD6A42" w:rsidRPr="005C6189" w:rsidRDefault="00DC4E3A" w:rsidP="005C6189">
      <w:pPr>
        <w:spacing w:after="120"/>
        <w:jc w:val="center"/>
        <w:rPr>
          <w:color w:val="FF0000"/>
          <w:sz w:val="22"/>
          <w:szCs w:val="22"/>
        </w:rPr>
      </w:pPr>
      <w:r>
        <w:rPr>
          <w:noProof/>
        </w:rPr>
        <w:drawing>
          <wp:inline distT="0" distB="0" distL="0" distR="0" wp14:anchorId="087AD4C7" wp14:editId="4ED01F66">
            <wp:extent cx="4503600" cy="3096000"/>
            <wp:effectExtent l="0" t="0" r="0" b="0"/>
            <wp:docPr id="9" name="Gráfico 9">
              <a:extLst xmlns:a="http://schemas.openxmlformats.org/drawingml/2006/main">
                <a:ext uri="{FF2B5EF4-FFF2-40B4-BE49-F238E27FC236}">
                  <a16:creationId xmlns:a16="http://schemas.microsoft.com/office/drawing/2014/main" id="{00000000-0008-0000-0B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23B6" w:rsidRPr="000F23B6" w:rsidRDefault="000F23B6" w:rsidP="007A25DD">
      <w:pPr>
        <w:spacing w:before="120" w:line="360" w:lineRule="auto"/>
        <w:jc w:val="center"/>
        <w:rPr>
          <w:sz w:val="22"/>
          <w:szCs w:val="22"/>
        </w:rPr>
      </w:pPr>
      <w:r w:rsidRPr="00D13969">
        <w:rPr>
          <w:sz w:val="22"/>
          <w:szCs w:val="22"/>
        </w:rPr>
        <w:t xml:space="preserve">Fonte: </w:t>
      </w:r>
      <w:r w:rsidR="008A6215">
        <w:rPr>
          <w:sz w:val="22"/>
          <w:szCs w:val="22"/>
        </w:rPr>
        <w:t>A</w:t>
      </w:r>
      <w:r>
        <w:rPr>
          <w:sz w:val="22"/>
          <w:szCs w:val="22"/>
        </w:rPr>
        <w:t>utor</w:t>
      </w:r>
      <w:r w:rsidRPr="00D13969">
        <w:rPr>
          <w:sz w:val="22"/>
          <w:szCs w:val="22"/>
        </w:rPr>
        <w:t>, 201</w:t>
      </w:r>
      <w:r>
        <w:rPr>
          <w:sz w:val="22"/>
          <w:szCs w:val="22"/>
        </w:rPr>
        <w:t>8</w:t>
      </w:r>
      <w:r w:rsidRPr="00D13969">
        <w:rPr>
          <w:sz w:val="22"/>
          <w:szCs w:val="22"/>
        </w:rPr>
        <w:t>.</w:t>
      </w:r>
    </w:p>
    <w:p w:rsidR="007A1D9E" w:rsidRDefault="007A1D9E" w:rsidP="00FD6A42">
      <w:pPr>
        <w:jc w:val="both"/>
        <w:rPr>
          <w:noProof/>
          <w:sz w:val="24"/>
        </w:rPr>
      </w:pPr>
    </w:p>
    <w:p w:rsidR="00FD6A42" w:rsidRDefault="00FD6A42" w:rsidP="00FD6A42">
      <w:pPr>
        <w:spacing w:after="120"/>
        <w:jc w:val="center"/>
        <w:rPr>
          <w:sz w:val="22"/>
          <w:szCs w:val="22"/>
        </w:rPr>
      </w:pPr>
      <w:r w:rsidRPr="00FF19F0">
        <w:rPr>
          <w:sz w:val="22"/>
          <w:szCs w:val="22"/>
        </w:rPr>
        <w:t xml:space="preserve">Figura </w:t>
      </w:r>
      <w:r>
        <w:rPr>
          <w:sz w:val="22"/>
          <w:szCs w:val="22"/>
        </w:rPr>
        <w:t>6</w:t>
      </w:r>
      <w:r w:rsidRPr="00FF19F0">
        <w:rPr>
          <w:sz w:val="22"/>
          <w:szCs w:val="22"/>
        </w:rPr>
        <w:t xml:space="preserve"> – Teores</w:t>
      </w:r>
      <w:r>
        <w:rPr>
          <w:sz w:val="22"/>
          <w:szCs w:val="22"/>
        </w:rPr>
        <w:t xml:space="preserve"> obtidos do Agrossistema Queima nas MIC e MISJ a profundidades de 30 e 60 cm.</w:t>
      </w:r>
    </w:p>
    <w:p w:rsidR="00FD6A42" w:rsidRPr="005C6189" w:rsidRDefault="005C6189" w:rsidP="005C6189">
      <w:pPr>
        <w:spacing w:after="120"/>
        <w:jc w:val="center"/>
        <w:rPr>
          <w:color w:val="FF0000"/>
          <w:sz w:val="22"/>
          <w:szCs w:val="22"/>
        </w:rPr>
      </w:pPr>
      <w:r>
        <w:rPr>
          <w:noProof/>
        </w:rPr>
        <w:drawing>
          <wp:inline distT="0" distB="0" distL="0" distR="0" wp14:anchorId="1231BCC2" wp14:editId="732F3B65">
            <wp:extent cx="4503600" cy="3024000"/>
            <wp:effectExtent l="0" t="0" r="0" b="5080"/>
            <wp:docPr id="10" name="Gráfico 10">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23B6" w:rsidRDefault="000F23B6" w:rsidP="000F23B6">
      <w:pPr>
        <w:spacing w:before="120" w:line="360" w:lineRule="auto"/>
        <w:jc w:val="center"/>
        <w:rPr>
          <w:sz w:val="22"/>
          <w:szCs w:val="22"/>
        </w:rPr>
      </w:pPr>
      <w:r w:rsidRPr="00D13969">
        <w:rPr>
          <w:sz w:val="22"/>
          <w:szCs w:val="22"/>
        </w:rPr>
        <w:t>Fonte:</w:t>
      </w:r>
      <w:r w:rsidR="008A6215">
        <w:rPr>
          <w:sz w:val="22"/>
          <w:szCs w:val="22"/>
        </w:rPr>
        <w:t xml:space="preserve"> A</w:t>
      </w:r>
      <w:r>
        <w:rPr>
          <w:sz w:val="22"/>
          <w:szCs w:val="22"/>
        </w:rPr>
        <w:t>utor</w:t>
      </w:r>
      <w:r w:rsidRPr="00D13969">
        <w:rPr>
          <w:sz w:val="22"/>
          <w:szCs w:val="22"/>
        </w:rPr>
        <w:t>, 201</w:t>
      </w:r>
      <w:r>
        <w:rPr>
          <w:sz w:val="22"/>
          <w:szCs w:val="22"/>
        </w:rPr>
        <w:t>8</w:t>
      </w:r>
      <w:r w:rsidRPr="00D13969">
        <w:rPr>
          <w:sz w:val="22"/>
          <w:szCs w:val="22"/>
        </w:rPr>
        <w:t>.</w:t>
      </w:r>
    </w:p>
    <w:p w:rsidR="000F23B6" w:rsidRDefault="000F23B6" w:rsidP="00FD6A42">
      <w:pPr>
        <w:spacing w:after="120"/>
        <w:jc w:val="center"/>
        <w:rPr>
          <w:noProof/>
        </w:rPr>
      </w:pPr>
    </w:p>
    <w:p w:rsidR="000F23B6" w:rsidRPr="00D97B16" w:rsidRDefault="000F23B6" w:rsidP="000F23B6">
      <w:pPr>
        <w:spacing w:line="360" w:lineRule="auto"/>
        <w:ind w:firstLine="708"/>
        <w:jc w:val="both"/>
        <w:rPr>
          <w:sz w:val="24"/>
          <w:szCs w:val="24"/>
        </w:rPr>
      </w:pPr>
      <w:r w:rsidRPr="00D97B16">
        <w:rPr>
          <w:sz w:val="24"/>
          <w:szCs w:val="24"/>
        </w:rPr>
        <w:lastRenderedPageBreak/>
        <w:t xml:space="preserve">Conforme a figura 3 e 5, observa-se que entre as estações (Chuvosa, seca, TR1 e TR2) para cada microbacia, agrossistema e profundidades de 30 e 60 cm, os teores de </w:t>
      </w:r>
      <w:r w:rsidR="00D97B16" w:rsidRPr="00D97B16">
        <w:rPr>
          <w:sz w:val="24"/>
          <w:szCs w:val="24"/>
        </w:rPr>
        <w:t>C</w:t>
      </w:r>
      <w:r w:rsidRPr="00D97B16">
        <w:rPr>
          <w:sz w:val="24"/>
          <w:szCs w:val="24"/>
        </w:rPr>
        <w:t>T</w:t>
      </w:r>
      <w:r w:rsidR="00B80297">
        <w:rPr>
          <w:sz w:val="24"/>
          <w:szCs w:val="24"/>
        </w:rPr>
        <w:t>D</w:t>
      </w:r>
      <w:r w:rsidRPr="00D97B16">
        <w:rPr>
          <w:sz w:val="24"/>
          <w:szCs w:val="24"/>
        </w:rPr>
        <w:t xml:space="preserve"> foram mais elevados na </w:t>
      </w:r>
      <w:r w:rsidR="00B80297">
        <w:rPr>
          <w:sz w:val="24"/>
          <w:szCs w:val="24"/>
        </w:rPr>
        <w:t>v</w:t>
      </w:r>
      <w:r w:rsidRPr="00D97B16">
        <w:rPr>
          <w:sz w:val="24"/>
          <w:szCs w:val="24"/>
        </w:rPr>
        <w:t>egetação com regeneração de até 20 anos/</w:t>
      </w:r>
      <w:r w:rsidR="00B80297">
        <w:rPr>
          <w:sz w:val="24"/>
          <w:szCs w:val="24"/>
        </w:rPr>
        <w:t>c</w:t>
      </w:r>
      <w:r w:rsidRPr="00D97B16">
        <w:rPr>
          <w:sz w:val="24"/>
          <w:szCs w:val="24"/>
        </w:rPr>
        <w:t>apoeira tendo como resultados 8,57±0,72 mg/L e 7,29±0,39 mg/L na MIC e na MISJ obtiveram-se os valores 22,46±</w:t>
      </w:r>
      <w:r w:rsidR="00AA6C5E" w:rsidRPr="00D97B16">
        <w:rPr>
          <w:sz w:val="24"/>
          <w:szCs w:val="24"/>
        </w:rPr>
        <w:t xml:space="preserve">7,67 mg/L e 14,00±1,14 mg/L. Que em </w:t>
      </w:r>
      <w:r w:rsidRPr="00D97B16">
        <w:rPr>
          <w:sz w:val="24"/>
          <w:szCs w:val="24"/>
        </w:rPr>
        <w:t xml:space="preserve">comparação com a vegetação ripária (10,77±5,61 mg/L e 2,28±0,70 mg/L na MIC e 16,02±2,58 mg/L e 19,06±4,85 mg/L na MISJ), mostra que estas vegetações não são capazes de fixar o carbono disponível na solução </w:t>
      </w:r>
      <w:r w:rsidR="00643160" w:rsidRPr="00D97B16">
        <w:rPr>
          <w:sz w:val="24"/>
          <w:szCs w:val="24"/>
        </w:rPr>
        <w:t xml:space="preserve">do </w:t>
      </w:r>
      <w:r w:rsidRPr="00D97B16">
        <w:rPr>
          <w:sz w:val="24"/>
          <w:szCs w:val="24"/>
        </w:rPr>
        <w:t>solo com a mesma capacidade de uma vegetação mais antiga.</w:t>
      </w:r>
    </w:p>
    <w:p w:rsidR="000F23B6" w:rsidRPr="00D97B16" w:rsidRDefault="000F23B6" w:rsidP="000F23B6">
      <w:pPr>
        <w:spacing w:line="360" w:lineRule="auto"/>
        <w:ind w:firstLine="708"/>
        <w:jc w:val="both"/>
        <w:rPr>
          <w:sz w:val="24"/>
          <w:szCs w:val="24"/>
        </w:rPr>
      </w:pPr>
      <w:r w:rsidRPr="00D97B16">
        <w:rPr>
          <w:sz w:val="24"/>
          <w:szCs w:val="24"/>
        </w:rPr>
        <w:t xml:space="preserve">Nas figuras 6 e 7, os valores encontrados para o parâmetro de </w:t>
      </w:r>
      <w:r w:rsidR="00643160" w:rsidRPr="00D97B16">
        <w:rPr>
          <w:sz w:val="24"/>
          <w:szCs w:val="24"/>
        </w:rPr>
        <w:t>CTD</w:t>
      </w:r>
      <w:r w:rsidRPr="00D97B16">
        <w:rPr>
          <w:sz w:val="24"/>
          <w:szCs w:val="24"/>
        </w:rPr>
        <w:t xml:space="preserve"> no agrossistema de queima das respectivas profundidades de 30 e 60 cm (13,48 mg/L e 15,51±3,37 mg/L na MIC e 31,64±37,90 mg/L e 20,51 mg/L na MISJ) apresentou uma diferença considerável em relação ao agrossistema de trituração (11,08 mg/L e 11,69 mg/L na MIC e 9,27 mg/L e 7,46±1,51 mg/L na MISJ), ocorrendo excesso de carbono na solução do solo como efeito da prática de agricultura com queima. Este resultado pode estar relacionado aos restos de vegetais carbonizados residuais, que podem até duplicar a quantidade de carbono nas camadas mais superficiais do solo.</w:t>
      </w:r>
    </w:p>
    <w:p w:rsidR="000F23B6" w:rsidRDefault="000F23B6" w:rsidP="007A25DD">
      <w:pPr>
        <w:spacing w:after="120"/>
        <w:rPr>
          <w:noProof/>
        </w:rPr>
      </w:pPr>
    </w:p>
    <w:p w:rsidR="000F23B6" w:rsidRDefault="000F23B6" w:rsidP="000F23B6">
      <w:pPr>
        <w:spacing w:after="120"/>
        <w:jc w:val="center"/>
        <w:rPr>
          <w:sz w:val="22"/>
          <w:szCs w:val="22"/>
        </w:rPr>
      </w:pPr>
      <w:r w:rsidRPr="00FF19F0">
        <w:rPr>
          <w:sz w:val="22"/>
          <w:szCs w:val="22"/>
        </w:rPr>
        <w:t xml:space="preserve">Figura </w:t>
      </w:r>
      <w:r>
        <w:rPr>
          <w:sz w:val="22"/>
          <w:szCs w:val="22"/>
        </w:rPr>
        <w:t>7</w:t>
      </w:r>
      <w:r w:rsidRPr="00FF19F0">
        <w:rPr>
          <w:sz w:val="22"/>
          <w:szCs w:val="22"/>
        </w:rPr>
        <w:t xml:space="preserve"> – Teor</w:t>
      </w:r>
      <w:r>
        <w:rPr>
          <w:sz w:val="22"/>
          <w:szCs w:val="22"/>
        </w:rPr>
        <w:t>es obtidos do Agrossistema Trituração nas MIC e MISJ a profundidades de 30 e 60 cm.</w:t>
      </w:r>
    </w:p>
    <w:p w:rsidR="000F23B6" w:rsidRPr="005C6189" w:rsidRDefault="005C6189" w:rsidP="005C6189">
      <w:pPr>
        <w:spacing w:after="120"/>
        <w:jc w:val="center"/>
        <w:rPr>
          <w:color w:val="FF0000"/>
          <w:sz w:val="22"/>
          <w:szCs w:val="22"/>
        </w:rPr>
      </w:pPr>
      <w:r>
        <w:rPr>
          <w:noProof/>
        </w:rPr>
        <w:drawing>
          <wp:inline distT="0" distB="0" distL="0" distR="0" wp14:anchorId="20C4C178" wp14:editId="7FF3B706">
            <wp:extent cx="4503600" cy="3096000"/>
            <wp:effectExtent l="0" t="0" r="0" b="0"/>
            <wp:docPr id="12" name="Gráfico 12">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23B6" w:rsidRDefault="000F23B6" w:rsidP="000F23B6">
      <w:pPr>
        <w:spacing w:before="120" w:line="360" w:lineRule="auto"/>
        <w:jc w:val="center"/>
        <w:rPr>
          <w:sz w:val="22"/>
          <w:szCs w:val="22"/>
        </w:rPr>
      </w:pPr>
      <w:r>
        <w:rPr>
          <w:sz w:val="22"/>
          <w:szCs w:val="22"/>
        </w:rPr>
        <w:t xml:space="preserve">Fonte: </w:t>
      </w:r>
      <w:r w:rsidR="008A6215">
        <w:rPr>
          <w:sz w:val="22"/>
          <w:szCs w:val="22"/>
        </w:rPr>
        <w:t>A</w:t>
      </w:r>
      <w:r>
        <w:rPr>
          <w:sz w:val="22"/>
          <w:szCs w:val="22"/>
        </w:rPr>
        <w:t>utor, 2018.</w:t>
      </w:r>
    </w:p>
    <w:p w:rsidR="00FD6A42" w:rsidRDefault="00FD6A42" w:rsidP="00FD6A42">
      <w:pPr>
        <w:spacing w:after="120"/>
        <w:jc w:val="center"/>
        <w:rPr>
          <w:sz w:val="22"/>
          <w:szCs w:val="22"/>
        </w:rPr>
      </w:pPr>
      <w:r>
        <w:rPr>
          <w:sz w:val="22"/>
          <w:szCs w:val="22"/>
        </w:rPr>
        <w:lastRenderedPageBreak/>
        <w:t>Figura 8</w:t>
      </w:r>
      <w:r w:rsidRPr="00FF19F0">
        <w:rPr>
          <w:sz w:val="22"/>
          <w:szCs w:val="22"/>
        </w:rPr>
        <w:t xml:space="preserve"> – Teores</w:t>
      </w:r>
      <w:r>
        <w:rPr>
          <w:sz w:val="22"/>
          <w:szCs w:val="22"/>
        </w:rPr>
        <w:t xml:space="preserve"> obtidos do Agrossistema Pastagem nas MIC e MISJ a profundidades de 30 e 60 cm.</w:t>
      </w:r>
    </w:p>
    <w:p w:rsidR="00FD6A42" w:rsidRPr="005C6189" w:rsidRDefault="005C6189" w:rsidP="005C6189">
      <w:pPr>
        <w:spacing w:after="120"/>
        <w:jc w:val="center"/>
        <w:rPr>
          <w:color w:val="FF0000"/>
          <w:sz w:val="22"/>
          <w:szCs w:val="22"/>
        </w:rPr>
      </w:pPr>
      <w:r>
        <w:rPr>
          <w:noProof/>
        </w:rPr>
        <w:drawing>
          <wp:inline distT="0" distB="0" distL="0" distR="0" wp14:anchorId="50BE3E7C" wp14:editId="3E5414A2">
            <wp:extent cx="4647600" cy="2880000"/>
            <wp:effectExtent l="0" t="0" r="635" b="0"/>
            <wp:docPr id="15" name="Gráfico 15">
              <a:extLst xmlns:a="http://schemas.openxmlformats.org/drawingml/2006/main">
                <a:ext uri="{FF2B5EF4-FFF2-40B4-BE49-F238E27FC236}">
                  <a16:creationId xmlns:a16="http://schemas.microsoft.com/office/drawing/2014/main" id="{00000000-0008-0000-0B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23B6" w:rsidRPr="000F23B6" w:rsidRDefault="000F23B6" w:rsidP="000F23B6">
      <w:pPr>
        <w:spacing w:before="120" w:line="360" w:lineRule="auto"/>
        <w:jc w:val="center"/>
        <w:rPr>
          <w:sz w:val="22"/>
          <w:szCs w:val="22"/>
        </w:rPr>
      </w:pPr>
      <w:r w:rsidRPr="00D13969">
        <w:rPr>
          <w:sz w:val="22"/>
          <w:szCs w:val="22"/>
        </w:rPr>
        <w:t xml:space="preserve">Fonte: </w:t>
      </w:r>
      <w:r w:rsidR="008A6215">
        <w:rPr>
          <w:sz w:val="22"/>
          <w:szCs w:val="22"/>
        </w:rPr>
        <w:t>A</w:t>
      </w:r>
      <w:r>
        <w:rPr>
          <w:sz w:val="22"/>
          <w:szCs w:val="22"/>
        </w:rPr>
        <w:t>utor</w:t>
      </w:r>
      <w:r w:rsidRPr="00D13969">
        <w:rPr>
          <w:sz w:val="22"/>
          <w:szCs w:val="22"/>
        </w:rPr>
        <w:t>, 201</w:t>
      </w:r>
      <w:r>
        <w:rPr>
          <w:sz w:val="22"/>
          <w:szCs w:val="22"/>
        </w:rPr>
        <w:t>8</w:t>
      </w:r>
      <w:r w:rsidRPr="00D13969">
        <w:rPr>
          <w:sz w:val="22"/>
          <w:szCs w:val="22"/>
        </w:rPr>
        <w:t>.</w:t>
      </w:r>
    </w:p>
    <w:p w:rsidR="000F23B6" w:rsidRDefault="000F23B6" w:rsidP="007A25DD">
      <w:pPr>
        <w:spacing w:line="360" w:lineRule="auto"/>
        <w:ind w:firstLine="708"/>
        <w:jc w:val="both"/>
        <w:rPr>
          <w:sz w:val="24"/>
          <w:szCs w:val="24"/>
        </w:rPr>
      </w:pPr>
      <w:r>
        <w:rPr>
          <w:sz w:val="24"/>
          <w:szCs w:val="24"/>
        </w:rPr>
        <w:t>Para os teores de COD</w:t>
      </w:r>
      <w:r w:rsidRPr="003556F4">
        <w:rPr>
          <w:sz w:val="24"/>
          <w:szCs w:val="24"/>
        </w:rPr>
        <w:t xml:space="preserve"> obteve-se variação </w:t>
      </w:r>
      <w:r>
        <w:rPr>
          <w:sz w:val="24"/>
          <w:szCs w:val="24"/>
        </w:rPr>
        <w:t>espaço-temporal nos resultados</w:t>
      </w:r>
      <w:r w:rsidRPr="003556F4">
        <w:rPr>
          <w:sz w:val="24"/>
          <w:szCs w:val="24"/>
        </w:rPr>
        <w:t xml:space="preserve"> </w:t>
      </w:r>
      <w:r>
        <w:rPr>
          <w:sz w:val="24"/>
          <w:szCs w:val="24"/>
        </w:rPr>
        <w:t>obtendo-se teores mais baixos nos a</w:t>
      </w:r>
      <w:r w:rsidRPr="003556F4">
        <w:rPr>
          <w:sz w:val="24"/>
          <w:szCs w:val="24"/>
        </w:rPr>
        <w:t xml:space="preserve">grossistemas </w:t>
      </w:r>
      <w:r>
        <w:rPr>
          <w:sz w:val="24"/>
          <w:szCs w:val="24"/>
        </w:rPr>
        <w:t xml:space="preserve">de </w:t>
      </w:r>
      <w:r w:rsidRPr="003556F4">
        <w:rPr>
          <w:sz w:val="24"/>
          <w:szCs w:val="24"/>
        </w:rPr>
        <w:t xml:space="preserve">SAFs </w:t>
      </w:r>
      <w:r>
        <w:rPr>
          <w:sz w:val="24"/>
          <w:szCs w:val="24"/>
        </w:rPr>
        <w:t xml:space="preserve">das respectivas </w:t>
      </w:r>
      <w:r w:rsidRPr="003556F4">
        <w:rPr>
          <w:sz w:val="24"/>
          <w:szCs w:val="24"/>
        </w:rPr>
        <w:t>profundidades de 30 e 60 cm (2,54±1,78 mg/L e 3,45±0,34 mg/L na MIC e 5,85±5,40 mg/L e 7,79±3,33 mg/L na MISJ</w:t>
      </w:r>
      <w:r>
        <w:rPr>
          <w:sz w:val="24"/>
          <w:szCs w:val="24"/>
        </w:rPr>
        <w:t xml:space="preserve">), ambos observados nas figuras </w:t>
      </w:r>
      <w:r w:rsidR="00794F91">
        <w:rPr>
          <w:sz w:val="24"/>
          <w:szCs w:val="24"/>
        </w:rPr>
        <w:t>4</w:t>
      </w:r>
      <w:r>
        <w:rPr>
          <w:sz w:val="24"/>
          <w:szCs w:val="24"/>
        </w:rPr>
        <w:t>,</w:t>
      </w:r>
      <w:r w:rsidRPr="003556F4">
        <w:rPr>
          <w:sz w:val="24"/>
          <w:szCs w:val="24"/>
        </w:rPr>
        <w:t xml:space="preserve"> e </w:t>
      </w:r>
      <w:r>
        <w:rPr>
          <w:sz w:val="24"/>
          <w:szCs w:val="24"/>
        </w:rPr>
        <w:t>na vegetação r</w:t>
      </w:r>
      <w:r w:rsidRPr="003556F4">
        <w:rPr>
          <w:sz w:val="24"/>
          <w:szCs w:val="24"/>
        </w:rPr>
        <w:t>ipária (1,97±0,55 mg/L na profundidade de 60 cm na MIC)</w:t>
      </w:r>
      <w:r>
        <w:rPr>
          <w:sz w:val="24"/>
          <w:szCs w:val="24"/>
        </w:rPr>
        <w:t>,</w:t>
      </w:r>
      <w:r w:rsidRPr="004E4749">
        <w:rPr>
          <w:sz w:val="24"/>
          <w:szCs w:val="24"/>
        </w:rPr>
        <w:t xml:space="preserve"> </w:t>
      </w:r>
      <w:r>
        <w:rPr>
          <w:sz w:val="24"/>
          <w:szCs w:val="24"/>
        </w:rPr>
        <w:t xml:space="preserve">observado na figura </w:t>
      </w:r>
      <w:r w:rsidR="00794F91">
        <w:rPr>
          <w:sz w:val="24"/>
          <w:szCs w:val="24"/>
        </w:rPr>
        <w:t>3</w:t>
      </w:r>
      <w:r w:rsidRPr="003556F4">
        <w:rPr>
          <w:sz w:val="24"/>
          <w:szCs w:val="24"/>
        </w:rPr>
        <w:t xml:space="preserve">, que possuem uma cobertura vegetal mais ampla e diversa em relação aos outros </w:t>
      </w:r>
      <w:r>
        <w:rPr>
          <w:sz w:val="24"/>
          <w:szCs w:val="24"/>
        </w:rPr>
        <w:t>agrossistemas contribuindo para maior retenção no meio.</w:t>
      </w:r>
    </w:p>
    <w:p w:rsidR="000F23B6" w:rsidRDefault="00DB30BE" w:rsidP="007255AA">
      <w:pPr>
        <w:spacing w:line="360" w:lineRule="auto"/>
        <w:ind w:firstLine="708"/>
        <w:jc w:val="both"/>
        <w:rPr>
          <w:sz w:val="24"/>
          <w:szCs w:val="24"/>
        </w:rPr>
      </w:pPr>
      <w:r>
        <w:rPr>
          <w:sz w:val="24"/>
          <w:szCs w:val="24"/>
        </w:rPr>
        <w:t>Conforme a figura 6 e 8, n</w:t>
      </w:r>
      <w:r w:rsidR="000F23B6">
        <w:rPr>
          <w:sz w:val="24"/>
          <w:szCs w:val="24"/>
        </w:rPr>
        <w:t>os a</w:t>
      </w:r>
      <w:r w:rsidR="000F23B6" w:rsidRPr="003556F4">
        <w:rPr>
          <w:sz w:val="24"/>
          <w:szCs w:val="24"/>
        </w:rPr>
        <w:t xml:space="preserve">grossistemas </w:t>
      </w:r>
      <w:r w:rsidR="000F23B6">
        <w:rPr>
          <w:sz w:val="24"/>
          <w:szCs w:val="24"/>
        </w:rPr>
        <w:t>de q</w:t>
      </w:r>
      <w:r w:rsidR="000F23B6" w:rsidRPr="003556F4">
        <w:rPr>
          <w:sz w:val="24"/>
          <w:szCs w:val="24"/>
        </w:rPr>
        <w:t>ueima</w:t>
      </w:r>
      <w:r w:rsidR="000F23B6">
        <w:rPr>
          <w:sz w:val="24"/>
          <w:szCs w:val="24"/>
        </w:rPr>
        <w:t xml:space="preserve"> e pastagem</w:t>
      </w:r>
      <w:r>
        <w:rPr>
          <w:sz w:val="24"/>
          <w:szCs w:val="24"/>
        </w:rPr>
        <w:t xml:space="preserve">, </w:t>
      </w:r>
      <w:r w:rsidR="000F23B6">
        <w:rPr>
          <w:sz w:val="24"/>
          <w:szCs w:val="24"/>
        </w:rPr>
        <w:t>apresentaram as maiores concentrações. O</w:t>
      </w:r>
      <w:r>
        <w:rPr>
          <w:sz w:val="24"/>
          <w:szCs w:val="24"/>
        </w:rPr>
        <w:t>correndo na queima os valores</w:t>
      </w:r>
      <w:r w:rsidR="000F23B6">
        <w:rPr>
          <w:sz w:val="24"/>
          <w:szCs w:val="24"/>
        </w:rPr>
        <w:t xml:space="preserve"> </w:t>
      </w:r>
      <w:r w:rsidR="000F23B6" w:rsidRPr="003556F4">
        <w:rPr>
          <w:sz w:val="24"/>
          <w:szCs w:val="24"/>
        </w:rPr>
        <w:t>18,99±12,25 mg/L e 14,63±2,62 mg/</w:t>
      </w:r>
      <w:r w:rsidR="000F23B6">
        <w:rPr>
          <w:sz w:val="24"/>
          <w:szCs w:val="24"/>
        </w:rPr>
        <w:t xml:space="preserve">L </w:t>
      </w:r>
      <w:r w:rsidR="000F23B6" w:rsidRPr="003556F4">
        <w:rPr>
          <w:sz w:val="24"/>
          <w:szCs w:val="24"/>
        </w:rPr>
        <w:t>na MIC e 23,97±23,44 mg/L e 19,45±2,20 mg/L</w:t>
      </w:r>
      <w:r>
        <w:rPr>
          <w:sz w:val="24"/>
          <w:szCs w:val="24"/>
        </w:rPr>
        <w:t>)</w:t>
      </w:r>
      <w:r w:rsidR="000F23B6" w:rsidRPr="003556F4">
        <w:rPr>
          <w:sz w:val="24"/>
          <w:szCs w:val="24"/>
        </w:rPr>
        <w:t xml:space="preserve"> </w:t>
      </w:r>
      <w:r w:rsidR="000F23B6">
        <w:rPr>
          <w:sz w:val="24"/>
          <w:szCs w:val="24"/>
        </w:rPr>
        <w:t xml:space="preserve">na MISJ e na pastagem </w:t>
      </w:r>
      <w:r>
        <w:rPr>
          <w:sz w:val="24"/>
          <w:szCs w:val="24"/>
        </w:rPr>
        <w:t>(</w:t>
      </w:r>
      <w:r w:rsidR="000F23B6" w:rsidRPr="003556F4">
        <w:rPr>
          <w:sz w:val="24"/>
          <w:szCs w:val="24"/>
        </w:rPr>
        <w:t>7,81±0,42 mg/L e 6,95±3,29 mg/L</w:t>
      </w:r>
      <w:r w:rsidR="000F23B6">
        <w:rPr>
          <w:sz w:val="24"/>
          <w:szCs w:val="24"/>
        </w:rPr>
        <w:t xml:space="preserve"> na MIC</w:t>
      </w:r>
      <w:r w:rsidR="000F23B6" w:rsidRPr="003556F4">
        <w:rPr>
          <w:sz w:val="24"/>
          <w:szCs w:val="24"/>
        </w:rPr>
        <w:t xml:space="preserve"> e 22,52±6,39 mg/L e 15,96±7,35 mg/L na MISJ</w:t>
      </w:r>
      <w:r w:rsidR="000F23B6">
        <w:rPr>
          <w:sz w:val="24"/>
          <w:szCs w:val="24"/>
        </w:rPr>
        <w:t>. Na qual</w:t>
      </w:r>
      <w:r w:rsidR="000F23B6" w:rsidRPr="000F23B6">
        <w:rPr>
          <w:sz w:val="24"/>
          <w:szCs w:val="24"/>
        </w:rPr>
        <w:t xml:space="preserve"> </w:t>
      </w:r>
      <w:r w:rsidR="000F23B6">
        <w:rPr>
          <w:sz w:val="24"/>
          <w:szCs w:val="24"/>
        </w:rPr>
        <w:t>apresentam características distintas,</w:t>
      </w:r>
      <w:r w:rsidR="000F23B6" w:rsidRPr="003556F4">
        <w:rPr>
          <w:sz w:val="24"/>
          <w:szCs w:val="24"/>
        </w:rPr>
        <w:t xml:space="preserve"> </w:t>
      </w:r>
      <w:r>
        <w:rPr>
          <w:sz w:val="24"/>
          <w:szCs w:val="24"/>
        </w:rPr>
        <w:t>tendo-se</w:t>
      </w:r>
      <w:r w:rsidR="000F23B6" w:rsidRPr="003556F4">
        <w:rPr>
          <w:sz w:val="24"/>
          <w:szCs w:val="24"/>
        </w:rPr>
        <w:t xml:space="preserve"> concentrações mais elevadas na MISJ</w:t>
      </w:r>
      <w:r w:rsidR="000F23B6">
        <w:rPr>
          <w:sz w:val="24"/>
          <w:szCs w:val="24"/>
        </w:rPr>
        <w:t xml:space="preserve">. </w:t>
      </w:r>
      <w:r w:rsidR="000F23B6" w:rsidRPr="00CF2E7B">
        <w:rPr>
          <w:sz w:val="24"/>
          <w:szCs w:val="24"/>
        </w:rPr>
        <w:t xml:space="preserve">Em relação aos teores de </w:t>
      </w:r>
      <w:r w:rsidR="000F23B6">
        <w:rPr>
          <w:sz w:val="24"/>
          <w:szCs w:val="24"/>
        </w:rPr>
        <w:t>CTD (figuras 3 a 8</w:t>
      </w:r>
      <w:r w:rsidR="000F23B6" w:rsidRPr="00CF2E7B">
        <w:rPr>
          <w:sz w:val="24"/>
          <w:szCs w:val="24"/>
        </w:rPr>
        <w:t xml:space="preserve">), as concentrações </w:t>
      </w:r>
      <w:r>
        <w:rPr>
          <w:sz w:val="24"/>
          <w:szCs w:val="24"/>
        </w:rPr>
        <w:t>foram menores</w:t>
      </w:r>
      <w:r w:rsidR="000F23B6" w:rsidRPr="00CF2E7B">
        <w:rPr>
          <w:sz w:val="24"/>
          <w:szCs w:val="24"/>
        </w:rPr>
        <w:t xml:space="preserve"> nos agrossistemas SAFs e vegetação ripária nas profundidades</w:t>
      </w:r>
      <w:r w:rsidR="000F23B6">
        <w:rPr>
          <w:sz w:val="24"/>
          <w:szCs w:val="24"/>
        </w:rPr>
        <w:t xml:space="preserve"> de 60 cm. F</w:t>
      </w:r>
      <w:r w:rsidR="000F23B6" w:rsidRPr="00CF2E7B">
        <w:rPr>
          <w:sz w:val="24"/>
          <w:szCs w:val="24"/>
        </w:rPr>
        <w:t>oram observados teores mais elevados na pastagem e na queima, destacando-se na MISJ, onde</w:t>
      </w:r>
      <w:r w:rsidR="000F23B6">
        <w:rPr>
          <w:sz w:val="24"/>
          <w:szCs w:val="24"/>
        </w:rPr>
        <w:t xml:space="preserve"> os</w:t>
      </w:r>
      <w:r w:rsidR="000F23B6" w:rsidRPr="00CF2E7B">
        <w:rPr>
          <w:sz w:val="24"/>
          <w:szCs w:val="24"/>
        </w:rPr>
        <w:t xml:space="preserve"> valores apresentaram-se mais elevadas. Estes fatores podem ser justificados, segundo o estudo de MENEZES (2018), que verificou que as águas subterrâneas destas microbacias possuem maiores </w:t>
      </w:r>
      <w:r w:rsidR="000F23B6">
        <w:rPr>
          <w:sz w:val="24"/>
          <w:szCs w:val="24"/>
        </w:rPr>
        <w:t>concentrações de COD</w:t>
      </w:r>
      <w:r w:rsidR="000F23B6" w:rsidRPr="00CF2E7B">
        <w:rPr>
          <w:sz w:val="24"/>
          <w:szCs w:val="24"/>
        </w:rPr>
        <w:t xml:space="preserve"> nos agrossistemas queima e pastagem na MIC e menores teores na vegetação ripária da MISJ.</w:t>
      </w:r>
    </w:p>
    <w:p w:rsidR="007255AA" w:rsidRDefault="00643160" w:rsidP="00643160">
      <w:pPr>
        <w:spacing w:line="360" w:lineRule="auto"/>
        <w:ind w:firstLine="708"/>
        <w:jc w:val="both"/>
        <w:rPr>
          <w:sz w:val="24"/>
          <w:szCs w:val="24"/>
        </w:rPr>
      </w:pPr>
      <w:r w:rsidRPr="00CF2E7B">
        <w:rPr>
          <w:sz w:val="24"/>
          <w:szCs w:val="24"/>
        </w:rPr>
        <w:lastRenderedPageBreak/>
        <w:t>Os valores apresentaram-se mais elevados a 30 cm</w:t>
      </w:r>
      <w:r>
        <w:rPr>
          <w:sz w:val="24"/>
          <w:szCs w:val="24"/>
        </w:rPr>
        <w:t xml:space="preserve"> (</w:t>
      </w:r>
      <w:r w:rsidRPr="00CF2E7B">
        <w:rPr>
          <w:sz w:val="24"/>
          <w:szCs w:val="24"/>
        </w:rPr>
        <w:t>camada superficial</w:t>
      </w:r>
      <w:r>
        <w:rPr>
          <w:sz w:val="24"/>
          <w:szCs w:val="24"/>
        </w:rPr>
        <w:t>)</w:t>
      </w:r>
      <w:r w:rsidRPr="00CF2E7B">
        <w:rPr>
          <w:sz w:val="24"/>
          <w:szCs w:val="24"/>
        </w:rPr>
        <w:t>, assim com</w:t>
      </w:r>
      <w:r>
        <w:rPr>
          <w:sz w:val="24"/>
          <w:szCs w:val="24"/>
        </w:rPr>
        <w:t>o o</w:t>
      </w:r>
      <w:r w:rsidRPr="00CF2E7B">
        <w:rPr>
          <w:sz w:val="24"/>
          <w:szCs w:val="24"/>
        </w:rPr>
        <w:t xml:space="preserve"> observado por MARQUES et. al. (2012) em seus estudos na Amazônia Central e NEU (2009) n</w:t>
      </w:r>
      <w:r>
        <w:rPr>
          <w:sz w:val="24"/>
          <w:szCs w:val="24"/>
        </w:rPr>
        <w:t>a bacia do</w:t>
      </w:r>
      <w:r w:rsidRPr="00CF2E7B">
        <w:rPr>
          <w:sz w:val="24"/>
          <w:szCs w:val="24"/>
        </w:rPr>
        <w:t xml:space="preserve"> alto Xingu.</w:t>
      </w:r>
    </w:p>
    <w:p w:rsidR="00643160" w:rsidRPr="00643160" w:rsidRDefault="00643160" w:rsidP="00643160">
      <w:pPr>
        <w:spacing w:line="360" w:lineRule="auto"/>
        <w:ind w:firstLine="708"/>
        <w:jc w:val="both"/>
        <w:rPr>
          <w:sz w:val="24"/>
          <w:szCs w:val="24"/>
        </w:rPr>
      </w:pPr>
    </w:p>
    <w:p w:rsidR="00555769" w:rsidRDefault="0012462E" w:rsidP="006058E8">
      <w:pPr>
        <w:tabs>
          <w:tab w:val="left" w:pos="1290"/>
        </w:tabs>
        <w:jc w:val="both"/>
        <w:rPr>
          <w:color w:val="FF0000"/>
          <w:sz w:val="24"/>
          <w:szCs w:val="28"/>
        </w:rPr>
      </w:pPr>
      <w:r>
        <w:rPr>
          <w:b/>
          <w:sz w:val="24"/>
          <w:szCs w:val="24"/>
        </w:rPr>
        <w:t xml:space="preserve">4. </w:t>
      </w:r>
      <w:r w:rsidR="003F0C50">
        <w:rPr>
          <w:b/>
          <w:sz w:val="24"/>
          <w:szCs w:val="24"/>
        </w:rPr>
        <w:t>CONSIDERAÇÕES FINAIS</w:t>
      </w:r>
      <w:r w:rsidRPr="00001E41">
        <w:rPr>
          <w:b/>
          <w:sz w:val="24"/>
          <w:szCs w:val="24"/>
        </w:rPr>
        <w:t xml:space="preserve"> </w:t>
      </w:r>
    </w:p>
    <w:p w:rsidR="006058E8" w:rsidRDefault="006058E8" w:rsidP="006058E8">
      <w:pPr>
        <w:tabs>
          <w:tab w:val="left" w:pos="1290"/>
        </w:tabs>
        <w:jc w:val="both"/>
        <w:rPr>
          <w:color w:val="FF0000"/>
          <w:sz w:val="24"/>
          <w:szCs w:val="28"/>
        </w:rPr>
      </w:pPr>
    </w:p>
    <w:p w:rsidR="00B669D3" w:rsidRDefault="00AD6534" w:rsidP="007255AA">
      <w:pPr>
        <w:tabs>
          <w:tab w:val="left" w:pos="1290"/>
        </w:tabs>
        <w:spacing w:line="360" w:lineRule="auto"/>
        <w:ind w:firstLine="709"/>
        <w:jc w:val="both"/>
        <w:rPr>
          <w:sz w:val="24"/>
          <w:szCs w:val="24"/>
        </w:rPr>
      </w:pPr>
      <w:r w:rsidRPr="007B7497">
        <w:rPr>
          <w:sz w:val="24"/>
          <w:szCs w:val="24"/>
        </w:rPr>
        <w:t>Diante do exposto, p</w:t>
      </w:r>
      <w:r w:rsidR="006058E8" w:rsidRPr="007B7497">
        <w:rPr>
          <w:sz w:val="24"/>
          <w:szCs w:val="24"/>
        </w:rPr>
        <w:t>ara o DIC</w:t>
      </w:r>
      <w:r w:rsidRPr="007B7497">
        <w:rPr>
          <w:sz w:val="24"/>
          <w:szCs w:val="24"/>
        </w:rPr>
        <w:t xml:space="preserve"> obteve-se resultados abaixo da faixa de 2 mg/L para as duas microbacias, com variação de forma</w:t>
      </w:r>
      <w:r w:rsidR="007B7497" w:rsidRPr="007B7497">
        <w:rPr>
          <w:sz w:val="24"/>
          <w:szCs w:val="24"/>
        </w:rPr>
        <w:t xml:space="preserve"> acentuada</w:t>
      </w:r>
      <w:r w:rsidRPr="007B7497">
        <w:rPr>
          <w:sz w:val="24"/>
          <w:szCs w:val="24"/>
        </w:rPr>
        <w:t xml:space="preserve">. </w:t>
      </w:r>
      <w:r w:rsidR="006058E8" w:rsidRPr="003F0C50">
        <w:rPr>
          <w:sz w:val="24"/>
          <w:szCs w:val="24"/>
        </w:rPr>
        <w:t>Qu</w:t>
      </w:r>
      <w:r w:rsidR="007B7497">
        <w:rPr>
          <w:sz w:val="24"/>
          <w:szCs w:val="24"/>
        </w:rPr>
        <w:t>anto aos teores de CTD e COD,</w:t>
      </w:r>
      <w:r w:rsidR="006058E8" w:rsidRPr="003F0C50">
        <w:rPr>
          <w:sz w:val="24"/>
          <w:szCs w:val="24"/>
        </w:rPr>
        <w:t xml:space="preserve"> </w:t>
      </w:r>
      <w:r w:rsidR="007B7497">
        <w:rPr>
          <w:sz w:val="24"/>
          <w:szCs w:val="24"/>
        </w:rPr>
        <w:t>as maiores</w:t>
      </w:r>
      <w:r w:rsidR="006058E8" w:rsidRPr="003F0C50">
        <w:rPr>
          <w:sz w:val="24"/>
          <w:szCs w:val="24"/>
        </w:rPr>
        <w:t xml:space="preserve"> </w:t>
      </w:r>
      <w:r w:rsidR="003F0C50" w:rsidRPr="003F0C50">
        <w:rPr>
          <w:sz w:val="24"/>
          <w:szCs w:val="24"/>
        </w:rPr>
        <w:t xml:space="preserve">concentrações </w:t>
      </w:r>
      <w:r w:rsidR="007B7497">
        <w:rPr>
          <w:sz w:val="24"/>
          <w:szCs w:val="24"/>
        </w:rPr>
        <w:t>ocorreram no agrossistemas queima e</w:t>
      </w:r>
      <w:r w:rsidR="003F0C50" w:rsidRPr="003F0C50">
        <w:rPr>
          <w:sz w:val="24"/>
          <w:szCs w:val="24"/>
        </w:rPr>
        <w:t xml:space="preserve"> p</w:t>
      </w:r>
      <w:r w:rsidR="006058E8" w:rsidRPr="003F0C50">
        <w:rPr>
          <w:sz w:val="24"/>
          <w:szCs w:val="24"/>
        </w:rPr>
        <w:t xml:space="preserve">astagem </w:t>
      </w:r>
      <w:r w:rsidR="007B7497">
        <w:rPr>
          <w:sz w:val="24"/>
          <w:szCs w:val="24"/>
        </w:rPr>
        <w:t>s</w:t>
      </w:r>
      <w:r w:rsidR="006058E8" w:rsidRPr="003F0C50">
        <w:rPr>
          <w:sz w:val="24"/>
          <w:szCs w:val="24"/>
        </w:rPr>
        <w:t>e</w:t>
      </w:r>
      <w:r w:rsidR="007B7497">
        <w:rPr>
          <w:sz w:val="24"/>
          <w:szCs w:val="24"/>
        </w:rPr>
        <w:t>ndo</w:t>
      </w:r>
      <w:r w:rsidR="006058E8" w:rsidRPr="003F0C50">
        <w:rPr>
          <w:sz w:val="24"/>
          <w:szCs w:val="24"/>
        </w:rPr>
        <w:t xml:space="preserve"> menores no</w:t>
      </w:r>
      <w:r w:rsidR="003F0C50" w:rsidRPr="003F0C50">
        <w:rPr>
          <w:sz w:val="24"/>
          <w:szCs w:val="24"/>
        </w:rPr>
        <w:t xml:space="preserve"> SAFs e na vegetação r</w:t>
      </w:r>
      <w:r w:rsidR="006058E8" w:rsidRPr="003F0C50">
        <w:rPr>
          <w:sz w:val="24"/>
          <w:szCs w:val="24"/>
        </w:rPr>
        <w:t xml:space="preserve">ipária, </w:t>
      </w:r>
      <w:r w:rsidR="007B7497">
        <w:rPr>
          <w:sz w:val="24"/>
          <w:szCs w:val="24"/>
        </w:rPr>
        <w:t xml:space="preserve">o </w:t>
      </w:r>
      <w:r w:rsidR="006058E8" w:rsidRPr="003F0C50">
        <w:rPr>
          <w:sz w:val="24"/>
          <w:szCs w:val="24"/>
        </w:rPr>
        <w:t>que nos mostra os efeitos do mau uso do solo sobre o fluxo de carbono, apontando os SAFs como sistema sustentável</w:t>
      </w:r>
      <w:r w:rsidRPr="003F0C50">
        <w:rPr>
          <w:sz w:val="24"/>
          <w:szCs w:val="24"/>
        </w:rPr>
        <w:t>, com</w:t>
      </w:r>
      <w:r w:rsidR="003F0C50" w:rsidRPr="003F0C50">
        <w:rPr>
          <w:sz w:val="24"/>
          <w:szCs w:val="24"/>
        </w:rPr>
        <w:t xml:space="preserve"> o posicionamento da capoeira acima da vegetação ripária e da queima acima da t</w:t>
      </w:r>
      <w:r w:rsidR="006058E8" w:rsidRPr="003F0C50">
        <w:rPr>
          <w:sz w:val="24"/>
          <w:szCs w:val="24"/>
        </w:rPr>
        <w:t>rituração</w:t>
      </w:r>
      <w:r w:rsidR="003F0C50" w:rsidRPr="003F0C50">
        <w:rPr>
          <w:sz w:val="24"/>
          <w:szCs w:val="24"/>
        </w:rPr>
        <w:t>,</w:t>
      </w:r>
      <w:r w:rsidR="006058E8" w:rsidRPr="003F0C50">
        <w:rPr>
          <w:sz w:val="24"/>
          <w:szCs w:val="24"/>
        </w:rPr>
        <w:t xml:space="preserve"> </w:t>
      </w:r>
      <w:r w:rsidR="003F0C50" w:rsidRPr="003F0C50">
        <w:rPr>
          <w:sz w:val="24"/>
          <w:szCs w:val="24"/>
        </w:rPr>
        <w:t>e</w:t>
      </w:r>
      <w:r w:rsidRPr="003F0C50">
        <w:rPr>
          <w:sz w:val="24"/>
          <w:szCs w:val="24"/>
        </w:rPr>
        <w:t>m relação às concentrações de C</w:t>
      </w:r>
      <w:r w:rsidR="00A0097A" w:rsidRPr="003F0C50">
        <w:rPr>
          <w:sz w:val="24"/>
          <w:szCs w:val="24"/>
        </w:rPr>
        <w:t>T</w:t>
      </w:r>
      <w:r w:rsidR="00A0097A">
        <w:rPr>
          <w:sz w:val="24"/>
          <w:szCs w:val="24"/>
        </w:rPr>
        <w:t>D</w:t>
      </w:r>
      <w:r w:rsidRPr="003F0C50">
        <w:rPr>
          <w:sz w:val="24"/>
          <w:szCs w:val="24"/>
        </w:rPr>
        <w:t xml:space="preserve">, </w:t>
      </w:r>
      <w:r w:rsidR="006058E8" w:rsidRPr="003F0C50">
        <w:rPr>
          <w:sz w:val="24"/>
          <w:szCs w:val="24"/>
        </w:rPr>
        <w:t>denotando a atuação negativa do des</w:t>
      </w:r>
      <w:r w:rsidR="003F0C50">
        <w:rPr>
          <w:sz w:val="24"/>
          <w:szCs w:val="24"/>
        </w:rPr>
        <w:t>flores</w:t>
      </w:r>
      <w:r w:rsidR="006058E8" w:rsidRPr="003F0C50">
        <w:rPr>
          <w:sz w:val="24"/>
          <w:szCs w:val="24"/>
        </w:rPr>
        <w:t>tamento e da prática de queima sobre o estoque de carbono.</w:t>
      </w:r>
    </w:p>
    <w:p w:rsidR="007255AA" w:rsidRPr="007255AA" w:rsidRDefault="007255AA" w:rsidP="007255AA">
      <w:pPr>
        <w:tabs>
          <w:tab w:val="left" w:pos="1290"/>
        </w:tabs>
        <w:spacing w:line="360" w:lineRule="auto"/>
        <w:ind w:firstLine="709"/>
        <w:jc w:val="both"/>
        <w:rPr>
          <w:sz w:val="24"/>
          <w:szCs w:val="24"/>
        </w:rPr>
      </w:pPr>
    </w:p>
    <w:p w:rsidR="00DB30BE" w:rsidRPr="00200C01" w:rsidRDefault="0012462E" w:rsidP="00200C01">
      <w:pPr>
        <w:tabs>
          <w:tab w:val="left" w:pos="1290"/>
        </w:tabs>
        <w:jc w:val="both"/>
        <w:rPr>
          <w:color w:val="FF0000"/>
          <w:sz w:val="24"/>
          <w:szCs w:val="24"/>
        </w:rPr>
      </w:pPr>
      <w:r w:rsidRPr="00001E41">
        <w:rPr>
          <w:b/>
          <w:sz w:val="24"/>
          <w:szCs w:val="24"/>
        </w:rPr>
        <w:t>REFERÊNCIAS</w:t>
      </w:r>
    </w:p>
    <w:p w:rsidR="00A93FEB" w:rsidRPr="00546D76" w:rsidRDefault="00A93FEB" w:rsidP="00A93FEB">
      <w:pPr>
        <w:spacing w:before="240"/>
        <w:jc w:val="both"/>
        <w:rPr>
          <w:sz w:val="24"/>
          <w:szCs w:val="24"/>
        </w:rPr>
      </w:pPr>
      <w:r w:rsidRPr="00546D76">
        <w:rPr>
          <w:sz w:val="24"/>
          <w:szCs w:val="24"/>
        </w:rPr>
        <w:t xml:space="preserve">ASSIS-JÚNIOR, S. L.; ZANUNCIO, J. C.; KASUYA, M. C. M.; COUTO, L.; MELIDO, R. C. N. </w:t>
      </w:r>
      <w:r w:rsidRPr="00AA6C5E">
        <w:rPr>
          <w:b/>
          <w:sz w:val="24"/>
          <w:szCs w:val="24"/>
        </w:rPr>
        <w:t>Atividade microbiana do solo em sistemas agroflorestais, monoculturas, mata natural e área desmatada</w:t>
      </w:r>
      <w:r w:rsidRPr="00546D76">
        <w:rPr>
          <w:sz w:val="24"/>
          <w:szCs w:val="24"/>
        </w:rPr>
        <w:t>. Revista Árvore, 27: 35-41, 2003.</w:t>
      </w:r>
    </w:p>
    <w:p w:rsidR="00A93FEB" w:rsidRPr="00546D76" w:rsidRDefault="00A93FEB" w:rsidP="00A93FEB">
      <w:pPr>
        <w:spacing w:before="240"/>
        <w:jc w:val="both"/>
        <w:rPr>
          <w:sz w:val="24"/>
          <w:szCs w:val="24"/>
        </w:rPr>
      </w:pPr>
      <w:r w:rsidRPr="00546D76">
        <w:rPr>
          <w:sz w:val="24"/>
          <w:szCs w:val="24"/>
        </w:rPr>
        <w:t xml:space="preserve">BLANCO, F. F.; FOLEGATTI, M. V.; HENRIQUE NETO, D. Doses de N e K no tomateiro sob estresse salino: I. </w:t>
      </w:r>
      <w:r w:rsidRPr="00AA6C5E">
        <w:rPr>
          <w:b/>
          <w:sz w:val="24"/>
          <w:szCs w:val="24"/>
        </w:rPr>
        <w:t>Concentração de nutrientes no solo e na planta</w:t>
      </w:r>
      <w:r w:rsidRPr="00546D76">
        <w:rPr>
          <w:sz w:val="24"/>
          <w:szCs w:val="24"/>
        </w:rPr>
        <w:t>. Revista Brasileira de Engenharia Agrícola e Ambiental, v.12, p.26-33, 2008.</w:t>
      </w:r>
    </w:p>
    <w:p w:rsidR="00A93FEB" w:rsidRPr="00546D76" w:rsidRDefault="00A93FEB" w:rsidP="00A93FEB">
      <w:pPr>
        <w:spacing w:before="240"/>
        <w:jc w:val="both"/>
        <w:rPr>
          <w:sz w:val="24"/>
          <w:szCs w:val="24"/>
        </w:rPr>
      </w:pPr>
      <w:r w:rsidRPr="00546D76">
        <w:rPr>
          <w:sz w:val="24"/>
          <w:szCs w:val="24"/>
        </w:rPr>
        <w:t xml:space="preserve">CAHETÉ, Frederico Luiz Silva et al. </w:t>
      </w:r>
      <w:r w:rsidRPr="00AA6C5E">
        <w:rPr>
          <w:b/>
          <w:sz w:val="24"/>
          <w:szCs w:val="24"/>
        </w:rPr>
        <w:t xml:space="preserve">Sustentabilidade dos sistemas agrícolas: uma análise no contexto da </w:t>
      </w:r>
      <w:proofErr w:type="spellStart"/>
      <w:r w:rsidRPr="00AA6C5E">
        <w:rPr>
          <w:b/>
          <w:sz w:val="24"/>
          <w:szCs w:val="24"/>
        </w:rPr>
        <w:t>agrodiversidade</w:t>
      </w:r>
      <w:proofErr w:type="spellEnd"/>
      <w:r w:rsidRPr="00546D76">
        <w:rPr>
          <w:sz w:val="24"/>
          <w:szCs w:val="24"/>
        </w:rPr>
        <w:t xml:space="preserve">. Um estudo de caso na Amazônia Oriental. Tese de doutorado em Ciências: Desenvolvimento </w:t>
      </w:r>
      <w:proofErr w:type="spellStart"/>
      <w:r w:rsidRPr="00546D76">
        <w:rPr>
          <w:sz w:val="24"/>
          <w:szCs w:val="24"/>
        </w:rPr>
        <w:t>Sócio-Ambiental</w:t>
      </w:r>
      <w:proofErr w:type="spellEnd"/>
      <w:r w:rsidRPr="00546D76">
        <w:rPr>
          <w:sz w:val="24"/>
          <w:szCs w:val="24"/>
        </w:rPr>
        <w:t>, Núcleo de Altos Estudos Amazônicos, Universidade Federal do Pará, 2005. Disponível em: Acesso em: 27 out. 2018.</w:t>
      </w:r>
    </w:p>
    <w:p w:rsidR="00A93FEB" w:rsidRPr="00546D76" w:rsidRDefault="00A93FEB" w:rsidP="00A93FEB">
      <w:pPr>
        <w:spacing w:before="240"/>
        <w:jc w:val="both"/>
        <w:rPr>
          <w:sz w:val="24"/>
          <w:szCs w:val="24"/>
        </w:rPr>
      </w:pPr>
      <w:r w:rsidRPr="00546D76">
        <w:rPr>
          <w:sz w:val="24"/>
          <w:szCs w:val="24"/>
        </w:rPr>
        <w:t>EMBRAPA. Centro Nacional de Pesquisa de Solos. Sistema Brasileiro de Classificação de Solos. 2 ed. Rio de Janeiro: Embrapa Solos, 2006.</w:t>
      </w:r>
    </w:p>
    <w:p w:rsidR="00A93FEB" w:rsidRPr="00A93FEB" w:rsidRDefault="00A93FEB" w:rsidP="00A93FEB">
      <w:pPr>
        <w:spacing w:before="240"/>
        <w:jc w:val="both"/>
        <w:rPr>
          <w:sz w:val="24"/>
          <w:szCs w:val="24"/>
          <w:lang w:val="en-US"/>
        </w:rPr>
      </w:pPr>
      <w:proofErr w:type="spellStart"/>
      <w:r w:rsidRPr="00546D76">
        <w:rPr>
          <w:sz w:val="24"/>
          <w:szCs w:val="24"/>
        </w:rPr>
        <w:t>Jerke</w:t>
      </w:r>
      <w:proofErr w:type="spellEnd"/>
      <w:r w:rsidRPr="00546D76">
        <w:rPr>
          <w:sz w:val="24"/>
          <w:szCs w:val="24"/>
        </w:rPr>
        <w:t xml:space="preserve">, C.; Sousa, D. M. G.; </w:t>
      </w:r>
      <w:proofErr w:type="spellStart"/>
      <w:r w:rsidRPr="00546D76">
        <w:rPr>
          <w:sz w:val="24"/>
          <w:szCs w:val="24"/>
        </w:rPr>
        <w:t>Goedert</w:t>
      </w:r>
      <w:proofErr w:type="spellEnd"/>
      <w:r w:rsidRPr="00546D76">
        <w:rPr>
          <w:sz w:val="24"/>
          <w:szCs w:val="24"/>
        </w:rPr>
        <w:t xml:space="preserve">, W. J. </w:t>
      </w:r>
      <w:r w:rsidRPr="00AA6C5E">
        <w:rPr>
          <w:b/>
          <w:sz w:val="24"/>
          <w:szCs w:val="24"/>
        </w:rPr>
        <w:t xml:space="preserve">Distribuição do carbono orgânico em </w:t>
      </w:r>
      <w:proofErr w:type="spellStart"/>
      <w:r w:rsidRPr="00AA6C5E">
        <w:rPr>
          <w:b/>
          <w:sz w:val="24"/>
          <w:szCs w:val="24"/>
        </w:rPr>
        <w:t>Latossolo</w:t>
      </w:r>
      <w:proofErr w:type="spellEnd"/>
      <w:r w:rsidRPr="00AA6C5E">
        <w:rPr>
          <w:b/>
          <w:sz w:val="24"/>
          <w:szCs w:val="24"/>
        </w:rPr>
        <w:t xml:space="preserve"> sob manejo da adubação fosfatada em plantio direto no Cerrado</w:t>
      </w:r>
      <w:r w:rsidRPr="00546D76">
        <w:rPr>
          <w:sz w:val="24"/>
          <w:szCs w:val="24"/>
        </w:rPr>
        <w:t xml:space="preserve">. </w:t>
      </w:r>
      <w:proofErr w:type="spellStart"/>
      <w:r w:rsidRPr="00A93FEB">
        <w:rPr>
          <w:sz w:val="24"/>
          <w:szCs w:val="24"/>
          <w:lang w:val="en-US"/>
        </w:rPr>
        <w:t>Pesquisa</w:t>
      </w:r>
      <w:proofErr w:type="spellEnd"/>
      <w:r w:rsidRPr="00A93FEB">
        <w:rPr>
          <w:sz w:val="24"/>
          <w:szCs w:val="24"/>
          <w:lang w:val="en-US"/>
        </w:rPr>
        <w:t xml:space="preserve"> </w:t>
      </w:r>
      <w:proofErr w:type="spellStart"/>
      <w:r w:rsidRPr="00A93FEB">
        <w:rPr>
          <w:sz w:val="24"/>
          <w:szCs w:val="24"/>
          <w:lang w:val="en-US"/>
        </w:rPr>
        <w:t>Agropecuária</w:t>
      </w:r>
      <w:proofErr w:type="spellEnd"/>
      <w:r w:rsidRPr="00A93FEB">
        <w:rPr>
          <w:sz w:val="24"/>
          <w:szCs w:val="24"/>
          <w:lang w:val="en-US"/>
        </w:rPr>
        <w:t xml:space="preserve"> </w:t>
      </w:r>
      <w:proofErr w:type="spellStart"/>
      <w:r w:rsidRPr="00A93FEB">
        <w:rPr>
          <w:sz w:val="24"/>
          <w:szCs w:val="24"/>
          <w:lang w:val="en-US"/>
        </w:rPr>
        <w:t>Brasileira</w:t>
      </w:r>
      <w:proofErr w:type="spellEnd"/>
      <w:r w:rsidRPr="00A93FEB">
        <w:rPr>
          <w:sz w:val="24"/>
          <w:szCs w:val="24"/>
          <w:lang w:val="en-US"/>
        </w:rPr>
        <w:t>, v. 47, n.3, p.442-448, 2012.</w:t>
      </w:r>
    </w:p>
    <w:p w:rsidR="00A93FEB" w:rsidRPr="00546D76" w:rsidRDefault="00A93FEB" w:rsidP="00A93FEB">
      <w:pPr>
        <w:spacing w:before="240"/>
        <w:jc w:val="both"/>
        <w:rPr>
          <w:sz w:val="24"/>
          <w:szCs w:val="24"/>
          <w:lang w:val="en-US"/>
        </w:rPr>
      </w:pPr>
      <w:r w:rsidRPr="00546D76">
        <w:rPr>
          <w:sz w:val="24"/>
          <w:szCs w:val="24"/>
          <w:lang w:val="en-US"/>
        </w:rPr>
        <w:t xml:space="preserve">LAO, M. T.; JIMÉNEZ, S.; EYMAR, E.; FERNÁNDEZ, E. J.; JIMÉNEZ, R. </w:t>
      </w:r>
      <w:r w:rsidRPr="00AA6C5E">
        <w:rPr>
          <w:b/>
          <w:sz w:val="24"/>
          <w:szCs w:val="24"/>
          <w:lang w:val="en-US"/>
        </w:rPr>
        <w:t>Determination of spatial variability of nutrient composition of soil solutions in greenhouses by using suction cups</w:t>
      </w:r>
      <w:r w:rsidRPr="00546D76">
        <w:rPr>
          <w:sz w:val="24"/>
          <w:szCs w:val="24"/>
          <w:lang w:val="en-US"/>
        </w:rPr>
        <w:t>. Communications in Soil Science and Plant Analysis, v.34, p.865-879, 2003.</w:t>
      </w:r>
    </w:p>
    <w:p w:rsidR="00A93FEB" w:rsidRPr="00546D76" w:rsidRDefault="00A93FEB" w:rsidP="00A93FEB">
      <w:pPr>
        <w:spacing w:before="240"/>
        <w:jc w:val="both"/>
        <w:rPr>
          <w:sz w:val="24"/>
          <w:szCs w:val="24"/>
        </w:rPr>
      </w:pPr>
      <w:r w:rsidRPr="00A93FEB">
        <w:rPr>
          <w:sz w:val="24"/>
          <w:szCs w:val="24"/>
          <w:lang w:val="en-US"/>
        </w:rPr>
        <w:lastRenderedPageBreak/>
        <w:t xml:space="preserve">MARQUES, J. D. O. </w:t>
      </w:r>
      <w:proofErr w:type="spellStart"/>
      <w:r w:rsidRPr="00AA6C5E">
        <w:rPr>
          <w:b/>
          <w:sz w:val="24"/>
          <w:szCs w:val="24"/>
          <w:lang w:val="en-US"/>
        </w:rPr>
        <w:t>Carbono</w:t>
      </w:r>
      <w:proofErr w:type="spellEnd"/>
      <w:r w:rsidRPr="00AA6C5E">
        <w:rPr>
          <w:b/>
          <w:sz w:val="24"/>
          <w:szCs w:val="24"/>
          <w:lang w:val="en-US"/>
        </w:rPr>
        <w:t xml:space="preserve"> </w:t>
      </w:r>
      <w:proofErr w:type="spellStart"/>
      <w:r w:rsidRPr="00AA6C5E">
        <w:rPr>
          <w:b/>
          <w:sz w:val="24"/>
          <w:szCs w:val="24"/>
          <w:lang w:val="en-US"/>
        </w:rPr>
        <w:t>orgânico</w:t>
      </w:r>
      <w:proofErr w:type="spellEnd"/>
      <w:r w:rsidRPr="00AA6C5E">
        <w:rPr>
          <w:b/>
          <w:sz w:val="24"/>
          <w:szCs w:val="24"/>
          <w:lang w:val="en-US"/>
        </w:rPr>
        <w:t xml:space="preserve"> em solos sob </w:t>
      </w:r>
      <w:proofErr w:type="spellStart"/>
      <w:r w:rsidRPr="00AA6C5E">
        <w:rPr>
          <w:b/>
          <w:sz w:val="24"/>
          <w:szCs w:val="24"/>
          <w:lang w:val="en-US"/>
        </w:rPr>
        <w:t>floresta</w:t>
      </w:r>
      <w:proofErr w:type="spellEnd"/>
      <w:r w:rsidRPr="00AA6C5E">
        <w:rPr>
          <w:b/>
          <w:sz w:val="24"/>
          <w:szCs w:val="24"/>
          <w:lang w:val="en-US"/>
        </w:rPr>
        <w:t xml:space="preserve"> </w:t>
      </w:r>
      <w:proofErr w:type="spellStart"/>
      <w:r w:rsidRPr="00AA6C5E">
        <w:rPr>
          <w:b/>
          <w:sz w:val="24"/>
          <w:szCs w:val="24"/>
          <w:lang w:val="en-US"/>
        </w:rPr>
        <w:t>na</w:t>
      </w:r>
      <w:proofErr w:type="spellEnd"/>
      <w:r w:rsidRPr="00AA6C5E">
        <w:rPr>
          <w:b/>
          <w:sz w:val="24"/>
          <w:szCs w:val="24"/>
          <w:lang w:val="en-US"/>
        </w:rPr>
        <w:t xml:space="preserve"> </w:t>
      </w:r>
      <w:proofErr w:type="spellStart"/>
      <w:r w:rsidRPr="00AA6C5E">
        <w:rPr>
          <w:b/>
          <w:sz w:val="24"/>
          <w:szCs w:val="24"/>
          <w:lang w:val="en-US"/>
        </w:rPr>
        <w:t>amazônia</w:t>
      </w:r>
      <w:proofErr w:type="spellEnd"/>
      <w:r w:rsidRPr="00AA6C5E">
        <w:rPr>
          <w:b/>
          <w:sz w:val="24"/>
          <w:szCs w:val="24"/>
          <w:lang w:val="en-US"/>
        </w:rPr>
        <w:t xml:space="preserve"> oriental</w:t>
      </w:r>
      <w:r w:rsidRPr="00A93FEB">
        <w:rPr>
          <w:sz w:val="24"/>
          <w:szCs w:val="24"/>
          <w:lang w:val="en-US"/>
        </w:rPr>
        <w:t xml:space="preserve">. </w:t>
      </w:r>
      <w:r w:rsidRPr="00546D76">
        <w:rPr>
          <w:sz w:val="24"/>
          <w:szCs w:val="24"/>
        </w:rPr>
        <w:t xml:space="preserve">Congresso Norte Nordeste de Pesquisa e inovação, Salvador, n.10, 2013. Disponível em: </w:t>
      </w:r>
      <w:r w:rsidR="00643160">
        <w:rPr>
          <w:sz w:val="24"/>
          <w:szCs w:val="24"/>
        </w:rPr>
        <w:t>&lt;</w:t>
      </w:r>
      <w:hyperlink w:history="1">
        <w:r w:rsidRPr="00546D76">
          <w:rPr>
            <w:sz w:val="24"/>
            <w:szCs w:val="24"/>
          </w:rPr>
          <w:t>http://www.alice.cnptia.embrapa.br /</w:t>
        </w:r>
        <w:proofErr w:type="spellStart"/>
        <w:r w:rsidRPr="00546D76">
          <w:rPr>
            <w:sz w:val="24"/>
            <w:szCs w:val="24"/>
          </w:rPr>
          <w:t>bitstream</w:t>
        </w:r>
        <w:proofErr w:type="spellEnd"/>
        <w:r w:rsidRPr="00546D76">
          <w:rPr>
            <w:sz w:val="24"/>
            <w:szCs w:val="24"/>
          </w:rPr>
          <w:t>/</w:t>
        </w:r>
        <w:proofErr w:type="spellStart"/>
        <w:r w:rsidRPr="00546D76">
          <w:rPr>
            <w:sz w:val="24"/>
            <w:szCs w:val="24"/>
          </w:rPr>
          <w:t>doc</w:t>
        </w:r>
        <w:proofErr w:type="spellEnd"/>
        <w:r w:rsidRPr="00546D76">
          <w:rPr>
            <w:sz w:val="24"/>
            <w:szCs w:val="24"/>
          </w:rPr>
          <w:t>/1002068/1/CONNEPI1.pdf</w:t>
        </w:r>
      </w:hyperlink>
      <w:r w:rsidR="00643160">
        <w:rPr>
          <w:sz w:val="24"/>
          <w:szCs w:val="24"/>
        </w:rPr>
        <w:t>&gt;</w:t>
      </w:r>
      <w:r w:rsidRPr="00546D76">
        <w:rPr>
          <w:sz w:val="24"/>
          <w:szCs w:val="24"/>
        </w:rPr>
        <w:t xml:space="preserve">. </w:t>
      </w:r>
      <w:r w:rsidR="00643160">
        <w:rPr>
          <w:sz w:val="24"/>
          <w:szCs w:val="24"/>
        </w:rPr>
        <w:t>Acesso em</w:t>
      </w:r>
      <w:r w:rsidRPr="00546D76">
        <w:rPr>
          <w:sz w:val="24"/>
          <w:szCs w:val="24"/>
        </w:rPr>
        <w:t>: 25 outubro 2018.</w:t>
      </w:r>
    </w:p>
    <w:p w:rsidR="000E67E9" w:rsidRDefault="000E67E9" w:rsidP="00A93FEB">
      <w:pPr>
        <w:spacing w:before="240"/>
        <w:jc w:val="both"/>
        <w:rPr>
          <w:sz w:val="24"/>
          <w:szCs w:val="24"/>
        </w:rPr>
      </w:pPr>
      <w:r w:rsidRPr="00AA6C5E">
        <w:rPr>
          <w:sz w:val="24"/>
          <w:szCs w:val="24"/>
        </w:rPr>
        <w:t xml:space="preserve">MARQUES, J. D. O.; LUIZÃO, F. J.; TEIXEIRA, W. G.; FERREIRA, S. J. F. </w:t>
      </w:r>
      <w:r w:rsidRPr="00AA6C5E">
        <w:rPr>
          <w:b/>
          <w:sz w:val="24"/>
          <w:szCs w:val="24"/>
        </w:rPr>
        <w:t>Variações do Carbono Orgânico Dissolvido e de atributos físicos do solo sob diferentes sistemas de uso da terra na Amazônia Central</w:t>
      </w:r>
      <w:r w:rsidRPr="00AA6C5E">
        <w:rPr>
          <w:sz w:val="24"/>
          <w:szCs w:val="24"/>
        </w:rPr>
        <w:t>. Revista Brasileira de Ciências do Solo, Viçosa, v. 36, p. 611-622, 2012</w:t>
      </w:r>
      <w:r>
        <w:rPr>
          <w:sz w:val="24"/>
          <w:szCs w:val="24"/>
        </w:rPr>
        <w:t>.</w:t>
      </w:r>
    </w:p>
    <w:p w:rsidR="00A93FEB" w:rsidRPr="00546D76" w:rsidRDefault="00A93FEB" w:rsidP="00A93FEB">
      <w:pPr>
        <w:spacing w:before="240"/>
        <w:jc w:val="both"/>
        <w:rPr>
          <w:sz w:val="24"/>
          <w:szCs w:val="24"/>
        </w:rPr>
      </w:pPr>
      <w:r w:rsidRPr="00546D76">
        <w:rPr>
          <w:sz w:val="24"/>
          <w:szCs w:val="24"/>
        </w:rPr>
        <w:t xml:space="preserve">MENEZES, Luciana; Gonçalves. CREÃO. </w:t>
      </w:r>
      <w:r w:rsidRPr="00AA6C5E">
        <w:rPr>
          <w:b/>
          <w:sz w:val="24"/>
          <w:szCs w:val="24"/>
        </w:rPr>
        <w:t xml:space="preserve">Qualidade das águas superficiais e subterrâneas das microbacias do cumaru e são </w:t>
      </w:r>
      <w:proofErr w:type="spellStart"/>
      <w:r w:rsidRPr="00AA6C5E">
        <w:rPr>
          <w:b/>
          <w:sz w:val="24"/>
          <w:szCs w:val="24"/>
        </w:rPr>
        <w:t>joão</w:t>
      </w:r>
      <w:proofErr w:type="spellEnd"/>
      <w:r w:rsidRPr="00AA6C5E">
        <w:rPr>
          <w:b/>
          <w:sz w:val="24"/>
          <w:szCs w:val="24"/>
        </w:rPr>
        <w:t>, nordeste paraense</w:t>
      </w:r>
      <w:r w:rsidRPr="00546D76">
        <w:rPr>
          <w:sz w:val="24"/>
          <w:szCs w:val="24"/>
        </w:rPr>
        <w:t>. 2018. 161f. Tese (Dra. Ciências Ambientais) – Universidade Federal do Pará, Belém, 2018.</w:t>
      </w:r>
    </w:p>
    <w:p w:rsidR="000E67E9" w:rsidRDefault="000E67E9" w:rsidP="00A93FEB">
      <w:pPr>
        <w:spacing w:before="240"/>
        <w:jc w:val="both"/>
        <w:rPr>
          <w:sz w:val="24"/>
          <w:szCs w:val="24"/>
        </w:rPr>
      </w:pPr>
      <w:r w:rsidRPr="00886440">
        <w:rPr>
          <w:sz w:val="24"/>
          <w:szCs w:val="24"/>
        </w:rPr>
        <w:t>NEU, V</w:t>
      </w:r>
      <w:r>
        <w:rPr>
          <w:sz w:val="24"/>
          <w:szCs w:val="24"/>
        </w:rPr>
        <w:t>ânia</w:t>
      </w:r>
      <w:r w:rsidRPr="00886440">
        <w:rPr>
          <w:sz w:val="24"/>
          <w:szCs w:val="24"/>
        </w:rPr>
        <w:t xml:space="preserve">. </w:t>
      </w:r>
      <w:r w:rsidRPr="00886440">
        <w:rPr>
          <w:b/>
          <w:sz w:val="24"/>
          <w:szCs w:val="24"/>
        </w:rPr>
        <w:t>O ciclo do carbono na bacia do Alto Xingú: interações entre os ambientes terrestre, aquático e atmosférico</w:t>
      </w:r>
      <w:r w:rsidRPr="00886440">
        <w:rPr>
          <w:sz w:val="24"/>
          <w:szCs w:val="24"/>
        </w:rPr>
        <w:t xml:space="preserve">. </w:t>
      </w:r>
      <w:r>
        <w:rPr>
          <w:sz w:val="24"/>
          <w:szCs w:val="24"/>
        </w:rPr>
        <w:t xml:space="preserve">2018. 114f. </w:t>
      </w:r>
      <w:r w:rsidRPr="00886440">
        <w:rPr>
          <w:sz w:val="24"/>
          <w:szCs w:val="24"/>
        </w:rPr>
        <w:t>Tese (Dra. em Ecologia Aplicada) – U</w:t>
      </w:r>
      <w:r>
        <w:rPr>
          <w:sz w:val="24"/>
          <w:szCs w:val="24"/>
        </w:rPr>
        <w:t xml:space="preserve">niversidade de </w:t>
      </w:r>
      <w:r w:rsidRPr="00886440">
        <w:rPr>
          <w:sz w:val="24"/>
          <w:szCs w:val="24"/>
        </w:rPr>
        <w:t>S</w:t>
      </w:r>
      <w:r>
        <w:rPr>
          <w:sz w:val="24"/>
          <w:szCs w:val="24"/>
        </w:rPr>
        <w:t xml:space="preserve">ão </w:t>
      </w:r>
      <w:r w:rsidRPr="00886440">
        <w:rPr>
          <w:sz w:val="24"/>
          <w:szCs w:val="24"/>
        </w:rPr>
        <w:t>P</w:t>
      </w:r>
      <w:r>
        <w:rPr>
          <w:sz w:val="24"/>
          <w:szCs w:val="24"/>
        </w:rPr>
        <w:t>aulo, São P</w:t>
      </w:r>
      <w:r w:rsidRPr="00886440">
        <w:rPr>
          <w:sz w:val="24"/>
          <w:szCs w:val="24"/>
        </w:rPr>
        <w:t>aulo,</w:t>
      </w:r>
      <w:r>
        <w:rPr>
          <w:sz w:val="24"/>
          <w:szCs w:val="24"/>
        </w:rPr>
        <w:t xml:space="preserve"> </w:t>
      </w:r>
      <w:r w:rsidRPr="00886440">
        <w:rPr>
          <w:sz w:val="24"/>
          <w:szCs w:val="24"/>
        </w:rPr>
        <w:t>2009</w:t>
      </w:r>
      <w:r>
        <w:rPr>
          <w:sz w:val="24"/>
          <w:szCs w:val="24"/>
        </w:rPr>
        <w:t>.</w:t>
      </w:r>
    </w:p>
    <w:p w:rsidR="00A93FEB" w:rsidRPr="00546D76" w:rsidRDefault="00A93FEB" w:rsidP="00A93FEB">
      <w:pPr>
        <w:spacing w:before="240"/>
        <w:jc w:val="both"/>
        <w:rPr>
          <w:sz w:val="24"/>
          <w:szCs w:val="24"/>
        </w:rPr>
      </w:pPr>
      <w:r w:rsidRPr="00546D76">
        <w:rPr>
          <w:sz w:val="24"/>
          <w:szCs w:val="24"/>
        </w:rPr>
        <w:t>OLIVEIRA, V. B. V.; DESTÁCIO, M. C.; LOCATELLI, M. Sistemas agroflorestais – SAFs. Embrapa Rondônia, p. 12, 2010.</w:t>
      </w:r>
    </w:p>
    <w:p w:rsidR="00A93FEB" w:rsidRPr="001A6FEA" w:rsidRDefault="00A93FEB" w:rsidP="00A93FEB">
      <w:pPr>
        <w:spacing w:before="240"/>
        <w:jc w:val="both"/>
        <w:rPr>
          <w:sz w:val="24"/>
          <w:szCs w:val="24"/>
        </w:rPr>
      </w:pPr>
      <w:r w:rsidRPr="001A6FEA">
        <w:rPr>
          <w:sz w:val="24"/>
          <w:szCs w:val="24"/>
        </w:rPr>
        <w:t xml:space="preserve">Sampaio, D. B.; Araújo, A. S. F.; Santos, V. B. </w:t>
      </w:r>
      <w:r w:rsidRPr="00AA6C5E">
        <w:rPr>
          <w:b/>
          <w:sz w:val="24"/>
          <w:szCs w:val="24"/>
        </w:rPr>
        <w:t>Avaliação de indicadores biológicos de qualidade de solos sob sistemas de cultivo convencional e orgânico de frutas</w:t>
      </w:r>
      <w:r w:rsidRPr="001A6FEA">
        <w:rPr>
          <w:sz w:val="24"/>
          <w:szCs w:val="24"/>
        </w:rPr>
        <w:t xml:space="preserve">. Ciência e </w:t>
      </w:r>
      <w:proofErr w:type="spellStart"/>
      <w:r w:rsidRPr="001A6FEA">
        <w:rPr>
          <w:sz w:val="24"/>
          <w:szCs w:val="24"/>
        </w:rPr>
        <w:t>Agrotecnologia</w:t>
      </w:r>
      <w:proofErr w:type="spellEnd"/>
      <w:r w:rsidRPr="001A6FEA">
        <w:rPr>
          <w:sz w:val="24"/>
          <w:szCs w:val="24"/>
        </w:rPr>
        <w:t xml:space="preserve">, </w:t>
      </w:r>
      <w:proofErr w:type="spellStart"/>
      <w:proofErr w:type="gramStart"/>
      <w:r w:rsidRPr="001A6FEA">
        <w:rPr>
          <w:sz w:val="24"/>
          <w:szCs w:val="24"/>
        </w:rPr>
        <w:t>Lavras,v</w:t>
      </w:r>
      <w:proofErr w:type="spellEnd"/>
      <w:r w:rsidRPr="001A6FEA">
        <w:rPr>
          <w:sz w:val="24"/>
          <w:szCs w:val="24"/>
        </w:rPr>
        <w:t>.</w:t>
      </w:r>
      <w:proofErr w:type="gramEnd"/>
      <w:r w:rsidRPr="001A6FEA">
        <w:rPr>
          <w:sz w:val="24"/>
          <w:szCs w:val="24"/>
        </w:rPr>
        <w:t xml:space="preserve"> 32, n. 2, p. 353-359, 2008.</w:t>
      </w:r>
    </w:p>
    <w:p w:rsidR="00A93FEB" w:rsidRPr="00546D76" w:rsidRDefault="00A93FEB" w:rsidP="00A93FEB">
      <w:pPr>
        <w:spacing w:before="240"/>
        <w:jc w:val="both"/>
        <w:rPr>
          <w:sz w:val="24"/>
          <w:szCs w:val="24"/>
        </w:rPr>
      </w:pPr>
      <w:r w:rsidRPr="00546D76">
        <w:rPr>
          <w:sz w:val="24"/>
          <w:szCs w:val="24"/>
        </w:rPr>
        <w:t xml:space="preserve">Santos, A. C. A. </w:t>
      </w:r>
      <w:r w:rsidRPr="00AA6C5E">
        <w:rPr>
          <w:b/>
          <w:sz w:val="24"/>
          <w:szCs w:val="24"/>
        </w:rPr>
        <w:t>Teores de carbono e nitrogênio dos solos de duas microbacias hidrográficas com diferentes usos da terra no município de Ibiúna-SP</w:t>
      </w:r>
      <w:r w:rsidRPr="00546D76">
        <w:rPr>
          <w:sz w:val="24"/>
          <w:szCs w:val="24"/>
        </w:rPr>
        <w:t>. Bauru: UNESP, 2012. Dissertação (Mestrado em Engenharia Civil e Ambiental).</w:t>
      </w:r>
    </w:p>
    <w:p w:rsidR="00A93FEB" w:rsidRPr="00546D76" w:rsidRDefault="00A93FEB" w:rsidP="00A93FEB">
      <w:pPr>
        <w:spacing w:before="240"/>
        <w:jc w:val="both"/>
        <w:rPr>
          <w:sz w:val="24"/>
          <w:szCs w:val="24"/>
        </w:rPr>
      </w:pPr>
      <w:r w:rsidRPr="00546D76">
        <w:rPr>
          <w:sz w:val="24"/>
          <w:szCs w:val="24"/>
        </w:rPr>
        <w:t xml:space="preserve">SMITH, N.; DUBOIS, J.; CURRENT, D.; LUTZ, E.; CLEMENT, C. </w:t>
      </w:r>
      <w:r w:rsidRPr="00AA6C5E">
        <w:rPr>
          <w:b/>
          <w:sz w:val="24"/>
          <w:szCs w:val="24"/>
        </w:rPr>
        <w:t>Experiências Agroflorestais na Amazônia Brasileira: restrições e oportunidades.</w:t>
      </w:r>
      <w:r w:rsidRPr="00546D76">
        <w:rPr>
          <w:sz w:val="24"/>
          <w:szCs w:val="24"/>
        </w:rPr>
        <w:t xml:space="preserve"> Programa piloto para proteção das florestas tropicais do Brasil. Brasília, P.146, 1998.</w:t>
      </w:r>
    </w:p>
    <w:p w:rsidR="00A93FEB" w:rsidRPr="00546D76" w:rsidRDefault="00A93FEB" w:rsidP="00A93FEB">
      <w:pPr>
        <w:spacing w:before="240"/>
        <w:jc w:val="both"/>
        <w:rPr>
          <w:sz w:val="24"/>
          <w:szCs w:val="24"/>
        </w:rPr>
      </w:pPr>
      <w:r w:rsidRPr="00546D76">
        <w:rPr>
          <w:sz w:val="24"/>
          <w:szCs w:val="24"/>
        </w:rPr>
        <w:t>SOUZA, E. R.; MELO, H. F.; ALMEIDA, B. G.; MELO, D. V. M. Comparação de métodos de extração da solução do solo. Revista Brasileira de Engenharia Agrícola e Ambiental, v.17, n.5, p.510–517, 2013.</w:t>
      </w:r>
    </w:p>
    <w:p w:rsidR="00A93FEB" w:rsidRDefault="00A93FEB" w:rsidP="00A93FEB">
      <w:pPr>
        <w:spacing w:line="360" w:lineRule="auto"/>
        <w:jc w:val="both"/>
        <w:rPr>
          <w:sz w:val="24"/>
          <w:szCs w:val="24"/>
          <w:lang w:val="en-US"/>
        </w:rPr>
      </w:pPr>
    </w:p>
    <w:p w:rsidR="00AA6C5E" w:rsidRPr="00DB30BE" w:rsidRDefault="00A93FEB" w:rsidP="00A93FEB">
      <w:pPr>
        <w:jc w:val="both"/>
        <w:rPr>
          <w:sz w:val="24"/>
          <w:szCs w:val="24"/>
        </w:rPr>
      </w:pPr>
      <w:r w:rsidRPr="00546D76">
        <w:rPr>
          <w:sz w:val="24"/>
          <w:szCs w:val="24"/>
          <w:lang w:val="en-US"/>
        </w:rPr>
        <w:t xml:space="preserve">WATRIN, O. S. et al. </w:t>
      </w:r>
      <w:r w:rsidRPr="00AA6C5E">
        <w:rPr>
          <w:b/>
          <w:sz w:val="24"/>
          <w:szCs w:val="24"/>
        </w:rPr>
        <w:t>Análise da dinâmica na paisagem do nordeste paraense através de técnicas de geoprocessamento</w:t>
      </w:r>
      <w:r w:rsidRPr="00546D76">
        <w:rPr>
          <w:sz w:val="24"/>
          <w:szCs w:val="24"/>
        </w:rPr>
        <w:t xml:space="preserve">. Simpósio Brasileiro de Sensoriamento Remoto, v. 8, p. </w:t>
      </w:r>
      <w:r w:rsidR="00AA6C5E">
        <w:rPr>
          <w:sz w:val="24"/>
          <w:szCs w:val="24"/>
        </w:rPr>
        <w:t>427-433, 1996. Disponível em: &lt;</w:t>
      </w:r>
      <w:hyperlink r:id="rId19" w:history="1">
        <w:r w:rsidRPr="00546D76">
          <w:rPr>
            <w:sz w:val="24"/>
            <w:szCs w:val="24"/>
          </w:rPr>
          <w:t>http://marte.sid.inpe.br/col/sid.inpe.br/deise/1999</w:t>
        </w:r>
      </w:hyperlink>
      <w:r w:rsidR="00AA6C5E">
        <w:rPr>
          <w:sz w:val="24"/>
          <w:szCs w:val="24"/>
        </w:rPr>
        <w:t>&gt;</w:t>
      </w:r>
      <w:r>
        <w:rPr>
          <w:sz w:val="24"/>
          <w:szCs w:val="24"/>
        </w:rPr>
        <w:t>.</w:t>
      </w:r>
    </w:p>
    <w:sectPr w:rsidR="00AA6C5E" w:rsidRPr="00DB30BE" w:rsidSect="00353EEF">
      <w:headerReference w:type="default" r:id="rId20"/>
      <w:footerReference w:type="default" r:id="rId21"/>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43DD" w:rsidRDefault="008443DD" w:rsidP="00392012">
      <w:r>
        <w:separator/>
      </w:r>
    </w:p>
  </w:endnote>
  <w:endnote w:type="continuationSeparator" w:id="0">
    <w:p w:rsidR="008443DD" w:rsidRDefault="008443DD"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4589" w:rsidRPr="00B84589" w:rsidRDefault="006D43B5" w:rsidP="00B84589">
    <w:pPr>
      <w:pStyle w:val="Rodap"/>
    </w:pPr>
    <w:r>
      <w:rPr>
        <w:noProof/>
      </w:rPr>
      <w:drawing>
        <wp:inline distT="0" distB="0" distL="0" distR="0">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43DD" w:rsidRDefault="008443DD" w:rsidP="00392012">
      <w:r>
        <w:separator/>
      </w:r>
    </w:p>
  </w:footnote>
  <w:footnote w:type="continuationSeparator" w:id="0">
    <w:p w:rsidR="008443DD" w:rsidRDefault="008443DD" w:rsidP="00392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rsidR="004365F3" w:rsidRDefault="004365F3" w:rsidP="0095437F">
    <w:pPr>
      <w:pStyle w:val="Cabealho"/>
      <w:pBdr>
        <w:bottom w:val="single" w:sz="4" w:space="1" w:color="auto"/>
      </w:pBdr>
      <w:rPr>
        <w:noProof/>
      </w:rPr>
    </w:pPr>
  </w:p>
  <w:p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D701E"/>
    <w:multiLevelType w:val="multilevel"/>
    <w:tmpl w:val="1EB685F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24772DA"/>
    <w:multiLevelType w:val="multilevel"/>
    <w:tmpl w:val="DFC2A92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4FA"/>
    <w:rsid w:val="0001355C"/>
    <w:rsid w:val="00027D99"/>
    <w:rsid w:val="00037590"/>
    <w:rsid w:val="00046262"/>
    <w:rsid w:val="000559C3"/>
    <w:rsid w:val="00076CED"/>
    <w:rsid w:val="00094A6D"/>
    <w:rsid w:val="000B0814"/>
    <w:rsid w:val="000B4410"/>
    <w:rsid w:val="000B5975"/>
    <w:rsid w:val="000E67E9"/>
    <w:rsid w:val="000F23B6"/>
    <w:rsid w:val="000F7B8F"/>
    <w:rsid w:val="001027B6"/>
    <w:rsid w:val="001179C2"/>
    <w:rsid w:val="00121F29"/>
    <w:rsid w:val="0012462E"/>
    <w:rsid w:val="001444DD"/>
    <w:rsid w:val="00150757"/>
    <w:rsid w:val="00152DCF"/>
    <w:rsid w:val="00160D2E"/>
    <w:rsid w:val="00170278"/>
    <w:rsid w:val="00195E0E"/>
    <w:rsid w:val="001B1308"/>
    <w:rsid w:val="001B3370"/>
    <w:rsid w:val="001B6E63"/>
    <w:rsid w:val="001B75DD"/>
    <w:rsid w:val="001C7011"/>
    <w:rsid w:val="001C79FB"/>
    <w:rsid w:val="001F1AC9"/>
    <w:rsid w:val="00200C01"/>
    <w:rsid w:val="00202A94"/>
    <w:rsid w:val="00206969"/>
    <w:rsid w:val="002076EF"/>
    <w:rsid w:val="00210617"/>
    <w:rsid w:val="0024156F"/>
    <w:rsid w:val="0024285C"/>
    <w:rsid w:val="00253593"/>
    <w:rsid w:val="00253D7B"/>
    <w:rsid w:val="00261E93"/>
    <w:rsid w:val="00270F09"/>
    <w:rsid w:val="00273A6E"/>
    <w:rsid w:val="002A456B"/>
    <w:rsid w:val="002B4C8E"/>
    <w:rsid w:val="002C04FA"/>
    <w:rsid w:val="002C3F9C"/>
    <w:rsid w:val="002F114A"/>
    <w:rsid w:val="002F2604"/>
    <w:rsid w:val="002F37D6"/>
    <w:rsid w:val="0030582C"/>
    <w:rsid w:val="00306B52"/>
    <w:rsid w:val="0031066A"/>
    <w:rsid w:val="00313106"/>
    <w:rsid w:val="00314A42"/>
    <w:rsid w:val="003201E0"/>
    <w:rsid w:val="00320959"/>
    <w:rsid w:val="00330AA8"/>
    <w:rsid w:val="00334ABB"/>
    <w:rsid w:val="00351EDF"/>
    <w:rsid w:val="00353EEF"/>
    <w:rsid w:val="00372163"/>
    <w:rsid w:val="00392012"/>
    <w:rsid w:val="00395FD4"/>
    <w:rsid w:val="003A4B26"/>
    <w:rsid w:val="003B013E"/>
    <w:rsid w:val="003B02AD"/>
    <w:rsid w:val="003B090B"/>
    <w:rsid w:val="003B39F4"/>
    <w:rsid w:val="003B4C0B"/>
    <w:rsid w:val="003D0994"/>
    <w:rsid w:val="003E1ADB"/>
    <w:rsid w:val="003F0C50"/>
    <w:rsid w:val="004006AC"/>
    <w:rsid w:val="00400D61"/>
    <w:rsid w:val="0042057D"/>
    <w:rsid w:val="00422D99"/>
    <w:rsid w:val="00426873"/>
    <w:rsid w:val="00426F37"/>
    <w:rsid w:val="00436326"/>
    <w:rsid w:val="004365F3"/>
    <w:rsid w:val="004425A3"/>
    <w:rsid w:val="00455C23"/>
    <w:rsid w:val="00456A69"/>
    <w:rsid w:val="00463810"/>
    <w:rsid w:val="00466A3C"/>
    <w:rsid w:val="004709D3"/>
    <w:rsid w:val="00472460"/>
    <w:rsid w:val="004777CC"/>
    <w:rsid w:val="00497F38"/>
    <w:rsid w:val="004A716F"/>
    <w:rsid w:val="004B03F7"/>
    <w:rsid w:val="004C4A07"/>
    <w:rsid w:val="004C52D5"/>
    <w:rsid w:val="004C746A"/>
    <w:rsid w:val="004D156A"/>
    <w:rsid w:val="004F3394"/>
    <w:rsid w:val="004F6258"/>
    <w:rsid w:val="00511E8F"/>
    <w:rsid w:val="00512F44"/>
    <w:rsid w:val="005159DA"/>
    <w:rsid w:val="005225D5"/>
    <w:rsid w:val="00555769"/>
    <w:rsid w:val="005C3A11"/>
    <w:rsid w:val="005C6189"/>
    <w:rsid w:val="005C6204"/>
    <w:rsid w:val="005D71A6"/>
    <w:rsid w:val="005E616C"/>
    <w:rsid w:val="005E6909"/>
    <w:rsid w:val="006058E8"/>
    <w:rsid w:val="00610CCB"/>
    <w:rsid w:val="00612D68"/>
    <w:rsid w:val="00614FB7"/>
    <w:rsid w:val="0061672B"/>
    <w:rsid w:val="00616DDB"/>
    <w:rsid w:val="006201D8"/>
    <w:rsid w:val="00634A56"/>
    <w:rsid w:val="006370E4"/>
    <w:rsid w:val="00637C7B"/>
    <w:rsid w:val="00643160"/>
    <w:rsid w:val="0066022A"/>
    <w:rsid w:val="0068555A"/>
    <w:rsid w:val="006D43B5"/>
    <w:rsid w:val="006F0E3B"/>
    <w:rsid w:val="00702F33"/>
    <w:rsid w:val="00706C3B"/>
    <w:rsid w:val="00707D9F"/>
    <w:rsid w:val="00715A5D"/>
    <w:rsid w:val="007218EB"/>
    <w:rsid w:val="007255AA"/>
    <w:rsid w:val="007422FB"/>
    <w:rsid w:val="007452FD"/>
    <w:rsid w:val="00760822"/>
    <w:rsid w:val="0076407B"/>
    <w:rsid w:val="0077171D"/>
    <w:rsid w:val="00771EBA"/>
    <w:rsid w:val="007851C4"/>
    <w:rsid w:val="00794F91"/>
    <w:rsid w:val="007A1D9E"/>
    <w:rsid w:val="007A25DD"/>
    <w:rsid w:val="007A4E44"/>
    <w:rsid w:val="007B1EDB"/>
    <w:rsid w:val="007B551B"/>
    <w:rsid w:val="007B7497"/>
    <w:rsid w:val="007D0634"/>
    <w:rsid w:val="007D15C8"/>
    <w:rsid w:val="007D58F5"/>
    <w:rsid w:val="007E40D8"/>
    <w:rsid w:val="00802659"/>
    <w:rsid w:val="008030DD"/>
    <w:rsid w:val="00805B27"/>
    <w:rsid w:val="00811FDD"/>
    <w:rsid w:val="00814223"/>
    <w:rsid w:val="0083077E"/>
    <w:rsid w:val="00834BE9"/>
    <w:rsid w:val="008443DD"/>
    <w:rsid w:val="00852788"/>
    <w:rsid w:val="00856747"/>
    <w:rsid w:val="00863A0D"/>
    <w:rsid w:val="008644EF"/>
    <w:rsid w:val="00885292"/>
    <w:rsid w:val="008922FD"/>
    <w:rsid w:val="008A6215"/>
    <w:rsid w:val="008B5DEC"/>
    <w:rsid w:val="008F146A"/>
    <w:rsid w:val="008F44A8"/>
    <w:rsid w:val="00917E8C"/>
    <w:rsid w:val="00931F62"/>
    <w:rsid w:val="009331C3"/>
    <w:rsid w:val="00937ADF"/>
    <w:rsid w:val="0095190B"/>
    <w:rsid w:val="0095437F"/>
    <w:rsid w:val="00961709"/>
    <w:rsid w:val="00961A1F"/>
    <w:rsid w:val="0097264E"/>
    <w:rsid w:val="00976565"/>
    <w:rsid w:val="00996216"/>
    <w:rsid w:val="009962E6"/>
    <w:rsid w:val="009965FA"/>
    <w:rsid w:val="009B0125"/>
    <w:rsid w:val="009C407A"/>
    <w:rsid w:val="009D5F95"/>
    <w:rsid w:val="009D6FE6"/>
    <w:rsid w:val="00A0097A"/>
    <w:rsid w:val="00A126BC"/>
    <w:rsid w:val="00A14A7B"/>
    <w:rsid w:val="00A22AF6"/>
    <w:rsid w:val="00A26486"/>
    <w:rsid w:val="00A3431C"/>
    <w:rsid w:val="00A3575E"/>
    <w:rsid w:val="00A522B1"/>
    <w:rsid w:val="00A57710"/>
    <w:rsid w:val="00A64325"/>
    <w:rsid w:val="00A77CA4"/>
    <w:rsid w:val="00A92240"/>
    <w:rsid w:val="00A93FEB"/>
    <w:rsid w:val="00A9494E"/>
    <w:rsid w:val="00AA6C5E"/>
    <w:rsid w:val="00AB2550"/>
    <w:rsid w:val="00AD6534"/>
    <w:rsid w:val="00AF7A61"/>
    <w:rsid w:val="00B03F68"/>
    <w:rsid w:val="00B259FE"/>
    <w:rsid w:val="00B40020"/>
    <w:rsid w:val="00B526DA"/>
    <w:rsid w:val="00B55AB2"/>
    <w:rsid w:val="00B64760"/>
    <w:rsid w:val="00B669D3"/>
    <w:rsid w:val="00B7165F"/>
    <w:rsid w:val="00B80297"/>
    <w:rsid w:val="00B84589"/>
    <w:rsid w:val="00B864F5"/>
    <w:rsid w:val="00BA500E"/>
    <w:rsid w:val="00BB2377"/>
    <w:rsid w:val="00BB4CC9"/>
    <w:rsid w:val="00BB5D54"/>
    <w:rsid w:val="00BC1BDD"/>
    <w:rsid w:val="00BC29A4"/>
    <w:rsid w:val="00BC2E4E"/>
    <w:rsid w:val="00BD3FDA"/>
    <w:rsid w:val="00BE10B2"/>
    <w:rsid w:val="00BE66CF"/>
    <w:rsid w:val="00BF08DF"/>
    <w:rsid w:val="00BF5246"/>
    <w:rsid w:val="00BF7AD6"/>
    <w:rsid w:val="00C100B9"/>
    <w:rsid w:val="00C15CD1"/>
    <w:rsid w:val="00C15D2C"/>
    <w:rsid w:val="00C30F52"/>
    <w:rsid w:val="00C41918"/>
    <w:rsid w:val="00C46A3C"/>
    <w:rsid w:val="00C70228"/>
    <w:rsid w:val="00C71504"/>
    <w:rsid w:val="00C71785"/>
    <w:rsid w:val="00C81AB9"/>
    <w:rsid w:val="00C93112"/>
    <w:rsid w:val="00C94CDC"/>
    <w:rsid w:val="00CA71A9"/>
    <w:rsid w:val="00CB7D10"/>
    <w:rsid w:val="00CC5C92"/>
    <w:rsid w:val="00CD3D0C"/>
    <w:rsid w:val="00CD3E3D"/>
    <w:rsid w:val="00CE45A6"/>
    <w:rsid w:val="00CE4F5C"/>
    <w:rsid w:val="00CE581B"/>
    <w:rsid w:val="00CF2E7B"/>
    <w:rsid w:val="00D00509"/>
    <w:rsid w:val="00D0394C"/>
    <w:rsid w:val="00D04865"/>
    <w:rsid w:val="00D048E7"/>
    <w:rsid w:val="00D13969"/>
    <w:rsid w:val="00D34D39"/>
    <w:rsid w:val="00D40455"/>
    <w:rsid w:val="00D458EA"/>
    <w:rsid w:val="00D507CA"/>
    <w:rsid w:val="00D66D9D"/>
    <w:rsid w:val="00D97B16"/>
    <w:rsid w:val="00DA0B68"/>
    <w:rsid w:val="00DA3138"/>
    <w:rsid w:val="00DB30BE"/>
    <w:rsid w:val="00DB67E5"/>
    <w:rsid w:val="00DC31F5"/>
    <w:rsid w:val="00DC4E3A"/>
    <w:rsid w:val="00DF095A"/>
    <w:rsid w:val="00E015CF"/>
    <w:rsid w:val="00E05E73"/>
    <w:rsid w:val="00E0707A"/>
    <w:rsid w:val="00E30F80"/>
    <w:rsid w:val="00E32F25"/>
    <w:rsid w:val="00E34F91"/>
    <w:rsid w:val="00E428E7"/>
    <w:rsid w:val="00E47749"/>
    <w:rsid w:val="00E753BE"/>
    <w:rsid w:val="00E76DCA"/>
    <w:rsid w:val="00E85C97"/>
    <w:rsid w:val="00EA6802"/>
    <w:rsid w:val="00EB6A99"/>
    <w:rsid w:val="00EC3028"/>
    <w:rsid w:val="00EE4602"/>
    <w:rsid w:val="00EF1C09"/>
    <w:rsid w:val="00EF273F"/>
    <w:rsid w:val="00F06F8F"/>
    <w:rsid w:val="00F17FFA"/>
    <w:rsid w:val="00F253D0"/>
    <w:rsid w:val="00F43D66"/>
    <w:rsid w:val="00F47276"/>
    <w:rsid w:val="00F5269B"/>
    <w:rsid w:val="00F528A5"/>
    <w:rsid w:val="00F609AE"/>
    <w:rsid w:val="00F65594"/>
    <w:rsid w:val="00F67AA9"/>
    <w:rsid w:val="00F72608"/>
    <w:rsid w:val="00F76C81"/>
    <w:rsid w:val="00FA1C13"/>
    <w:rsid w:val="00FB6399"/>
    <w:rsid w:val="00FD1741"/>
    <w:rsid w:val="00FD6A42"/>
    <w:rsid w:val="00FE12AD"/>
    <w:rsid w:val="00FE2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4:docId w14:val="1E277975"/>
  <w15:docId w15:val="{FC594485-8251-4A36-B471-472D1F05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04FA"/>
    <w:rPr>
      <w:rFonts w:ascii="Times New Roman" w:eastAsia="Times New Roman" w:hAnsi="Times New Roman"/>
    </w:rPr>
  </w:style>
  <w:style w:type="paragraph" w:styleId="Ttulo1">
    <w:name w:val="heading 1"/>
    <w:basedOn w:val="Normal"/>
    <w:link w:val="Ttulo1Char"/>
    <w:uiPriority w:val="9"/>
    <w:qFormat/>
    <w:rsid w:val="00FA1C13"/>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FA1C13"/>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215998">
      <w:bodyDiv w:val="1"/>
      <w:marLeft w:val="0"/>
      <w:marRight w:val="0"/>
      <w:marTop w:val="0"/>
      <w:marBottom w:val="0"/>
      <w:divBdr>
        <w:top w:val="none" w:sz="0" w:space="0" w:color="auto"/>
        <w:left w:val="none" w:sz="0" w:space="0" w:color="auto"/>
        <w:bottom w:val="none" w:sz="0" w:space="0" w:color="auto"/>
        <w:right w:val="none" w:sz="0" w:space="0" w:color="auto"/>
      </w:divBdr>
    </w:div>
    <w:div w:id="131205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eolemos202@gmail.com" TargetMode="Externa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hyperlink" Target="mailto:juliana.felizzola@embrapa.br" TargetMode="External"/><Relationship Id="rId19" Type="http://schemas.openxmlformats.org/officeDocument/2006/relationships/hyperlink" Target="http://marte.sid.inpe.br/col/sid.inpe.br/deise/1999" TargetMode="External"/><Relationship Id="rId4" Type="http://schemas.openxmlformats.org/officeDocument/2006/relationships/settings" Target="settings.xml"/><Relationship Id="rId9" Type="http://schemas.openxmlformats.org/officeDocument/2006/relationships/hyperlink" Target="mailto:ssilva.patriciasantos@gmail.com" TargetMode="External"/><Relationship Id="rId14" Type="http://schemas.openxmlformats.org/officeDocument/2006/relationships/chart" Target="charts/chart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Leonardo%20Almeida\Documents\Embrapa\Solu&#231;&#227;o%20do%20solo\Solu&#231;&#227;o%20Solo%20e%20PPT%20DOC,%20NOD,%20DIC(13.1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onardo%20Almeida\Documents\Embrapa\Solu&#231;&#227;o%20do%20solo\Solu&#231;&#227;o%20Solo%20e%20PPT%20DOC,%20NOD,%20DIC(13.1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onardo%20Almeida\Documents\Embrapa\Solu&#231;&#227;o%20do%20solo\Solu&#231;&#227;o%20Solo%20e%20PPT%20DOC,%20NOD,%20DIC(13.1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onardo%20Almeida\Documents\Embrapa\Solu&#231;&#227;o%20do%20solo\Solu&#231;&#227;o%20Solo%20e%20PPT%20DOC,%20NOD,%20DIC(13.1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onardo%20Almeida\Documents\Embrapa\Solu&#231;&#227;o%20do%20solo\Solu&#231;&#227;o%20Solo%20e%20PPT%20DOC,%20NOD,%20DIC(13.10.18).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onardo%20Almeida\Documents\Embrapa\Solu&#231;&#227;o%20do%20solo\Solu&#231;&#227;o%20Solo%20e%20PPT%20DOC,%20NOD,%20DIC(13.1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2750398585963567E-2"/>
          <c:y val="5.0178558449424579E-2"/>
          <c:w val="0.89114295357750328"/>
          <c:h val="0.67373470623864329"/>
        </c:manualLayout>
      </c:layout>
      <c:bar3DChart>
        <c:barDir val="col"/>
        <c:grouping val="clustered"/>
        <c:varyColors val="0"/>
        <c:ser>
          <c:idx val="0"/>
          <c:order val="0"/>
          <c:tx>
            <c:strRef>
              <c:f>'Medias Estações'!$Y$19</c:f>
              <c:strCache>
                <c:ptCount val="1"/>
                <c:pt idx="0">
                  <c:v>TR2</c:v>
                </c:pt>
              </c:strCache>
            </c:strRef>
          </c:tx>
          <c:spPr>
            <a:solidFill>
              <a:schemeClr val="accent4">
                <a:lumMod val="75000"/>
              </a:schemeClr>
            </a:solidFill>
          </c:spPr>
          <c:invertIfNegative val="0"/>
          <c:cat>
            <c:strLit>
              <c:ptCount val="12"/>
              <c:pt idx="0">
                <c:v>MIC CID 30cm</c:v>
              </c:pt>
              <c:pt idx="1">
                <c:v> MIC COD 30cm</c:v>
              </c:pt>
              <c:pt idx="2">
                <c:v> MIC CTD 30cm</c:v>
              </c:pt>
              <c:pt idx="3">
                <c:v> MIC CID 60cm</c:v>
              </c:pt>
              <c:pt idx="4">
                <c:v> MIC COD 60cm</c:v>
              </c:pt>
              <c:pt idx="5">
                <c:v> MIC CTD 60cm</c:v>
              </c:pt>
              <c:pt idx="6">
                <c:v> MISJ CID 30cm</c:v>
              </c:pt>
              <c:pt idx="7">
                <c:v> MISJ COD 30cm</c:v>
              </c:pt>
              <c:pt idx="8">
                <c:v> MISJ CTD 30cm</c:v>
              </c:pt>
              <c:pt idx="9">
                <c:v> MISJ CID 60cm</c:v>
              </c:pt>
              <c:pt idx="10">
                <c:v> MISJ COD 60cm</c:v>
              </c:pt>
              <c:pt idx="11">
                <c:v> MISJ CTD 60cm</c:v>
              </c:pt>
            </c:strLit>
          </c:cat>
          <c:val>
            <c:numRef>
              <c:f>('Medias Estações'!$AA$27,'Medias Estações'!$G$27,'Medias Estações'!$AY$15,'Medias Estações'!$AJ$27,'Medias Estações'!$Q$27,'Medias Estações'!$AZ$15,'Medias Estações'!$AA$67,'Medias Estações'!$G$67,'Medias Estações'!$AY$35,'Medias Estações'!$AJ$67,'Medias Estações'!$Q$67,'Medias Estações'!$AZ$35)</c:f>
              <c:numCache>
                <c:formatCode>_(* #,##0.00_);_(* \(#,##0.00\);_(* "-"??_);_(@_)</c:formatCode>
                <c:ptCount val="12"/>
                <c:pt idx="0">
                  <c:v>0.42299999999999999</c:v>
                </c:pt>
                <c:pt idx="1">
                  <c:v>2.4304999999999999</c:v>
                </c:pt>
                <c:pt idx="2" formatCode="0.00">
                  <c:v>2.8534999999999999</c:v>
                </c:pt>
                <c:pt idx="3">
                  <c:v>0</c:v>
                </c:pt>
                <c:pt idx="4">
                  <c:v>1.8604999999999998</c:v>
                </c:pt>
                <c:pt idx="5" formatCode="General">
                  <c:v>0</c:v>
                </c:pt>
                <c:pt idx="6">
                  <c:v>0</c:v>
                </c:pt>
                <c:pt idx="7">
                  <c:v>12.787500000000001</c:v>
                </c:pt>
                <c:pt idx="8" formatCode="General">
                  <c:v>0</c:v>
                </c:pt>
                <c:pt idx="9">
                  <c:v>0</c:v>
                </c:pt>
                <c:pt idx="10">
                  <c:v>0</c:v>
                </c:pt>
                <c:pt idx="11" formatCode="General">
                  <c:v>0</c:v>
                </c:pt>
              </c:numCache>
            </c:numRef>
          </c:val>
          <c:extLst>
            <c:ext xmlns:c16="http://schemas.microsoft.com/office/drawing/2014/chart" uri="{C3380CC4-5D6E-409C-BE32-E72D297353CC}">
              <c16:uniqueId val="{00000000-77FC-49F1-9DA9-B2B65F4FDEA4}"/>
            </c:ext>
          </c:extLst>
        </c:ser>
        <c:ser>
          <c:idx val="1"/>
          <c:order val="1"/>
          <c:tx>
            <c:strRef>
              <c:f>'Medias Estações'!$Y$21</c:f>
              <c:strCache>
                <c:ptCount val="1"/>
                <c:pt idx="0">
                  <c:v>CHUVOSO</c:v>
                </c:pt>
              </c:strCache>
            </c:strRef>
          </c:tx>
          <c:spPr>
            <a:solidFill>
              <a:schemeClr val="accent5">
                <a:lumMod val="75000"/>
              </a:schemeClr>
            </a:solidFill>
          </c:spPr>
          <c:invertIfNegative val="0"/>
          <c:cat>
            <c:strLit>
              <c:ptCount val="12"/>
              <c:pt idx="0">
                <c:v>MIC CID 30cm</c:v>
              </c:pt>
              <c:pt idx="1">
                <c:v> MIC COD 30cm</c:v>
              </c:pt>
              <c:pt idx="2">
                <c:v> MIC CTD 30cm</c:v>
              </c:pt>
              <c:pt idx="3">
                <c:v> MIC CID 60cm</c:v>
              </c:pt>
              <c:pt idx="4">
                <c:v> MIC COD 60cm</c:v>
              </c:pt>
              <c:pt idx="5">
                <c:v> MIC CTD 60cm</c:v>
              </c:pt>
              <c:pt idx="6">
                <c:v> MISJ CID 30cm</c:v>
              </c:pt>
              <c:pt idx="7">
                <c:v> MISJ COD 30cm</c:v>
              </c:pt>
              <c:pt idx="8">
                <c:v> MISJ CTD 30cm</c:v>
              </c:pt>
              <c:pt idx="9">
                <c:v> MISJ CID 60cm</c:v>
              </c:pt>
              <c:pt idx="10">
                <c:v> MISJ COD 60cm</c:v>
              </c:pt>
              <c:pt idx="11">
                <c:v> MISJ CTD 60cm</c:v>
              </c:pt>
            </c:strLit>
          </c:cat>
          <c:val>
            <c:numRef>
              <c:f>('Medias Estações'!$AA$29,'Medias Estações'!$G$29,'Medias Estações'!$AY$16,'Medias Estações'!$AJ$29,'Medias Estações'!$Q$29,'Medias Estações'!$AZ$20,'Medias Estações'!$AA$69,'Medias Estações'!$G$69,'Medias Estações'!$AY$36,'Medias Estações'!$AJ$69,'Medias Estações'!$Q$69,'Medias Estações'!$AZ$36)</c:f>
              <c:numCache>
                <c:formatCode>_(* #,##0.00_);_(* \(#,##0.00\);_(* "-"??_);_(@_)</c:formatCode>
                <c:ptCount val="12"/>
                <c:pt idx="0">
                  <c:v>0.41949999999999998</c:v>
                </c:pt>
                <c:pt idx="1">
                  <c:v>10.488099999999999</c:v>
                </c:pt>
                <c:pt idx="2" formatCode="0.00">
                  <c:v>10.907599999999999</c:v>
                </c:pt>
                <c:pt idx="3">
                  <c:v>0.32837499999999997</c:v>
                </c:pt>
                <c:pt idx="4">
                  <c:v>2.7017500000000005</c:v>
                </c:pt>
                <c:pt idx="5">
                  <c:v>7.0514166666666673</c:v>
                </c:pt>
                <c:pt idx="6">
                  <c:v>0.19066666666666665</c:v>
                </c:pt>
                <c:pt idx="7">
                  <c:v>17.647266666666667</c:v>
                </c:pt>
                <c:pt idx="8" formatCode="0.00">
                  <c:v>17.837933333333332</c:v>
                </c:pt>
                <c:pt idx="9">
                  <c:v>1.6830000000000001</c:v>
                </c:pt>
                <c:pt idx="10">
                  <c:v>13.947000000000001</c:v>
                </c:pt>
                <c:pt idx="11">
                  <c:v>15.63</c:v>
                </c:pt>
              </c:numCache>
            </c:numRef>
          </c:val>
          <c:extLst>
            <c:ext xmlns:c16="http://schemas.microsoft.com/office/drawing/2014/chart" uri="{C3380CC4-5D6E-409C-BE32-E72D297353CC}">
              <c16:uniqueId val="{00000001-77FC-49F1-9DA9-B2B65F4FDEA4}"/>
            </c:ext>
          </c:extLst>
        </c:ser>
        <c:ser>
          <c:idx val="2"/>
          <c:order val="2"/>
          <c:tx>
            <c:strRef>
              <c:f>'Medias Estações'!$Y$23</c:f>
              <c:strCache>
                <c:ptCount val="1"/>
                <c:pt idx="0">
                  <c:v>TR1</c:v>
                </c:pt>
              </c:strCache>
            </c:strRef>
          </c:tx>
          <c:spPr>
            <a:solidFill>
              <a:schemeClr val="accent6">
                <a:lumMod val="75000"/>
              </a:schemeClr>
            </a:solidFill>
          </c:spPr>
          <c:invertIfNegative val="0"/>
          <c:cat>
            <c:strLit>
              <c:ptCount val="12"/>
              <c:pt idx="0">
                <c:v>MIC CID 30cm</c:v>
              </c:pt>
              <c:pt idx="1">
                <c:v> MIC COD 30cm</c:v>
              </c:pt>
              <c:pt idx="2">
                <c:v> MIC CTD 30cm</c:v>
              </c:pt>
              <c:pt idx="3">
                <c:v> MIC CID 60cm</c:v>
              </c:pt>
              <c:pt idx="4">
                <c:v> MIC COD 60cm</c:v>
              </c:pt>
              <c:pt idx="5">
                <c:v> MIC CTD 60cm</c:v>
              </c:pt>
              <c:pt idx="6">
                <c:v> MISJ CID 30cm</c:v>
              </c:pt>
              <c:pt idx="7">
                <c:v> MISJ COD 30cm</c:v>
              </c:pt>
              <c:pt idx="8">
                <c:v> MISJ CTD 30cm</c:v>
              </c:pt>
              <c:pt idx="9">
                <c:v> MISJ CID 60cm</c:v>
              </c:pt>
              <c:pt idx="10">
                <c:v> MISJ COD 60cm</c:v>
              </c:pt>
              <c:pt idx="11">
                <c:v> MISJ CTD 60cm</c:v>
              </c:pt>
            </c:strLit>
          </c:cat>
          <c:val>
            <c:numRef>
              <c:f>('Medias Estações'!$AA$31,'Medias Estações'!$G$31,'Medias Estações'!$AY$17,'Medias Estações'!$AJ$31,'Medias Estações'!$Q$31,'Medias Estações'!$AZ$17,'Medias Estações'!$AA$71,'Medias Estações'!$G$71,'Medias Estações'!$AY$37,'Medias Estações'!$AJ$71,'Medias Estações'!$Q$71,'Medias Estações'!$AZ$37)</c:f>
              <c:numCache>
                <c:formatCode>_(* #,##0.00_);_(* \(#,##0.00\);_(* "-"??_);_(@_)</c:formatCode>
                <c:ptCount val="12"/>
                <c:pt idx="0">
                  <c:v>0.29775000000000001</c:v>
                </c:pt>
                <c:pt idx="1">
                  <c:v>13.572500000000002</c:v>
                </c:pt>
                <c:pt idx="2" formatCode="0.00">
                  <c:v>13.870250000000002</c:v>
                </c:pt>
                <c:pt idx="3">
                  <c:v>0.26449999999999996</c:v>
                </c:pt>
                <c:pt idx="4">
                  <c:v>1.37025</c:v>
                </c:pt>
                <c:pt idx="5">
                  <c:v>1.6347499999999999</c:v>
                </c:pt>
                <c:pt idx="6">
                  <c:v>1.274</c:v>
                </c:pt>
                <c:pt idx="7">
                  <c:v>12.9185</c:v>
                </c:pt>
                <c:pt idx="8" formatCode="0.00">
                  <c:v>14.192499999999999</c:v>
                </c:pt>
                <c:pt idx="9">
                  <c:v>2.5019999999999998</c:v>
                </c:pt>
                <c:pt idx="10">
                  <c:v>19.98</c:v>
                </c:pt>
                <c:pt idx="11">
                  <c:v>22.481999999999999</c:v>
                </c:pt>
              </c:numCache>
            </c:numRef>
          </c:val>
          <c:extLst>
            <c:ext xmlns:c16="http://schemas.microsoft.com/office/drawing/2014/chart" uri="{C3380CC4-5D6E-409C-BE32-E72D297353CC}">
              <c16:uniqueId val="{00000002-77FC-49F1-9DA9-B2B65F4FDEA4}"/>
            </c:ext>
          </c:extLst>
        </c:ser>
        <c:ser>
          <c:idx val="3"/>
          <c:order val="3"/>
          <c:tx>
            <c:strRef>
              <c:f>'Medias Estações'!$Y$25</c:f>
              <c:strCache>
                <c:ptCount val="1"/>
                <c:pt idx="0">
                  <c:v>SECO</c:v>
                </c:pt>
              </c:strCache>
            </c:strRef>
          </c:tx>
          <c:spPr>
            <a:solidFill>
              <a:schemeClr val="accent2">
                <a:lumMod val="75000"/>
              </a:schemeClr>
            </a:solidFill>
          </c:spPr>
          <c:invertIfNegative val="0"/>
          <c:cat>
            <c:strLit>
              <c:ptCount val="12"/>
              <c:pt idx="0">
                <c:v>MIC CID 30cm</c:v>
              </c:pt>
              <c:pt idx="1">
                <c:v> MIC COD 30cm</c:v>
              </c:pt>
              <c:pt idx="2">
                <c:v> MIC CTD 30cm</c:v>
              </c:pt>
              <c:pt idx="3">
                <c:v> MIC CID 60cm</c:v>
              </c:pt>
              <c:pt idx="4">
                <c:v> MIC COD 60cm</c:v>
              </c:pt>
              <c:pt idx="5">
                <c:v> MIC CTD 60cm</c:v>
              </c:pt>
              <c:pt idx="6">
                <c:v> MISJ CID 30cm</c:v>
              </c:pt>
              <c:pt idx="7">
                <c:v> MISJ COD 30cm</c:v>
              </c:pt>
              <c:pt idx="8">
                <c:v> MISJ CTD 30cm</c:v>
              </c:pt>
              <c:pt idx="9">
                <c:v> MISJ CID 60cm</c:v>
              </c:pt>
              <c:pt idx="10">
                <c:v> MISJ COD 60cm</c:v>
              </c:pt>
              <c:pt idx="11">
                <c:v> MISJ CTD 60cm</c:v>
              </c:pt>
            </c:strLit>
          </c:cat>
          <c:val>
            <c:numRef>
              <c:f>('Medias Estações'!$AA$33,'Medias Estações'!$G$33,'Medias Estações'!$AY$18,'Medias Estações'!$AJ$33,'Medias Estações'!$Q$33,'Medias Estações'!$AZ$18,'Medias Estações'!$AA$73,'Medias Estações'!$G$73,'Medias Estações'!$AY$38,'Medias Estações'!$AJ$73,'Medias Estações'!$Q$73,'Medias Estações'!$AZ$38)</c:f>
              <c:numCache>
                <c:formatCode>_(* #,##0.00_);_(* \(#,##0.00\);_(* "-"??_);_(@_)</c:formatCode>
                <c:ptCount val="12"/>
                <c:pt idx="0">
                  <c:v>0.38200000000000001</c:v>
                </c:pt>
                <c:pt idx="1">
                  <c:v>15.075166666666668</c:v>
                </c:pt>
                <c:pt idx="2" formatCode="0.00">
                  <c:v>15.457166666666668</c:v>
                </c:pt>
                <c:pt idx="3">
                  <c:v>0.23183333333333334</c:v>
                </c:pt>
                <c:pt idx="4">
                  <c:v>1.9346666666666663</c:v>
                </c:pt>
                <c:pt idx="5">
                  <c:v>2.1664999999999996</c:v>
                </c:pt>
                <c:pt idx="6">
                  <c:v>0</c:v>
                </c:pt>
                <c:pt idx="7">
                  <c:v>0</c:v>
                </c:pt>
                <c:pt idx="8" formatCode="General">
                  <c:v>0</c:v>
                </c:pt>
                <c:pt idx="9">
                  <c:v>0</c:v>
                </c:pt>
                <c:pt idx="10">
                  <c:v>0</c:v>
                </c:pt>
                <c:pt idx="11" formatCode="General">
                  <c:v>0</c:v>
                </c:pt>
              </c:numCache>
            </c:numRef>
          </c:val>
          <c:extLst>
            <c:ext xmlns:c16="http://schemas.microsoft.com/office/drawing/2014/chart" uri="{C3380CC4-5D6E-409C-BE32-E72D297353CC}">
              <c16:uniqueId val="{00000003-77FC-49F1-9DA9-B2B65F4FDEA4}"/>
            </c:ext>
          </c:extLst>
        </c:ser>
        <c:dLbls>
          <c:showLegendKey val="0"/>
          <c:showVal val="0"/>
          <c:showCatName val="0"/>
          <c:showSerName val="0"/>
          <c:showPercent val="0"/>
          <c:showBubbleSize val="0"/>
        </c:dLbls>
        <c:gapWidth val="150"/>
        <c:shape val="box"/>
        <c:axId val="101167104"/>
        <c:axId val="101168640"/>
        <c:axId val="0"/>
      </c:bar3DChart>
      <c:catAx>
        <c:axId val="101167104"/>
        <c:scaling>
          <c:orientation val="minMax"/>
        </c:scaling>
        <c:delete val="0"/>
        <c:axPos val="b"/>
        <c:numFmt formatCode="General" sourceLinked="0"/>
        <c:majorTickMark val="out"/>
        <c:minorTickMark val="none"/>
        <c:tickLblPos val="nextTo"/>
        <c:crossAx val="101168640"/>
        <c:crosses val="autoZero"/>
        <c:auto val="1"/>
        <c:lblAlgn val="ctr"/>
        <c:lblOffset val="100"/>
        <c:noMultiLvlLbl val="0"/>
      </c:catAx>
      <c:valAx>
        <c:axId val="101168640"/>
        <c:scaling>
          <c:orientation val="minMax"/>
        </c:scaling>
        <c:delete val="0"/>
        <c:axPos val="l"/>
        <c:title>
          <c:tx>
            <c:rich>
              <a:bodyPr/>
              <a:lstStyle/>
              <a:p>
                <a:pPr>
                  <a:defRPr/>
                </a:pPr>
                <a:r>
                  <a:rPr lang="pt-BR"/>
                  <a:t>[</a:t>
                </a:r>
                <a:r>
                  <a:rPr lang="pt-BR" baseline="0"/>
                  <a:t> mg.L-1]</a:t>
                </a:r>
                <a:endParaRPr lang="pt-BR"/>
              </a:p>
            </c:rich>
          </c:tx>
          <c:overlay val="0"/>
        </c:title>
        <c:numFmt formatCode="#,##0" sourceLinked="0"/>
        <c:majorTickMark val="out"/>
        <c:minorTickMark val="none"/>
        <c:tickLblPos val="nextTo"/>
        <c:crossAx val="101167104"/>
        <c:crosses val="autoZero"/>
        <c:crossBetween val="between"/>
        <c:majorUnit val="2"/>
        <c:minorUnit val="1"/>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400822368421052E-2"/>
          <c:y val="6.1389541691903894E-2"/>
          <c:w val="0.90990515350877188"/>
          <c:h val="0.6705460125176661"/>
        </c:manualLayout>
      </c:layout>
      <c:bar3DChart>
        <c:barDir val="col"/>
        <c:grouping val="clustered"/>
        <c:varyColors val="0"/>
        <c:ser>
          <c:idx val="0"/>
          <c:order val="0"/>
          <c:tx>
            <c:strRef>
              <c:f>'Medias Estações'!$Y$43</c:f>
              <c:strCache>
                <c:ptCount val="1"/>
                <c:pt idx="0">
                  <c:v>TR2</c:v>
                </c:pt>
              </c:strCache>
            </c:strRef>
          </c:tx>
          <c:spPr>
            <a:solidFill>
              <a:schemeClr val="accent4">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Estações'!$AA$43,'Medias Estações'!$G$43,'Medias Estações'!$AY$23,'Medias Estações'!$AJ$43,'Medias Estações'!$Q$43,'Medias Estações'!$AZ$23,'Medias Estações'!$AA$83,'Medias Estações'!$G$83,'Medias Estações'!$AY$43,'Medias Estações'!$AJ$83,'Medias Estações'!$Q$83,'Medias Estações'!$AZ$43)</c:f>
              <c:numCache>
                <c:formatCode>_(* #,##0.00_);_(* \(#,##0.00\);_(* "-"??_);_(@_)</c:formatCode>
                <c:ptCount val="12"/>
                <c:pt idx="0">
                  <c:v>1.8089999999999999</c:v>
                </c:pt>
                <c:pt idx="1">
                  <c:v>0.159</c:v>
                </c:pt>
                <c:pt idx="2" formatCode="0.00">
                  <c:v>1.968</c:v>
                </c:pt>
                <c:pt idx="3">
                  <c:v>0</c:v>
                </c:pt>
                <c:pt idx="4">
                  <c:v>0</c:v>
                </c:pt>
                <c:pt idx="5" formatCode="General">
                  <c:v>0</c:v>
                </c:pt>
                <c:pt idx="6">
                  <c:v>2.3980000000000001</c:v>
                </c:pt>
                <c:pt idx="7">
                  <c:v>1.0369999999999999</c:v>
                </c:pt>
                <c:pt idx="8" formatCode="0.00">
                  <c:v>3.4350000000000001</c:v>
                </c:pt>
                <c:pt idx="9">
                  <c:v>0</c:v>
                </c:pt>
                <c:pt idx="10">
                  <c:v>12.39</c:v>
                </c:pt>
                <c:pt idx="11" formatCode="General">
                  <c:v>0</c:v>
                </c:pt>
              </c:numCache>
            </c:numRef>
          </c:val>
          <c:extLst>
            <c:ext xmlns:c16="http://schemas.microsoft.com/office/drawing/2014/chart" uri="{C3380CC4-5D6E-409C-BE32-E72D297353CC}">
              <c16:uniqueId val="{00000000-2C3F-4969-8CDD-0F49AC7592DF}"/>
            </c:ext>
          </c:extLst>
        </c:ser>
        <c:ser>
          <c:idx val="1"/>
          <c:order val="1"/>
          <c:tx>
            <c:strRef>
              <c:f>'Medias Estações'!$Y$21</c:f>
              <c:strCache>
                <c:ptCount val="1"/>
                <c:pt idx="0">
                  <c:v>CHUVOSO</c:v>
                </c:pt>
              </c:strCache>
            </c:strRef>
          </c:tx>
          <c:spPr>
            <a:solidFill>
              <a:schemeClr val="accent5">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Estações'!$AA$45,'Medias Estações'!$G$45,'Medias Estações'!$AY$24,'Medias Estações'!$AJ$45,'Medias Estações'!$Q$45,'Medias Estações'!$AZ$24,'Medias Estações'!$AA$85,'Medias Estações'!$G$85,'Medias Estações'!$AY$44,'Medias Estações'!$AA$45,'Medias Estações'!$Q$45,'Medias Estações'!$AZ$44)</c:f>
              <c:numCache>
                <c:formatCode>_(* #,##0.00_);_(* \(#,##0.00\);_(* "-"??_);_(@_)</c:formatCode>
                <c:ptCount val="12"/>
                <c:pt idx="0">
                  <c:v>0.87775000000000003</c:v>
                </c:pt>
                <c:pt idx="1">
                  <c:v>3.3201000000000001</c:v>
                </c:pt>
                <c:pt idx="2" formatCode="0.00">
                  <c:v>4.1978499999999999</c:v>
                </c:pt>
                <c:pt idx="3">
                  <c:v>0.65941666666666665</c:v>
                </c:pt>
                <c:pt idx="4">
                  <c:v>3.8398500000000002</c:v>
                </c:pt>
                <c:pt idx="5">
                  <c:v>4.4992666666666672</c:v>
                </c:pt>
                <c:pt idx="6">
                  <c:v>0.96896666666666675</c:v>
                </c:pt>
                <c:pt idx="7">
                  <c:v>11.694600000000001</c:v>
                </c:pt>
                <c:pt idx="8" formatCode="0.00">
                  <c:v>12.663566666666668</c:v>
                </c:pt>
                <c:pt idx="9">
                  <c:v>0.87775000000000003</c:v>
                </c:pt>
                <c:pt idx="10">
                  <c:v>3.8398500000000002</c:v>
                </c:pt>
                <c:pt idx="11">
                  <c:v>7.1069000000000004</c:v>
                </c:pt>
              </c:numCache>
            </c:numRef>
          </c:val>
          <c:extLst>
            <c:ext xmlns:c16="http://schemas.microsoft.com/office/drawing/2014/chart" uri="{C3380CC4-5D6E-409C-BE32-E72D297353CC}">
              <c16:uniqueId val="{00000001-2C3F-4969-8CDD-0F49AC7592DF}"/>
            </c:ext>
          </c:extLst>
        </c:ser>
        <c:ser>
          <c:idx val="2"/>
          <c:order val="2"/>
          <c:tx>
            <c:strRef>
              <c:f>'Medias Estações'!$Y$23</c:f>
              <c:strCache>
                <c:ptCount val="1"/>
                <c:pt idx="0">
                  <c:v>TR1</c:v>
                </c:pt>
              </c:strCache>
            </c:strRef>
          </c:tx>
          <c:spPr>
            <a:solidFill>
              <a:schemeClr val="accent6">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Estações'!$AA$47,'Medias Estações'!$G$47,'Medias Estações'!$AY$25,'Medias Estações'!$AJ$47,'Medias Estações'!$Q$47,'Medias Estações'!$AZ$25,'Medias Estações'!$AA$87,'Medias Estações'!$G$87,'Medias Estações'!$AY$45,'Medias Estações'!$AJ$87,'Medias Estações'!$Q$87,'Medias Estações'!$AZ$45)</c:f>
              <c:numCache>
                <c:formatCode>_(* #,##0.00_);_(* \(#,##0.00\);_(* "-"??_);_(@_)</c:formatCode>
                <c:ptCount val="12"/>
                <c:pt idx="0">
                  <c:v>1.0142500000000001</c:v>
                </c:pt>
                <c:pt idx="1">
                  <c:v>2.3532500000000001</c:v>
                </c:pt>
                <c:pt idx="2" formatCode="0.00">
                  <c:v>3.3675000000000002</c:v>
                </c:pt>
                <c:pt idx="3">
                  <c:v>1.4590000000000001</c:v>
                </c:pt>
                <c:pt idx="4">
                  <c:v>3.2629999999999999</c:v>
                </c:pt>
                <c:pt idx="5">
                  <c:v>4.7219999999999995</c:v>
                </c:pt>
                <c:pt idx="6">
                  <c:v>1.1859999999999999</c:v>
                </c:pt>
                <c:pt idx="7">
                  <c:v>4.8324999999999996</c:v>
                </c:pt>
                <c:pt idx="8" formatCode="0.00">
                  <c:v>6.0184999999999995</c:v>
                </c:pt>
                <c:pt idx="9">
                  <c:v>0.43149999999999999</c:v>
                </c:pt>
                <c:pt idx="10">
                  <c:v>7.32925</c:v>
                </c:pt>
                <c:pt idx="11">
                  <c:v>7.7607499999999998</c:v>
                </c:pt>
              </c:numCache>
            </c:numRef>
          </c:val>
          <c:extLst>
            <c:ext xmlns:c16="http://schemas.microsoft.com/office/drawing/2014/chart" uri="{C3380CC4-5D6E-409C-BE32-E72D297353CC}">
              <c16:uniqueId val="{00000002-2C3F-4969-8CDD-0F49AC7592DF}"/>
            </c:ext>
          </c:extLst>
        </c:ser>
        <c:ser>
          <c:idx val="3"/>
          <c:order val="3"/>
          <c:tx>
            <c:strRef>
              <c:f>'Medias Estações'!$Y$25</c:f>
              <c:strCache>
                <c:ptCount val="1"/>
                <c:pt idx="0">
                  <c:v>SECO</c:v>
                </c:pt>
              </c:strCache>
            </c:strRef>
          </c:tx>
          <c:spPr>
            <a:solidFill>
              <a:schemeClr val="accent2">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Estações'!$AA$49,'Medias Estações'!$G$49,'Medias Estações'!$AY$26,'Medias Estações'!$AJ$49,'Medias Estações'!$G$49,'Medias Estações'!$AZ$26,'Medias Estações'!$AA$89,'Medias Estações'!$G$89,'Medias Estações'!$AY$46,'Medias Estações'!$AJ$89,'Medias Estações'!$Q$89,'Medias Estações'!$AZ$46)</c:f>
              <c:numCache>
                <c:formatCode>_(* #,##0.00_);_(* \(#,##0.00\);_(* "-"??_);_(@_)</c:formatCode>
                <c:ptCount val="12"/>
                <c:pt idx="0">
                  <c:v>0.52400000000000002</c:v>
                </c:pt>
                <c:pt idx="1">
                  <c:v>4.3220000000000001</c:v>
                </c:pt>
                <c:pt idx="2" formatCode="0.00">
                  <c:v>4.8460000000000001</c:v>
                </c:pt>
                <c:pt idx="3">
                  <c:v>0.47699999999999998</c:v>
                </c:pt>
                <c:pt idx="4">
                  <c:v>4.3220000000000001</c:v>
                </c:pt>
                <c:pt idx="5">
                  <c:v>3.7189999999999999</c:v>
                </c:pt>
                <c:pt idx="6">
                  <c:v>0</c:v>
                </c:pt>
                <c:pt idx="7">
                  <c:v>0</c:v>
                </c:pt>
                <c:pt idx="8" formatCode="General">
                  <c:v>0</c:v>
                </c:pt>
                <c:pt idx="9">
                  <c:v>0</c:v>
                </c:pt>
                <c:pt idx="10">
                  <c:v>4.9024999999999999</c:v>
                </c:pt>
                <c:pt idx="11" formatCode="General">
                  <c:v>0</c:v>
                </c:pt>
              </c:numCache>
            </c:numRef>
          </c:val>
          <c:extLst>
            <c:ext xmlns:c16="http://schemas.microsoft.com/office/drawing/2014/chart" uri="{C3380CC4-5D6E-409C-BE32-E72D297353CC}">
              <c16:uniqueId val="{00000003-2C3F-4969-8CDD-0F49AC7592DF}"/>
            </c:ext>
          </c:extLst>
        </c:ser>
        <c:dLbls>
          <c:showLegendKey val="0"/>
          <c:showVal val="0"/>
          <c:showCatName val="0"/>
          <c:showSerName val="0"/>
          <c:showPercent val="0"/>
          <c:showBubbleSize val="0"/>
        </c:dLbls>
        <c:gapWidth val="150"/>
        <c:shape val="box"/>
        <c:axId val="106169856"/>
        <c:axId val="106171392"/>
        <c:axId val="0"/>
      </c:bar3DChart>
      <c:catAx>
        <c:axId val="106169856"/>
        <c:scaling>
          <c:orientation val="minMax"/>
        </c:scaling>
        <c:delete val="0"/>
        <c:axPos val="b"/>
        <c:numFmt formatCode="General" sourceLinked="0"/>
        <c:majorTickMark val="out"/>
        <c:minorTickMark val="none"/>
        <c:tickLblPos val="nextTo"/>
        <c:crossAx val="106171392"/>
        <c:crosses val="autoZero"/>
        <c:auto val="1"/>
        <c:lblAlgn val="ctr"/>
        <c:lblOffset val="100"/>
        <c:noMultiLvlLbl val="0"/>
      </c:catAx>
      <c:valAx>
        <c:axId val="106171392"/>
        <c:scaling>
          <c:orientation val="minMax"/>
        </c:scaling>
        <c:delete val="0"/>
        <c:axPos val="l"/>
        <c:title>
          <c:tx>
            <c:rich>
              <a:bodyPr/>
              <a:lstStyle/>
              <a:p>
                <a:pPr>
                  <a:defRPr/>
                </a:pPr>
                <a:r>
                  <a:rPr lang="pt-BR"/>
                  <a:t>[</a:t>
                </a:r>
                <a:r>
                  <a:rPr lang="pt-BR" baseline="0"/>
                  <a:t> mg.L-1]</a:t>
                </a:r>
                <a:endParaRPr lang="pt-BR"/>
              </a:p>
            </c:rich>
          </c:tx>
          <c:layout>
            <c:manualLayout>
              <c:xMode val="edge"/>
              <c:yMode val="edge"/>
              <c:x val="8.3899853801169596E-3"/>
              <c:y val="0.38808919753086418"/>
            </c:manualLayout>
          </c:layout>
          <c:overlay val="0"/>
        </c:title>
        <c:numFmt formatCode="#,##0" sourceLinked="0"/>
        <c:majorTickMark val="out"/>
        <c:minorTickMark val="none"/>
        <c:tickLblPos val="nextTo"/>
        <c:crossAx val="106169856"/>
        <c:crosses val="autoZero"/>
        <c:crossBetween val="between"/>
        <c:majorUnit val="1"/>
        <c:minorUnit val="0.5"/>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5049806591434948E-2"/>
          <c:y val="5.3184413486775689E-2"/>
          <c:w val="0.90417504918484159"/>
          <c:h val="0.67464857662023026"/>
        </c:manualLayout>
      </c:layout>
      <c:bar3DChart>
        <c:barDir val="col"/>
        <c:grouping val="clustered"/>
        <c:varyColors val="0"/>
        <c:ser>
          <c:idx val="0"/>
          <c:order val="0"/>
          <c:tx>
            <c:strRef>
              <c:f>'Medias Estações'!$Y$19</c:f>
              <c:strCache>
                <c:ptCount val="1"/>
                <c:pt idx="0">
                  <c:v>TR2</c:v>
                </c:pt>
              </c:strCache>
            </c:strRef>
          </c:tx>
          <c:spPr>
            <a:solidFill>
              <a:schemeClr val="accent4">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Estações'!$AA$35,'Medias Estações'!$G$35,'Medias Estações'!$AY$19,'Medias Estações'!$AJ$35,'Medias Estações'!$Q$35,'Medias Estações'!$AZ$19,'Medias Estações'!$AA$75,'Medias Estações'!$G$75,'Medias Estações'!$AY$39,'Medias Estações'!$AJ$75,'Medias Estações'!$Q$75,'Medias Estações'!$AZ$39)</c:f>
              <c:numCache>
                <c:formatCode>_(* #,##0.00_);_(* \(#,##0.00\);_(* "-"??_);_(@_)</c:formatCode>
                <c:ptCount val="12"/>
                <c:pt idx="0">
                  <c:v>0</c:v>
                </c:pt>
                <c:pt idx="1">
                  <c:v>0</c:v>
                </c:pt>
                <c:pt idx="2" formatCode="0.00">
                  <c:v>0</c:v>
                </c:pt>
                <c:pt idx="3">
                  <c:v>0</c:v>
                </c:pt>
                <c:pt idx="4">
                  <c:v>8.8999999999999996E-2</c:v>
                </c:pt>
                <c:pt idx="5" formatCode="General">
                  <c:v>0</c:v>
                </c:pt>
                <c:pt idx="6">
                  <c:v>0</c:v>
                </c:pt>
                <c:pt idx="7">
                  <c:v>14.14</c:v>
                </c:pt>
                <c:pt idx="8" formatCode="General">
                  <c:v>0</c:v>
                </c:pt>
                <c:pt idx="9">
                  <c:v>0</c:v>
                </c:pt>
                <c:pt idx="10">
                  <c:v>0</c:v>
                </c:pt>
                <c:pt idx="11" formatCode="General">
                  <c:v>0</c:v>
                </c:pt>
              </c:numCache>
            </c:numRef>
          </c:val>
          <c:extLst>
            <c:ext xmlns:c16="http://schemas.microsoft.com/office/drawing/2014/chart" uri="{C3380CC4-5D6E-409C-BE32-E72D297353CC}">
              <c16:uniqueId val="{00000000-1DC3-40E2-9E70-C086E01E849C}"/>
            </c:ext>
          </c:extLst>
        </c:ser>
        <c:ser>
          <c:idx val="1"/>
          <c:order val="1"/>
          <c:tx>
            <c:strRef>
              <c:f>'Medias Estações'!$Y$21</c:f>
              <c:strCache>
                <c:ptCount val="1"/>
                <c:pt idx="0">
                  <c:v>CHUVOSO</c:v>
                </c:pt>
              </c:strCache>
            </c:strRef>
          </c:tx>
          <c:spPr>
            <a:solidFill>
              <a:schemeClr val="accent5">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Estações'!$AA$37,'Medias Estações'!$G$37,'Medias Estações'!$AY$20,'Medias Estações'!$AJ$37,'Medias Estações'!$Q$37,'Medias Estações'!$AZ$20,'Medias Estações'!$AA$77,'Medias Estações'!$G$77,'Medias Estações'!$AY$40,'Medias Estações'!$AJ$77,'Medias Estações'!$Q$77,'Medias Estações'!$AZ$40)</c:f>
              <c:numCache>
                <c:formatCode>_(* #,##0.00_);_(* \(#,##0.00\);_(* "-"??_);_(@_)</c:formatCode>
                <c:ptCount val="12"/>
                <c:pt idx="0">
                  <c:v>0.23337500000000003</c:v>
                </c:pt>
                <c:pt idx="1">
                  <c:v>8.8448999999999991</c:v>
                </c:pt>
                <c:pt idx="2" formatCode="0.00">
                  <c:v>9.0782749999999997</c:v>
                </c:pt>
                <c:pt idx="3">
                  <c:v>0.38166666666666671</c:v>
                </c:pt>
                <c:pt idx="4">
                  <c:v>6.6697500000000005</c:v>
                </c:pt>
                <c:pt idx="5">
                  <c:v>7.0514166666666673</c:v>
                </c:pt>
                <c:pt idx="6">
                  <c:v>0.47270833333333334</c:v>
                </c:pt>
                <c:pt idx="7">
                  <c:v>16.556416666666667</c:v>
                </c:pt>
                <c:pt idx="8" formatCode="0.00">
                  <c:v>17.029125000000001</c:v>
                </c:pt>
                <c:pt idx="9">
                  <c:v>2.6744166666666667</c:v>
                </c:pt>
                <c:pt idx="10">
                  <c:v>12.131166666666665</c:v>
                </c:pt>
                <c:pt idx="11">
                  <c:v>14.805583333333331</c:v>
                </c:pt>
              </c:numCache>
            </c:numRef>
          </c:val>
          <c:extLst>
            <c:ext xmlns:c16="http://schemas.microsoft.com/office/drawing/2014/chart" uri="{C3380CC4-5D6E-409C-BE32-E72D297353CC}">
              <c16:uniqueId val="{00000001-1DC3-40E2-9E70-C086E01E849C}"/>
            </c:ext>
          </c:extLst>
        </c:ser>
        <c:ser>
          <c:idx val="2"/>
          <c:order val="2"/>
          <c:tx>
            <c:strRef>
              <c:f>'Medias Estações'!$Y$23</c:f>
              <c:strCache>
                <c:ptCount val="1"/>
                <c:pt idx="0">
                  <c:v>TR1</c:v>
                </c:pt>
              </c:strCache>
            </c:strRef>
          </c:tx>
          <c:spPr>
            <a:solidFill>
              <a:schemeClr val="accent6">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Estações'!$AA$39,'Medias Estações'!$G$39,'Medias Estações'!$AY$21,'Medias Estações'!$AJ$39,'Medias Estações'!$Q$39,'Medias Estações'!$AZ$21,'Medias Estações'!$AA$79,'Medias Estações'!$G$79,'Medias Estações'!$AY$41,'Medias Estações'!$AJ$79,'Medias Estações'!$Q$79,'Medias Estações'!$AZ$41)</c:f>
              <c:numCache>
                <c:formatCode>_(* #,##0.00_);_(* \(#,##0.00\);_(* "-"??_);_(@_)</c:formatCode>
                <c:ptCount val="12"/>
                <c:pt idx="0">
                  <c:v>0.80249999999999999</c:v>
                </c:pt>
                <c:pt idx="1">
                  <c:v>7.2597500000000004</c:v>
                </c:pt>
                <c:pt idx="2" formatCode="0.00">
                  <c:v>8.0622500000000006</c:v>
                </c:pt>
                <c:pt idx="3">
                  <c:v>0.34</c:v>
                </c:pt>
                <c:pt idx="4">
                  <c:v>7.1929999999999996</c:v>
                </c:pt>
                <c:pt idx="5">
                  <c:v>7.5329999999999995</c:v>
                </c:pt>
                <c:pt idx="6">
                  <c:v>0.18099999999999999</c:v>
                </c:pt>
                <c:pt idx="7">
                  <c:v>27.7</c:v>
                </c:pt>
                <c:pt idx="8" formatCode="0.00">
                  <c:v>27.881</c:v>
                </c:pt>
                <c:pt idx="9">
                  <c:v>0.35199999999999998</c:v>
                </c:pt>
                <c:pt idx="10">
                  <c:v>12.847250000000001</c:v>
                </c:pt>
                <c:pt idx="11">
                  <c:v>13.199250000000001</c:v>
                </c:pt>
              </c:numCache>
            </c:numRef>
          </c:val>
          <c:extLst>
            <c:ext xmlns:c16="http://schemas.microsoft.com/office/drawing/2014/chart" uri="{C3380CC4-5D6E-409C-BE32-E72D297353CC}">
              <c16:uniqueId val="{00000002-1DC3-40E2-9E70-C086E01E849C}"/>
            </c:ext>
          </c:extLst>
        </c:ser>
        <c:ser>
          <c:idx val="3"/>
          <c:order val="3"/>
          <c:tx>
            <c:strRef>
              <c:f>'Medias Estações'!$Y$25</c:f>
              <c:strCache>
                <c:ptCount val="1"/>
                <c:pt idx="0">
                  <c:v>SECO</c:v>
                </c:pt>
              </c:strCache>
            </c:strRef>
          </c:tx>
          <c:spPr>
            <a:solidFill>
              <a:schemeClr val="accent2">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Estações'!$AA$41,'Medias Estações'!$G$41,'Medias Estações'!$AY$22,'Medias Estações'!$AJ$41,'Medias Estações'!$Q$41,'Medias Estações'!$AZ$22,'Medias Estações'!$AA$81,'Medias Estações'!$G$81,'Medias Estações'!$AY$42,'Medias Estações'!$AA$81,'Medias Estações'!$Q$81,'Medias Estações'!$AZ$42)</c:f>
              <c:numCache>
                <c:formatCode>_(* #,##0.00_);_(* \(#,##0.00\);_(* "-"??_);_(@_)</c:formatCode>
                <c:ptCount val="12"/>
                <c:pt idx="0">
                  <c:v>0</c:v>
                </c:pt>
                <c:pt idx="1">
                  <c:v>17.329999999999998</c:v>
                </c:pt>
                <c:pt idx="2" formatCode="0.00">
                  <c:v>0</c:v>
                </c:pt>
                <c:pt idx="3">
                  <c:v>1.109</c:v>
                </c:pt>
                <c:pt idx="4">
                  <c:v>0</c:v>
                </c:pt>
                <c:pt idx="5" formatCode="General">
                  <c:v>0</c:v>
                </c:pt>
                <c:pt idx="6">
                  <c:v>0</c:v>
                </c:pt>
                <c:pt idx="7">
                  <c:v>0</c:v>
                </c:pt>
                <c:pt idx="8" formatCode="General">
                  <c:v>0</c:v>
                </c:pt>
                <c:pt idx="9">
                  <c:v>0</c:v>
                </c:pt>
                <c:pt idx="10">
                  <c:v>15.55</c:v>
                </c:pt>
                <c:pt idx="11" formatCode="General">
                  <c:v>0</c:v>
                </c:pt>
              </c:numCache>
            </c:numRef>
          </c:val>
          <c:extLst>
            <c:ext xmlns:c16="http://schemas.microsoft.com/office/drawing/2014/chart" uri="{C3380CC4-5D6E-409C-BE32-E72D297353CC}">
              <c16:uniqueId val="{00000003-1DC3-40E2-9E70-C086E01E849C}"/>
            </c:ext>
          </c:extLst>
        </c:ser>
        <c:dLbls>
          <c:showLegendKey val="0"/>
          <c:showVal val="0"/>
          <c:showCatName val="0"/>
          <c:showSerName val="0"/>
          <c:showPercent val="0"/>
          <c:showBubbleSize val="0"/>
        </c:dLbls>
        <c:gapWidth val="150"/>
        <c:shape val="box"/>
        <c:axId val="106451712"/>
        <c:axId val="106453248"/>
        <c:axId val="0"/>
      </c:bar3DChart>
      <c:catAx>
        <c:axId val="106451712"/>
        <c:scaling>
          <c:orientation val="minMax"/>
        </c:scaling>
        <c:delete val="0"/>
        <c:axPos val="b"/>
        <c:numFmt formatCode="General" sourceLinked="0"/>
        <c:majorTickMark val="out"/>
        <c:minorTickMark val="none"/>
        <c:tickLblPos val="nextTo"/>
        <c:crossAx val="106453248"/>
        <c:crosses val="autoZero"/>
        <c:auto val="1"/>
        <c:lblAlgn val="ctr"/>
        <c:lblOffset val="100"/>
        <c:noMultiLvlLbl val="0"/>
      </c:catAx>
      <c:valAx>
        <c:axId val="106453248"/>
        <c:scaling>
          <c:orientation val="minMax"/>
        </c:scaling>
        <c:delete val="0"/>
        <c:axPos val="l"/>
        <c:title>
          <c:tx>
            <c:rich>
              <a:bodyPr/>
              <a:lstStyle/>
              <a:p>
                <a:pPr>
                  <a:defRPr/>
                </a:pPr>
                <a:r>
                  <a:rPr lang="pt-BR"/>
                  <a:t>[</a:t>
                </a:r>
                <a:r>
                  <a:rPr lang="pt-BR" baseline="0"/>
                  <a:t> mg.L-1]</a:t>
                </a:r>
                <a:endParaRPr lang="pt-BR"/>
              </a:p>
            </c:rich>
          </c:tx>
          <c:layout>
            <c:manualLayout>
              <c:xMode val="edge"/>
              <c:yMode val="edge"/>
              <c:x val="8.3899853801169596E-3"/>
              <c:y val="0.38808919753086418"/>
            </c:manualLayout>
          </c:layout>
          <c:overlay val="0"/>
        </c:title>
        <c:numFmt formatCode="#,##0" sourceLinked="0"/>
        <c:majorTickMark val="out"/>
        <c:minorTickMark val="none"/>
        <c:tickLblPos val="nextTo"/>
        <c:crossAx val="106451712"/>
        <c:crosses val="autoZero"/>
        <c:crossBetween val="between"/>
        <c:majorUnit val="2"/>
        <c:minorUnit val="1"/>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9.4856176900584802E-2"/>
          <c:y val="3.998220822985115E-2"/>
          <c:w val="0.88840080776717689"/>
          <c:h val="0.68734039492438492"/>
        </c:manualLayout>
      </c:layout>
      <c:bar3DChart>
        <c:barDir val="col"/>
        <c:grouping val="clustered"/>
        <c:varyColors val="0"/>
        <c:ser>
          <c:idx val="0"/>
          <c:order val="0"/>
          <c:tx>
            <c:strRef>
              <c:f>'Medias Estações'!$Y$11</c:f>
              <c:strCache>
                <c:ptCount val="1"/>
                <c:pt idx="0">
                  <c:v>TR2</c:v>
                </c:pt>
              </c:strCache>
            </c:strRef>
          </c:tx>
          <c:spPr>
            <a:solidFill>
              <a:schemeClr val="accent4">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Estações'!$AA$11,'Medias Estações'!$G$11,'Medias Estações'!$AY$7,'Medias Estações'!$AJ$11,'Medias Estações'!$Q$11,'Medias Estações'!$AZ$7,'Medias Estações'!$AA$51,'Medias Estações'!$G$51,'Medias Estações'!$AY$27,'Medias Estações'!$AJ$51,'Medias Estações'!$Q$51,'Medias Estações'!$AZ$27)</c:f>
              <c:numCache>
                <c:formatCode>_(* #,##0.00_);_(* \(#,##0.00\);_(* "-"??_);_(@_)</c:formatCode>
                <c:ptCount val="12"/>
                <c:pt idx="0">
                  <c:v>0</c:v>
                </c:pt>
                <c:pt idx="1">
                  <c:v>5.7409999999999997</c:v>
                </c:pt>
                <c:pt idx="2" formatCode="0.00">
                  <c:v>0</c:v>
                </c:pt>
                <c:pt idx="3">
                  <c:v>0</c:v>
                </c:pt>
                <c:pt idx="4">
                  <c:v>14.52</c:v>
                </c:pt>
                <c:pt idx="5" formatCode="General">
                  <c:v>0</c:v>
                </c:pt>
                <c:pt idx="6">
                  <c:v>0.94699999999999995</c:v>
                </c:pt>
                <c:pt idx="7">
                  <c:v>3.8929999999999998</c:v>
                </c:pt>
                <c:pt idx="8" formatCode="0.00">
                  <c:v>4.84</c:v>
                </c:pt>
                <c:pt idx="9">
                  <c:v>0</c:v>
                </c:pt>
                <c:pt idx="10">
                  <c:v>0</c:v>
                </c:pt>
                <c:pt idx="11" formatCode="General">
                  <c:v>0</c:v>
                </c:pt>
              </c:numCache>
            </c:numRef>
          </c:val>
          <c:extLst>
            <c:ext xmlns:c16="http://schemas.microsoft.com/office/drawing/2014/chart" uri="{C3380CC4-5D6E-409C-BE32-E72D297353CC}">
              <c16:uniqueId val="{00000000-31BE-4450-A73A-65CEF0429574}"/>
            </c:ext>
          </c:extLst>
        </c:ser>
        <c:ser>
          <c:idx val="1"/>
          <c:order val="1"/>
          <c:tx>
            <c:strRef>
              <c:f>'Medias Estações'!$Y$13</c:f>
              <c:strCache>
                <c:ptCount val="1"/>
                <c:pt idx="0">
                  <c:v>CHUVOSO</c:v>
                </c:pt>
              </c:strCache>
            </c:strRef>
          </c:tx>
          <c:spPr>
            <a:solidFill>
              <a:schemeClr val="accent5">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Estações'!$AA$13,'Medias Estações'!$G$13,'Medias Estações'!$AY$8,'Medias Estações'!$AJ$13,'Medias Estações'!$Q$13,'Medias Estações'!$AZ$8,'Medias Estações'!$AA$53,'Medias Estações'!$G$53,'Medias Estações'!$AY$28,'Medias Estações'!$AJ$53,'Medias Estações'!$Q$53,'Medias Estações'!$AZ$28)</c:f>
              <c:numCache>
                <c:formatCode>_(* #,##0.00_);_(* \(#,##0.00\);_(* "-"??_);_(@_)</c:formatCode>
                <c:ptCount val="12"/>
                <c:pt idx="0">
                  <c:v>0.77387499999999998</c:v>
                </c:pt>
                <c:pt idx="1">
                  <c:v>12.706</c:v>
                </c:pt>
                <c:pt idx="2" formatCode="0.00">
                  <c:v>13.479875</c:v>
                </c:pt>
                <c:pt idx="3">
                  <c:v>0.45150000000000001</c:v>
                </c:pt>
                <c:pt idx="4">
                  <c:v>11.169700000000001</c:v>
                </c:pt>
                <c:pt idx="5">
                  <c:v>11.6212</c:v>
                </c:pt>
                <c:pt idx="6">
                  <c:v>0.58933333333333338</c:v>
                </c:pt>
                <c:pt idx="7">
                  <c:v>57.855208333333337</c:v>
                </c:pt>
                <c:pt idx="8" formatCode="0.00">
                  <c:v>58.444541666666673</c:v>
                </c:pt>
                <c:pt idx="9">
                  <c:v>1.8066249999999999</c:v>
                </c:pt>
                <c:pt idx="10">
                  <c:v>18.706500000000002</c:v>
                </c:pt>
                <c:pt idx="11">
                  <c:v>20.513125000000002</c:v>
                </c:pt>
              </c:numCache>
            </c:numRef>
          </c:val>
          <c:extLst>
            <c:ext xmlns:c16="http://schemas.microsoft.com/office/drawing/2014/chart" uri="{C3380CC4-5D6E-409C-BE32-E72D297353CC}">
              <c16:uniqueId val="{00000001-31BE-4450-A73A-65CEF0429574}"/>
            </c:ext>
          </c:extLst>
        </c:ser>
        <c:ser>
          <c:idx val="2"/>
          <c:order val="2"/>
          <c:tx>
            <c:strRef>
              <c:f>'Medias Estações'!$Y$15</c:f>
              <c:strCache>
                <c:ptCount val="1"/>
                <c:pt idx="0">
                  <c:v>TR1</c:v>
                </c:pt>
              </c:strCache>
            </c:strRef>
          </c:tx>
          <c:spPr>
            <a:solidFill>
              <a:schemeClr val="accent6">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Estações'!$AA$15,'Medias Estações'!$G$15,'Medias Estações'!$AY$9,'Medias Estações'!$AJ$15,'Medias Estações'!$Q$15,'Medias Estações'!$AZ$9,'Medias Estações'!$AA$55,'Medias Estações'!$G$55,'Medias Estações'!$AY$29,'Medias Estações'!$AJ$55,'Medias Estações'!$Q$55,'Medias Estações'!$AZ$29)</c:f>
              <c:numCache>
                <c:formatCode>_(* #,##0.00_);_(* \(#,##0.00\);_(* "-"??_);_(@_)</c:formatCode>
                <c:ptCount val="12"/>
                <c:pt idx="0">
                  <c:v>0</c:v>
                </c:pt>
                <c:pt idx="1">
                  <c:v>24.015000000000001</c:v>
                </c:pt>
                <c:pt idx="2" formatCode="0.00">
                  <c:v>0</c:v>
                </c:pt>
                <c:pt idx="3">
                  <c:v>0.1575</c:v>
                </c:pt>
                <c:pt idx="4">
                  <c:v>17.46</c:v>
                </c:pt>
                <c:pt idx="5">
                  <c:v>17.6175</c:v>
                </c:pt>
                <c:pt idx="6">
                  <c:v>0</c:v>
                </c:pt>
                <c:pt idx="7">
                  <c:v>16.230249999999998</c:v>
                </c:pt>
                <c:pt idx="8" formatCode="General">
                  <c:v>0</c:v>
                </c:pt>
                <c:pt idx="9">
                  <c:v>0</c:v>
                </c:pt>
                <c:pt idx="10">
                  <c:v>17.712499999999999</c:v>
                </c:pt>
                <c:pt idx="11" formatCode="General">
                  <c:v>0</c:v>
                </c:pt>
              </c:numCache>
            </c:numRef>
          </c:val>
          <c:extLst>
            <c:ext xmlns:c16="http://schemas.microsoft.com/office/drawing/2014/chart" uri="{C3380CC4-5D6E-409C-BE32-E72D297353CC}">
              <c16:uniqueId val="{00000002-31BE-4450-A73A-65CEF0429574}"/>
            </c:ext>
          </c:extLst>
        </c:ser>
        <c:ser>
          <c:idx val="3"/>
          <c:order val="3"/>
          <c:tx>
            <c:strRef>
              <c:f>'Medias Estações'!$Y$17</c:f>
              <c:strCache>
                <c:ptCount val="1"/>
                <c:pt idx="0">
                  <c:v>SECO</c:v>
                </c:pt>
              </c:strCache>
            </c:strRef>
          </c:tx>
          <c:spPr>
            <a:solidFill>
              <a:schemeClr val="accent2">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Estações'!$AA$17,'Medias Estações'!$G$17,'Medias Estações'!$AY$10,'Medias Estações'!$AJ$17,'Medias Estações'!$Q$17,'Medias Estações'!$AZ$10,'Medias Estações'!$AA$57,'Medias Estações'!$G$57,'Medias Estações'!$AY$30,'Medias Estações'!$AJ$57,'Medias Estações'!$Q$57,'Medias Estações'!$AZ$30)</c:f>
              <c:numCache>
                <c:formatCode>_(* #,##0.00_);_(* \(#,##0.00\);_(* "-"??_);_(@_)</c:formatCode>
                <c:ptCount val="12"/>
                <c:pt idx="0">
                  <c:v>0</c:v>
                </c:pt>
                <c:pt idx="1">
                  <c:v>33.479999999999997</c:v>
                </c:pt>
                <c:pt idx="2" formatCode="0.00">
                  <c:v>0</c:v>
                </c:pt>
                <c:pt idx="3">
                  <c:v>1.901</c:v>
                </c:pt>
                <c:pt idx="4">
                  <c:v>15.39</c:v>
                </c:pt>
                <c:pt idx="5">
                  <c:v>17.291</c:v>
                </c:pt>
                <c:pt idx="6">
                  <c:v>0</c:v>
                </c:pt>
                <c:pt idx="7">
                  <c:v>17.89</c:v>
                </c:pt>
                <c:pt idx="8" formatCode="General">
                  <c:v>0</c:v>
                </c:pt>
                <c:pt idx="9">
                  <c:v>0</c:v>
                </c:pt>
                <c:pt idx="10">
                  <c:v>21.92</c:v>
                </c:pt>
                <c:pt idx="11" formatCode="General">
                  <c:v>0</c:v>
                </c:pt>
              </c:numCache>
            </c:numRef>
          </c:val>
          <c:extLst>
            <c:ext xmlns:c16="http://schemas.microsoft.com/office/drawing/2014/chart" uri="{C3380CC4-5D6E-409C-BE32-E72D297353CC}">
              <c16:uniqueId val="{00000003-31BE-4450-A73A-65CEF0429574}"/>
            </c:ext>
          </c:extLst>
        </c:ser>
        <c:dLbls>
          <c:showLegendKey val="0"/>
          <c:showVal val="0"/>
          <c:showCatName val="0"/>
          <c:showSerName val="0"/>
          <c:showPercent val="0"/>
          <c:showBubbleSize val="0"/>
        </c:dLbls>
        <c:gapWidth val="150"/>
        <c:shape val="box"/>
        <c:axId val="101193984"/>
        <c:axId val="101208064"/>
        <c:axId val="0"/>
      </c:bar3DChart>
      <c:catAx>
        <c:axId val="101193984"/>
        <c:scaling>
          <c:orientation val="minMax"/>
        </c:scaling>
        <c:delete val="0"/>
        <c:axPos val="b"/>
        <c:numFmt formatCode="General" sourceLinked="1"/>
        <c:majorTickMark val="none"/>
        <c:minorTickMark val="none"/>
        <c:tickLblPos val="nextTo"/>
        <c:txPr>
          <a:bodyPr rot="-60000000" vert="horz"/>
          <a:lstStyle/>
          <a:p>
            <a:pPr>
              <a:defRPr/>
            </a:pPr>
            <a:endParaRPr lang="pt-BR"/>
          </a:p>
        </c:txPr>
        <c:crossAx val="101208064"/>
        <c:crosses val="autoZero"/>
        <c:auto val="1"/>
        <c:lblAlgn val="ctr"/>
        <c:lblOffset val="100"/>
        <c:noMultiLvlLbl val="0"/>
      </c:catAx>
      <c:valAx>
        <c:axId val="101208064"/>
        <c:scaling>
          <c:orientation val="minMax"/>
        </c:scaling>
        <c:delete val="0"/>
        <c:axPos val="l"/>
        <c:title>
          <c:tx>
            <c:rich>
              <a:bodyPr rot="-5400000" vert="horz"/>
              <a:lstStyle/>
              <a:p>
                <a:pPr>
                  <a:defRPr/>
                </a:pPr>
                <a:r>
                  <a:rPr lang="pt-BR"/>
                  <a:t>[ mg.L-1 ]</a:t>
                </a:r>
              </a:p>
            </c:rich>
          </c:tx>
          <c:layout>
            <c:manualLayout>
              <c:xMode val="edge"/>
              <c:yMode val="edge"/>
              <c:x val="1.2148322830204601E-2"/>
              <c:y val="0.3457344396419158"/>
            </c:manualLayout>
          </c:layout>
          <c:overlay val="0"/>
        </c:title>
        <c:numFmt formatCode="#,##0" sourceLinked="0"/>
        <c:majorTickMark val="none"/>
        <c:minorTickMark val="none"/>
        <c:tickLblPos val="nextTo"/>
        <c:txPr>
          <a:bodyPr rot="-60000000" vert="horz"/>
          <a:lstStyle/>
          <a:p>
            <a:pPr>
              <a:defRPr/>
            </a:pPr>
            <a:endParaRPr lang="pt-BR"/>
          </a:p>
        </c:txPr>
        <c:crossAx val="101193984"/>
        <c:crosses val="autoZero"/>
        <c:crossBetween val="between"/>
        <c:majorUnit val="3"/>
        <c:minorUnit val="1.5"/>
      </c:valAx>
    </c:plotArea>
    <c:legend>
      <c:legendPos val="b"/>
      <c:overlay val="0"/>
      <c:txPr>
        <a:bodyPr rot="0" vert="horz"/>
        <a:lstStyle/>
        <a:p>
          <a:pPr>
            <a:defRPr/>
          </a:pPr>
          <a:endParaRPr lang="pt-BR"/>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7933662280701763E-2"/>
          <c:y val="5.0897915599579818E-2"/>
          <c:w val="0.89133790204678365"/>
          <c:h val="0.65691133702002791"/>
        </c:manualLayout>
      </c:layout>
      <c:bar3DChart>
        <c:barDir val="col"/>
        <c:grouping val="clustered"/>
        <c:varyColors val="0"/>
        <c:ser>
          <c:idx val="0"/>
          <c:order val="0"/>
          <c:tx>
            <c:strRef>
              <c:f>'Medias Estações'!$Y$19</c:f>
              <c:strCache>
                <c:ptCount val="1"/>
                <c:pt idx="0">
                  <c:v>TR2</c:v>
                </c:pt>
              </c:strCache>
            </c:strRef>
          </c:tx>
          <c:spPr>
            <a:solidFill>
              <a:schemeClr val="accent4">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Estações'!$AA$19,'Medias Estações'!$G$19,'Medias Estações'!$AY$11,'Medias Estações'!$AJ$19,'Medias Estações'!$Q$19,'Medias Estações'!$AZ$11,'Medias Estações'!$AA$59,'Medias Estações'!$G$59,'Medias Estações'!$AY$31,'Medias Estações'!$AJ$59,'Medias Estações'!$Q$59,'Medias Estações'!$AZ$31)</c:f>
              <c:numCache>
                <c:formatCode>_(* #,##0.00_);_(* \(#,##0.00\);_(* "-"??_);_(@_)</c:formatCode>
                <c:ptCount val="12"/>
                <c:pt idx="0">
                  <c:v>0</c:v>
                </c:pt>
                <c:pt idx="1">
                  <c:v>0</c:v>
                </c:pt>
                <c:pt idx="2" formatCode="0.00">
                  <c:v>0</c:v>
                </c:pt>
                <c:pt idx="3">
                  <c:v>0</c:v>
                </c:pt>
                <c:pt idx="4">
                  <c:v>5.4295</c:v>
                </c:pt>
                <c:pt idx="5" formatCode="General">
                  <c:v>0</c:v>
                </c:pt>
                <c:pt idx="6">
                  <c:v>0</c:v>
                </c:pt>
                <c:pt idx="7">
                  <c:v>0</c:v>
                </c:pt>
                <c:pt idx="8" formatCode="General">
                  <c:v>0</c:v>
                </c:pt>
                <c:pt idx="9">
                  <c:v>0.39600000000000002</c:v>
                </c:pt>
                <c:pt idx="10">
                  <c:v>5.4295</c:v>
                </c:pt>
                <c:pt idx="11">
                  <c:v>5.8254999999999999</c:v>
                </c:pt>
              </c:numCache>
            </c:numRef>
          </c:val>
          <c:extLst>
            <c:ext xmlns:c16="http://schemas.microsoft.com/office/drawing/2014/chart" uri="{C3380CC4-5D6E-409C-BE32-E72D297353CC}">
              <c16:uniqueId val="{00000000-D5D8-4FCF-99A4-412B12045A99}"/>
            </c:ext>
          </c:extLst>
        </c:ser>
        <c:ser>
          <c:idx val="1"/>
          <c:order val="1"/>
          <c:tx>
            <c:strRef>
              <c:f>'Medias Estações'!$Y$21</c:f>
              <c:strCache>
                <c:ptCount val="1"/>
                <c:pt idx="0">
                  <c:v>CHUVOSO</c:v>
                </c:pt>
              </c:strCache>
            </c:strRef>
          </c:tx>
          <c:spPr>
            <a:solidFill>
              <a:schemeClr val="accent5">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Estações'!$AA$21,'Medias Estações'!$G$21,'Medias Estações'!$AY$12,'Medias Estações'!$AJ$21,'Medias Estações'!$Q$21,'Medias Estações'!$AZ$12,'Medias Estações'!$AA$61,'Medias Estações'!$G$61,'Medias Estações'!$AY$32,'Medias Estações'!$AJ$61,'Medias Estações'!$Q$61,'Medias Estações'!$AZ$32)</c:f>
              <c:numCache>
                <c:formatCode>_(* #,##0.00_);_(* \(#,##0.00\);_(* "-"??_);_(@_)</c:formatCode>
                <c:ptCount val="12"/>
                <c:pt idx="0">
                  <c:v>0.56450000000000011</c:v>
                </c:pt>
                <c:pt idx="1">
                  <c:v>10.514833333333334</c:v>
                </c:pt>
                <c:pt idx="2" formatCode="0.00">
                  <c:v>11.079333333333334</c:v>
                </c:pt>
                <c:pt idx="3">
                  <c:v>3.69475</c:v>
                </c:pt>
                <c:pt idx="4">
                  <c:v>7.9936666666666669</c:v>
                </c:pt>
                <c:pt idx="5">
                  <c:v>11.688416666666667</c:v>
                </c:pt>
                <c:pt idx="6">
                  <c:v>0.68566666666666665</c:v>
                </c:pt>
                <c:pt idx="7">
                  <c:v>8.5865000000000009</c:v>
                </c:pt>
                <c:pt idx="8" formatCode="0.00">
                  <c:v>9.2721666666666671</c:v>
                </c:pt>
                <c:pt idx="9">
                  <c:v>0.81674999999999998</c:v>
                </c:pt>
                <c:pt idx="10">
                  <c:v>7.9936666666666669</c:v>
                </c:pt>
                <c:pt idx="11">
                  <c:v>8.8104166666666668</c:v>
                </c:pt>
              </c:numCache>
            </c:numRef>
          </c:val>
          <c:extLst>
            <c:ext xmlns:c16="http://schemas.microsoft.com/office/drawing/2014/chart" uri="{C3380CC4-5D6E-409C-BE32-E72D297353CC}">
              <c16:uniqueId val="{00000001-D5D8-4FCF-99A4-412B12045A99}"/>
            </c:ext>
          </c:extLst>
        </c:ser>
        <c:ser>
          <c:idx val="2"/>
          <c:order val="2"/>
          <c:tx>
            <c:strRef>
              <c:f>'Medias Estações'!$Y$23</c:f>
              <c:strCache>
                <c:ptCount val="1"/>
                <c:pt idx="0">
                  <c:v>TR1</c:v>
                </c:pt>
              </c:strCache>
            </c:strRef>
          </c:tx>
          <c:spPr>
            <a:solidFill>
              <a:schemeClr val="accent6">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Estações'!$AA$23,'Medias Estações'!$G$23,'Medias Estações'!$AY$13,'Medias Estações'!$AJ$23,'Medias Estações'!$Q$23,'Medias Estações'!$AZ$13,'Medias Estações'!$AA$63,'Medias Estações'!$G$63,'Medias Estações'!$AY$33,'Medias Estações'!$AJ$63,'Medias Estações'!$Q$63,'Medias Estações'!$AZ$33)</c:f>
              <c:numCache>
                <c:formatCode>_(* #,##0.00_);_(* \(#,##0.00\);_(* "-"??_);_(@_)</c:formatCode>
                <c:ptCount val="12"/>
                <c:pt idx="0">
                  <c:v>0</c:v>
                </c:pt>
                <c:pt idx="1">
                  <c:v>11.080249999999999</c:v>
                </c:pt>
                <c:pt idx="2" formatCode="0.00">
                  <c:v>0</c:v>
                </c:pt>
                <c:pt idx="3">
                  <c:v>0</c:v>
                </c:pt>
                <c:pt idx="4">
                  <c:v>6.3465000000000007</c:v>
                </c:pt>
                <c:pt idx="5" formatCode="General">
                  <c:v>0</c:v>
                </c:pt>
                <c:pt idx="6">
                  <c:v>0</c:v>
                </c:pt>
                <c:pt idx="7">
                  <c:v>0</c:v>
                </c:pt>
                <c:pt idx="8" formatCode="General">
                  <c:v>0</c:v>
                </c:pt>
                <c:pt idx="9">
                  <c:v>0</c:v>
                </c:pt>
                <c:pt idx="10">
                  <c:v>6.3465000000000007</c:v>
                </c:pt>
                <c:pt idx="11" formatCode="General">
                  <c:v>0</c:v>
                </c:pt>
              </c:numCache>
            </c:numRef>
          </c:val>
          <c:extLst>
            <c:ext xmlns:c16="http://schemas.microsoft.com/office/drawing/2014/chart" uri="{C3380CC4-5D6E-409C-BE32-E72D297353CC}">
              <c16:uniqueId val="{00000002-D5D8-4FCF-99A4-412B12045A99}"/>
            </c:ext>
          </c:extLst>
        </c:ser>
        <c:ser>
          <c:idx val="3"/>
          <c:order val="3"/>
          <c:tx>
            <c:strRef>
              <c:f>'Medias Estações'!$Y$25</c:f>
              <c:strCache>
                <c:ptCount val="1"/>
                <c:pt idx="0">
                  <c:v>SECO</c:v>
                </c:pt>
              </c:strCache>
            </c:strRef>
          </c:tx>
          <c:spPr>
            <a:solidFill>
              <a:schemeClr val="accent2">
                <a:lumMod val="75000"/>
              </a:schemeClr>
            </a:solidFill>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Estações'!$AA$25,'Medias Estações'!$G$25,'Medias Estações'!$AY$14,'Medias Estações'!$AJ$25,'Medias Estações'!$Q$25,'Medias Estações'!$AZ$14,'Medias Estações'!$AA$65,'Medias Estações'!$G$65,'Medias Estações'!$AY$34,'Medias Estações'!$AJ$65,'Medias Estações'!$Q$65,'Medias Estações'!$AZ$34)</c:f>
              <c:numCache>
                <c:formatCode>_(* #,##0.00_);_(* \(#,##0.00\);_(* "-"??_);_(@_)</c:formatCode>
                <c:ptCount val="12"/>
                <c:pt idx="0">
                  <c:v>0</c:v>
                </c:pt>
                <c:pt idx="1">
                  <c:v>11.285</c:v>
                </c:pt>
                <c:pt idx="2" formatCode="0.00">
                  <c:v>0</c:v>
                </c:pt>
                <c:pt idx="3">
                  <c:v>0</c:v>
                </c:pt>
                <c:pt idx="4">
                  <c:v>7.4980000000000002</c:v>
                </c:pt>
                <c:pt idx="5" formatCode="General">
                  <c:v>0</c:v>
                </c:pt>
                <c:pt idx="6">
                  <c:v>0</c:v>
                </c:pt>
                <c:pt idx="7">
                  <c:v>0</c:v>
                </c:pt>
                <c:pt idx="8" formatCode="General">
                  <c:v>0</c:v>
                </c:pt>
                <c:pt idx="9">
                  <c:v>0.245</c:v>
                </c:pt>
                <c:pt idx="10">
                  <c:v>7.4980000000000002</c:v>
                </c:pt>
                <c:pt idx="11">
                  <c:v>7.7430000000000003</c:v>
                </c:pt>
              </c:numCache>
            </c:numRef>
          </c:val>
          <c:extLst>
            <c:ext xmlns:c16="http://schemas.microsoft.com/office/drawing/2014/chart" uri="{C3380CC4-5D6E-409C-BE32-E72D297353CC}">
              <c16:uniqueId val="{00000003-D5D8-4FCF-99A4-412B12045A99}"/>
            </c:ext>
          </c:extLst>
        </c:ser>
        <c:dLbls>
          <c:showLegendKey val="0"/>
          <c:showVal val="0"/>
          <c:showCatName val="0"/>
          <c:showSerName val="0"/>
          <c:showPercent val="0"/>
          <c:showBubbleSize val="0"/>
        </c:dLbls>
        <c:gapWidth val="150"/>
        <c:shape val="box"/>
        <c:axId val="101243904"/>
        <c:axId val="101126912"/>
        <c:axId val="0"/>
      </c:bar3DChart>
      <c:catAx>
        <c:axId val="101243904"/>
        <c:scaling>
          <c:orientation val="minMax"/>
        </c:scaling>
        <c:delete val="0"/>
        <c:axPos val="b"/>
        <c:numFmt formatCode="General" sourceLinked="0"/>
        <c:majorTickMark val="out"/>
        <c:minorTickMark val="none"/>
        <c:tickLblPos val="nextTo"/>
        <c:crossAx val="101126912"/>
        <c:crosses val="autoZero"/>
        <c:auto val="1"/>
        <c:lblAlgn val="ctr"/>
        <c:lblOffset val="100"/>
        <c:noMultiLvlLbl val="0"/>
      </c:catAx>
      <c:valAx>
        <c:axId val="101126912"/>
        <c:scaling>
          <c:orientation val="minMax"/>
        </c:scaling>
        <c:delete val="0"/>
        <c:axPos val="l"/>
        <c:title>
          <c:tx>
            <c:rich>
              <a:bodyPr/>
              <a:lstStyle/>
              <a:p>
                <a:pPr>
                  <a:defRPr/>
                </a:pPr>
                <a:r>
                  <a:rPr lang="pt-BR"/>
                  <a:t>[</a:t>
                </a:r>
                <a:r>
                  <a:rPr lang="pt-BR" baseline="0"/>
                  <a:t> mg.L-1]</a:t>
                </a:r>
                <a:endParaRPr lang="pt-BR"/>
              </a:p>
            </c:rich>
          </c:tx>
          <c:overlay val="0"/>
        </c:title>
        <c:numFmt formatCode="#,##0" sourceLinked="0"/>
        <c:majorTickMark val="out"/>
        <c:minorTickMark val="none"/>
        <c:tickLblPos val="nextTo"/>
        <c:crossAx val="101243904"/>
        <c:crosses val="autoZero"/>
        <c:crossBetween val="between"/>
        <c:majorUnit val="1"/>
        <c:minorUnit val="0.5"/>
      </c:val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257296024907665E-2"/>
          <c:y val="3.8045993975119159E-2"/>
          <c:w val="0.90545177958780565"/>
          <c:h val="0.69167229509762218"/>
        </c:manualLayout>
      </c:layout>
      <c:bar3DChart>
        <c:barDir val="col"/>
        <c:grouping val="clustered"/>
        <c:varyColors val="0"/>
        <c:ser>
          <c:idx val="0"/>
          <c:order val="0"/>
          <c:tx>
            <c:strRef>
              <c:f>'Medias Estações'!$E$3</c:f>
              <c:strCache>
                <c:ptCount val="1"/>
                <c:pt idx="0">
                  <c:v>TR2</c:v>
                </c:pt>
              </c:strCache>
            </c:strRef>
          </c:tx>
          <c:spPr>
            <a:solidFill>
              <a:schemeClr val="accent4">
                <a:lumMod val="75000"/>
              </a:schemeClr>
            </a:solidFill>
            <a:ln>
              <a:noFill/>
            </a:ln>
            <a:effectLst>
              <a:outerShdw blurRad="40000" dist="23000" dir="5400000" rotWithShape="0">
                <a:srgbClr val="000000">
                  <a:alpha val="35000"/>
                </a:srgbClr>
              </a:outerShdw>
            </a:effectLst>
            <a:sp3d/>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Estações'!$AA$3,'Medias Estações'!$G$3,'Medias Estações'!$AY$3,'Medias Estações'!$AJ$3,'Medias Estações'!$Q$3,'Medias Estações'!$AZ$3,'Medias Estações'!$AA$91,'Medias Estações'!$G$91,'Medias Estações'!$AY$47,'Medias Estações'!$AJ$91,'Medias Estações'!$Q$91,'Medias Estações'!$AZ$47)</c:f>
              <c:numCache>
                <c:formatCode>_(* #,##0.00_);_(* \(#,##0.00\);_(* "-"??_);_(@_)</c:formatCode>
                <c:ptCount val="12"/>
                <c:pt idx="0">
                  <c:v>0</c:v>
                </c:pt>
                <c:pt idx="1">
                  <c:v>0</c:v>
                </c:pt>
                <c:pt idx="2" formatCode="0.00">
                  <c:v>0</c:v>
                </c:pt>
                <c:pt idx="3">
                  <c:v>0</c:v>
                </c:pt>
                <c:pt idx="4">
                  <c:v>5.8150000000000004</c:v>
                </c:pt>
                <c:pt idx="5" formatCode="General">
                  <c:v>0</c:v>
                </c:pt>
                <c:pt idx="6">
                  <c:v>1.865</c:v>
                </c:pt>
                <c:pt idx="7">
                  <c:v>0</c:v>
                </c:pt>
                <c:pt idx="8" formatCode="General">
                  <c:v>0</c:v>
                </c:pt>
                <c:pt idx="9">
                  <c:v>0</c:v>
                </c:pt>
                <c:pt idx="10">
                  <c:v>0</c:v>
                </c:pt>
                <c:pt idx="11" formatCode="General">
                  <c:v>0</c:v>
                </c:pt>
              </c:numCache>
            </c:numRef>
          </c:val>
          <c:extLst>
            <c:ext xmlns:c16="http://schemas.microsoft.com/office/drawing/2014/chart" uri="{C3380CC4-5D6E-409C-BE32-E72D297353CC}">
              <c16:uniqueId val="{00000000-2BC3-4B82-9AAB-B170B6832787}"/>
            </c:ext>
          </c:extLst>
        </c:ser>
        <c:ser>
          <c:idx val="1"/>
          <c:order val="1"/>
          <c:tx>
            <c:strRef>
              <c:f>'Medias Estações'!$Y$5</c:f>
              <c:strCache>
                <c:ptCount val="1"/>
                <c:pt idx="0">
                  <c:v>CHUVOSO</c:v>
                </c:pt>
              </c:strCache>
            </c:strRef>
          </c:tx>
          <c:spPr>
            <a:solidFill>
              <a:schemeClr val="accent5">
                <a:lumMod val="75000"/>
              </a:schemeClr>
            </a:solidFill>
            <a:ln>
              <a:noFill/>
            </a:ln>
            <a:effectLst>
              <a:outerShdw blurRad="40000" dist="23000" dir="5400000" rotWithShape="0">
                <a:srgbClr val="000000">
                  <a:alpha val="35000"/>
                </a:srgbClr>
              </a:outerShdw>
            </a:effectLst>
            <a:sp3d/>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Estações'!$AA$5,'Medias Estações'!$G$5,'Medias Estações'!$AY$4,'Medias Estações'!$AJ$5,'Medias Estações'!$Q$5,'Medias Estações'!$AZ$4,'Medias Estações'!$AA$93,'Medias Estações'!$G$93,'Medias Estações'!$AY$48,'Medias Estações'!$AJ$93,'Medias Estações'!$Q$93,'Medias Estações'!$AZ$48)</c:f>
              <c:numCache>
                <c:formatCode>_(* #,##0.00_);_(* \(#,##0.00\);_(* "-"??_);_(@_)</c:formatCode>
                <c:ptCount val="12"/>
                <c:pt idx="0">
                  <c:v>1.4435833333333332</c:v>
                </c:pt>
                <c:pt idx="1">
                  <c:v>8.1436666666666664</c:v>
                </c:pt>
                <c:pt idx="2" formatCode="0.00">
                  <c:v>9.5872499999999992</c:v>
                </c:pt>
                <c:pt idx="3">
                  <c:v>1.0265</c:v>
                </c:pt>
                <c:pt idx="4">
                  <c:v>10.853400000000001</c:v>
                </c:pt>
                <c:pt idx="5">
                  <c:v>11.879900000000001</c:v>
                </c:pt>
                <c:pt idx="6">
                  <c:v>1.3838749999999997</c:v>
                </c:pt>
                <c:pt idx="7">
                  <c:v>29.004275</c:v>
                </c:pt>
                <c:pt idx="8" formatCode="0.00">
                  <c:v>30.38815</c:v>
                </c:pt>
                <c:pt idx="9">
                  <c:v>1.7124999999999999</c:v>
                </c:pt>
                <c:pt idx="10">
                  <c:v>9.0519999999999996</c:v>
                </c:pt>
                <c:pt idx="11">
                  <c:v>10.7645</c:v>
                </c:pt>
              </c:numCache>
            </c:numRef>
          </c:val>
          <c:extLst>
            <c:ext xmlns:c16="http://schemas.microsoft.com/office/drawing/2014/chart" uri="{C3380CC4-5D6E-409C-BE32-E72D297353CC}">
              <c16:uniqueId val="{00000001-2BC3-4B82-9AAB-B170B6832787}"/>
            </c:ext>
          </c:extLst>
        </c:ser>
        <c:ser>
          <c:idx val="2"/>
          <c:order val="2"/>
          <c:tx>
            <c:strRef>
              <c:f>'Medias Estações'!$Y$7</c:f>
              <c:strCache>
                <c:ptCount val="1"/>
                <c:pt idx="0">
                  <c:v>TR1</c:v>
                </c:pt>
              </c:strCache>
            </c:strRef>
          </c:tx>
          <c:spPr>
            <a:solidFill>
              <a:schemeClr val="accent6">
                <a:lumMod val="75000"/>
              </a:schemeClr>
            </a:solidFill>
            <a:ln>
              <a:noFill/>
            </a:ln>
            <a:effectLst>
              <a:outerShdw blurRad="40000" dist="23000" dir="5400000" rotWithShape="0">
                <a:srgbClr val="000000">
                  <a:alpha val="35000"/>
                </a:srgbClr>
              </a:outerShdw>
            </a:effectLst>
            <a:sp3d/>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Estações'!$AA$7,'Medias Estações'!$G$7,'Medias Estações'!$AY$5,'Medias Estações'!$AJ$7,'Medias Estações'!$Q$7,'Medias Estações'!$AZ$5,'Medias Estações'!$AA$95,'Medias Estações'!$G$95,'Medias Estações'!$AY$49,'Medias Estações'!$AJ$95,'Medias Estações'!$Q$95,'Medias Estações'!$AZ$49)</c:f>
              <c:numCache>
                <c:formatCode>_(* #,##0.00_);_(* \(#,##0.00\);_(* "-"??_);_(@_)</c:formatCode>
                <c:ptCount val="12"/>
                <c:pt idx="0">
                  <c:v>1.2969999999999999</c:v>
                </c:pt>
                <c:pt idx="1">
                  <c:v>7.3419999999999996</c:v>
                </c:pt>
                <c:pt idx="2" formatCode="0.00">
                  <c:v>8.6389999999999993</c:v>
                </c:pt>
                <c:pt idx="3">
                  <c:v>0</c:v>
                </c:pt>
                <c:pt idx="4">
                  <c:v>11.994</c:v>
                </c:pt>
                <c:pt idx="5" formatCode="General">
                  <c:v>0</c:v>
                </c:pt>
                <c:pt idx="6">
                  <c:v>0.60599999999999998</c:v>
                </c:pt>
                <c:pt idx="7">
                  <c:v>16.214999999999996</c:v>
                </c:pt>
                <c:pt idx="8" formatCode="0.00">
                  <c:v>16.820999999999998</c:v>
                </c:pt>
                <c:pt idx="9">
                  <c:v>0.26800000000000002</c:v>
                </c:pt>
                <c:pt idx="10">
                  <c:v>15.148250000000001</c:v>
                </c:pt>
                <c:pt idx="11">
                  <c:v>15.416250000000002</c:v>
                </c:pt>
              </c:numCache>
            </c:numRef>
          </c:val>
          <c:extLst>
            <c:ext xmlns:c16="http://schemas.microsoft.com/office/drawing/2014/chart" uri="{C3380CC4-5D6E-409C-BE32-E72D297353CC}">
              <c16:uniqueId val="{00000002-2BC3-4B82-9AAB-B170B6832787}"/>
            </c:ext>
          </c:extLst>
        </c:ser>
        <c:ser>
          <c:idx val="3"/>
          <c:order val="3"/>
          <c:tx>
            <c:strRef>
              <c:f>'Medias Estações'!$Y$9</c:f>
              <c:strCache>
                <c:ptCount val="1"/>
                <c:pt idx="0">
                  <c:v>SECO</c:v>
                </c:pt>
              </c:strCache>
            </c:strRef>
          </c:tx>
          <c:spPr>
            <a:solidFill>
              <a:schemeClr val="accent2">
                <a:lumMod val="75000"/>
              </a:schemeClr>
            </a:solidFill>
            <a:ln>
              <a:noFill/>
            </a:ln>
            <a:effectLst>
              <a:outerShdw blurRad="40000" dist="23000" dir="5400000" rotWithShape="0">
                <a:srgbClr val="000000">
                  <a:alpha val="35000"/>
                </a:srgbClr>
              </a:outerShdw>
            </a:effectLst>
            <a:sp3d/>
          </c:spPr>
          <c:invertIfNegative val="0"/>
          <c:cat>
            <c:strRef>
              <c:f>'Medias Estações'!$AG$217:$AG$228</c:f>
              <c:strCache>
                <c:ptCount val="12"/>
                <c:pt idx="0">
                  <c:v>MIC CID 30cm</c:v>
                </c:pt>
                <c:pt idx="1">
                  <c:v>MIC COD 30cm</c:v>
                </c:pt>
                <c:pt idx="2">
                  <c:v>MIC CTD 30cm</c:v>
                </c:pt>
                <c:pt idx="3">
                  <c:v>MIC CID 60cm</c:v>
                </c:pt>
                <c:pt idx="4">
                  <c:v>MIC COD 60cm</c:v>
                </c:pt>
                <c:pt idx="5">
                  <c:v>MIC CTD 60cm</c:v>
                </c:pt>
                <c:pt idx="6">
                  <c:v>MISJ CID 30cm</c:v>
                </c:pt>
                <c:pt idx="7">
                  <c:v>MISJ COD 30cm</c:v>
                </c:pt>
                <c:pt idx="8">
                  <c:v>MISJ CTD 30cm</c:v>
                </c:pt>
                <c:pt idx="9">
                  <c:v>MISJ CID 60cm</c:v>
                </c:pt>
                <c:pt idx="10">
                  <c:v>MISJ COD 60cm</c:v>
                </c:pt>
                <c:pt idx="11">
                  <c:v>MISJ CTD 60cm</c:v>
                </c:pt>
              </c:strCache>
            </c:strRef>
          </c:cat>
          <c:val>
            <c:numRef>
              <c:f>('Medias Estações'!$AA$9,'Medias Estações'!$G$9,'Medias Estações'!$AY$9,'Medias Estações'!$AJ$9,'Medias Estações'!$Q$9,'Medias Estações'!$AZ$6,'Medias Estações'!$AA$97,'Medias Estações'!$G$97,'Medias Estações'!$AY$50,'Medias Estações'!$AJ$97,'Medias Estações'!$Q$97,'Medias Estações'!$AZ$50)</c:f>
              <c:numCache>
                <c:formatCode>_(* #,##0.00_);_(* \(#,##0.00\);_(* "-"??_);_(@_)</c:formatCode>
                <c:ptCount val="12"/>
                <c:pt idx="0">
                  <c:v>0</c:v>
                </c:pt>
                <c:pt idx="1">
                  <c:v>7.9359999999999999</c:v>
                </c:pt>
                <c:pt idx="2" formatCode="0.00">
                  <c:v>0</c:v>
                </c:pt>
                <c:pt idx="3">
                  <c:v>0</c:v>
                </c:pt>
                <c:pt idx="4">
                  <c:v>0</c:v>
                </c:pt>
                <c:pt idx="5" formatCode="General">
                  <c:v>0</c:v>
                </c:pt>
                <c:pt idx="6">
                  <c:v>0.16</c:v>
                </c:pt>
                <c:pt idx="7">
                  <c:v>22.34</c:v>
                </c:pt>
                <c:pt idx="8" formatCode="0.00">
                  <c:v>22.5</c:v>
                </c:pt>
                <c:pt idx="9">
                  <c:v>0</c:v>
                </c:pt>
                <c:pt idx="10">
                  <c:v>23.684999999999999</c:v>
                </c:pt>
                <c:pt idx="11" formatCode="General">
                  <c:v>0</c:v>
                </c:pt>
              </c:numCache>
            </c:numRef>
          </c:val>
          <c:extLst>
            <c:ext xmlns:c16="http://schemas.microsoft.com/office/drawing/2014/chart" uri="{C3380CC4-5D6E-409C-BE32-E72D297353CC}">
              <c16:uniqueId val="{00000003-2BC3-4B82-9AAB-B170B6832787}"/>
            </c:ext>
          </c:extLst>
        </c:ser>
        <c:dLbls>
          <c:showLegendKey val="0"/>
          <c:showVal val="0"/>
          <c:showCatName val="0"/>
          <c:showSerName val="0"/>
          <c:showPercent val="0"/>
          <c:showBubbleSize val="0"/>
        </c:dLbls>
        <c:gapWidth val="150"/>
        <c:shape val="box"/>
        <c:axId val="106132992"/>
        <c:axId val="106134528"/>
        <c:axId val="0"/>
      </c:bar3DChart>
      <c:catAx>
        <c:axId val="1061329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06134528"/>
        <c:crosses val="autoZero"/>
        <c:auto val="1"/>
        <c:lblAlgn val="ctr"/>
        <c:lblOffset val="100"/>
        <c:noMultiLvlLbl val="0"/>
      </c:catAx>
      <c:valAx>
        <c:axId val="10613452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pt-BR">
                    <a:solidFill>
                      <a:sysClr val="windowText" lastClr="000000"/>
                    </a:solidFill>
                  </a:rPr>
                  <a:t>[ mg.L-1 ]</a:t>
                </a:r>
              </a:p>
            </c:rich>
          </c:tx>
          <c:layout>
            <c:manualLayout>
              <c:xMode val="edge"/>
              <c:yMode val="edge"/>
              <c:x val="1.3898030474022419E-2"/>
              <c:y val="0.334465617376659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06132992"/>
        <c:crosses val="autoZero"/>
        <c:crossBetween val="between"/>
        <c:majorUnit val="2"/>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249D9-DF6B-47FB-A45B-6553E4EA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2466</Words>
  <Characters>13322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15757</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Altem</dc:creator>
  <cp:lastModifiedBy>Leonardo lemos Almeida</cp:lastModifiedBy>
  <cp:revision>12</cp:revision>
  <cp:lastPrinted>2015-06-04T18:07:00Z</cp:lastPrinted>
  <dcterms:created xsi:type="dcterms:W3CDTF">2018-11-02T01:30:00Z</dcterms:created>
  <dcterms:modified xsi:type="dcterms:W3CDTF">2018-11-02T02:48:00Z</dcterms:modified>
</cp:coreProperties>
</file>