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1E30B" w14:textId="3A635152" w:rsidR="00844166" w:rsidRPr="0036153C" w:rsidRDefault="00844166" w:rsidP="00B60B9B">
      <w:pPr>
        <w:widowControl w:val="0"/>
        <w:spacing w:line="360" w:lineRule="auto"/>
        <w:ind w:right="-330"/>
        <w:jc w:val="both"/>
        <w:rPr>
          <w:lang w:val="en-US"/>
        </w:rPr>
      </w:pPr>
    </w:p>
    <w:p w14:paraId="175DB972" w14:textId="4029C2A6" w:rsidR="0036153C" w:rsidRPr="0036153C" w:rsidRDefault="00550499" w:rsidP="00550499">
      <w:pPr>
        <w:spacing w:line="360" w:lineRule="auto"/>
        <w:jc w:val="center"/>
        <w:rPr>
          <w:b/>
        </w:rPr>
      </w:pPr>
      <w:r>
        <w:rPr>
          <w:b/>
        </w:rPr>
        <w:t xml:space="preserve">CUMPRIMENTO </w:t>
      </w:r>
      <w:r w:rsidR="00B46F1C">
        <w:rPr>
          <w:b/>
        </w:rPr>
        <w:t xml:space="preserve">E EXECUÇÃO </w:t>
      </w:r>
      <w:r>
        <w:rPr>
          <w:b/>
        </w:rPr>
        <w:t>DE DECISÕES INTERAMERICANAS: SENTENÇAS ESTRUTURANTES COMO OBSTÁCULOS?</w:t>
      </w:r>
      <w:r w:rsidR="0036153C" w:rsidRPr="0036153C">
        <w:rPr>
          <w:rStyle w:val="FootnoteReference"/>
          <w:b/>
        </w:rPr>
        <w:footnoteReference w:id="1"/>
      </w:r>
    </w:p>
    <w:p w14:paraId="719408BB" w14:textId="6C158268" w:rsidR="0036153C" w:rsidRDefault="0036153C" w:rsidP="0036153C">
      <w:pPr>
        <w:spacing w:line="360" w:lineRule="auto"/>
        <w:jc w:val="center"/>
      </w:pPr>
    </w:p>
    <w:p w14:paraId="1038BA1C" w14:textId="0C6FC7BE" w:rsidR="0036153C" w:rsidRDefault="0036153C" w:rsidP="005B3758">
      <w:pPr>
        <w:spacing w:line="360" w:lineRule="auto"/>
        <w:jc w:val="both"/>
      </w:pPr>
      <w:r w:rsidRPr="005B3758">
        <w:rPr>
          <w:b/>
          <w:bCs/>
        </w:rPr>
        <w:t>Palavras-chaves:</w:t>
      </w:r>
      <w:r>
        <w:t xml:space="preserve"> Corte Interamericana de Direitos Humanos, execução de sentenças interamericanas, sentenças estruturantes.</w:t>
      </w:r>
    </w:p>
    <w:p w14:paraId="622622E4" w14:textId="77777777" w:rsidR="0036153C" w:rsidRPr="0036153C" w:rsidRDefault="0036153C" w:rsidP="0036153C">
      <w:pPr>
        <w:spacing w:line="360" w:lineRule="auto"/>
        <w:jc w:val="center"/>
      </w:pPr>
    </w:p>
    <w:p w14:paraId="0F339294" w14:textId="474058EF" w:rsidR="0036153C" w:rsidRPr="00D17D39" w:rsidRDefault="0036153C" w:rsidP="00D17D39">
      <w:pPr>
        <w:widowControl w:val="0"/>
        <w:spacing w:line="360" w:lineRule="auto"/>
        <w:ind w:right="-330"/>
        <w:jc w:val="both"/>
      </w:pPr>
    </w:p>
    <w:p w14:paraId="31AC2515" w14:textId="7249A060" w:rsidR="00D26EE6" w:rsidRDefault="00D17D39" w:rsidP="00D17D39">
      <w:pPr>
        <w:tabs>
          <w:tab w:val="left" w:pos="1905"/>
        </w:tabs>
        <w:spacing w:line="360" w:lineRule="auto"/>
        <w:jc w:val="both"/>
        <w:rPr>
          <w:bCs/>
        </w:rPr>
      </w:pPr>
      <w:r w:rsidRPr="00D17D39">
        <w:rPr>
          <w:bCs/>
        </w:rPr>
        <w:t>A atuação</w:t>
      </w:r>
      <w:r w:rsidRPr="00D17D39">
        <w:rPr>
          <w:b/>
        </w:rPr>
        <w:t xml:space="preserve"> </w:t>
      </w:r>
      <w:r w:rsidRPr="00D17D39">
        <w:rPr>
          <w:bCs/>
        </w:rPr>
        <w:t>da Corte Interamericana de Direitos Humanos na consolidação de uma jurisprudência voltada à não repetição de violações de direitos humanos e modificação dos cenários de violações estruturais existentes vem sendo consolidada ao longo dos últimos anos. Por outro lado, as taxas de não cumprimento das decisões vêm aumentando, passando dos 80% de incumprimento</w:t>
      </w:r>
      <w:r w:rsidR="00D11BFE">
        <w:rPr>
          <w:bCs/>
        </w:rPr>
        <w:t xml:space="preserve"> das sentenças proferidas no Sistema Interamericano de Proteção de Direitos Humanos</w:t>
      </w:r>
      <w:r w:rsidRPr="00D17D39">
        <w:rPr>
          <w:bCs/>
        </w:rPr>
        <w:t>, sendo necessário compreender qual a natureza dos casos ainda pendentes de cumprimento para o enfrentamento dos obstáculos existentes em cada país para a adequada execução das sentenças</w:t>
      </w:r>
      <w:r w:rsidR="00D11BFE">
        <w:rPr>
          <w:bCs/>
        </w:rPr>
        <w:t xml:space="preserve"> e fortalecimento dos mecanismos já existentes para a efetivação das decisões de caráter estruturantes e que envolvem a criação e implementação de políticas públicas</w:t>
      </w:r>
      <w:r w:rsidRPr="00D17D39">
        <w:rPr>
          <w:bCs/>
        </w:rPr>
        <w:t>. Diante disto, utilizando-se o método de abordagem dedutivo e de o procedimento analítico, question</w:t>
      </w:r>
      <w:r w:rsidR="00484068">
        <w:rPr>
          <w:bCs/>
        </w:rPr>
        <w:t>ou</w:t>
      </w:r>
      <w:r w:rsidRPr="00D17D39">
        <w:rPr>
          <w:bCs/>
        </w:rPr>
        <w:t xml:space="preserve">-se: seriam as sentenças estruturantes fatores que dificultam o cumprimento integral das decisões interamericanas? </w:t>
      </w:r>
      <w:r w:rsidR="00D11BFE">
        <w:rPr>
          <w:bCs/>
        </w:rPr>
        <w:t>A pesquisa justifica-se a partir da necessidade de que se conheça o sistema regional de proteção multinível do qual o Brasil faz parte e, acima de tudo, que haja um efetivo cumprimento das decisões condenatórias proferidas pela Corte de San José em âmbito interno</w:t>
      </w:r>
      <w:r w:rsidR="00AE427B">
        <w:rPr>
          <w:bCs/>
        </w:rPr>
        <w:t xml:space="preserve">, </w:t>
      </w:r>
      <w:r w:rsidR="00D26EE6">
        <w:rPr>
          <w:bCs/>
        </w:rPr>
        <w:t xml:space="preserve">a fim de garantir a proteção de direitos humanos e </w:t>
      </w:r>
      <w:r w:rsidR="00484068">
        <w:rPr>
          <w:bCs/>
        </w:rPr>
        <w:t>o cumprimento</w:t>
      </w:r>
      <w:r w:rsidR="00D26EE6">
        <w:rPr>
          <w:bCs/>
        </w:rPr>
        <w:t xml:space="preserve"> </w:t>
      </w:r>
      <w:r w:rsidR="00484068">
        <w:rPr>
          <w:bCs/>
        </w:rPr>
        <w:t>d</w:t>
      </w:r>
      <w:r w:rsidR="00D26EE6">
        <w:rPr>
          <w:bCs/>
        </w:rPr>
        <w:t>os compromissos estatais assumidos no plano internacional. Para tanto, pretende</w:t>
      </w:r>
      <w:r w:rsidR="00484068">
        <w:rPr>
          <w:bCs/>
        </w:rPr>
        <w:t>u</w:t>
      </w:r>
      <w:r w:rsidR="00D26EE6">
        <w:rPr>
          <w:bCs/>
        </w:rPr>
        <w:t>-se inicialmente</w:t>
      </w:r>
      <w:r w:rsidR="00484068">
        <w:rPr>
          <w:bCs/>
        </w:rPr>
        <w:t xml:space="preserve"> </w:t>
      </w:r>
      <w:r w:rsidR="00D26EE6">
        <w:rPr>
          <w:bCs/>
        </w:rPr>
        <w:t>trazer</w:t>
      </w:r>
      <w:r w:rsidRPr="00D17D39">
        <w:rPr>
          <w:bCs/>
        </w:rPr>
        <w:t xml:space="preserve"> aspectos teóricos sobre a Corte </w:t>
      </w:r>
      <w:r w:rsidR="00D26EE6">
        <w:rPr>
          <w:bCs/>
        </w:rPr>
        <w:t>Interamericana de Direitos Humanos</w:t>
      </w:r>
      <w:r w:rsidRPr="00D17D39">
        <w:rPr>
          <w:bCs/>
        </w:rPr>
        <w:t xml:space="preserve">, enquanto tribunal do Sistema Interamericano de Direitos Humanos e seu mecanismo </w:t>
      </w:r>
      <w:r w:rsidRPr="00D17D39">
        <w:rPr>
          <w:bCs/>
        </w:rPr>
        <w:lastRenderedPageBreak/>
        <w:t xml:space="preserve">de supervisão de cumprimento de sentença, </w:t>
      </w:r>
      <w:r w:rsidR="00D26EE6">
        <w:rPr>
          <w:bCs/>
        </w:rPr>
        <w:t>pelo qual é possível realizar o acompanhamento do andamento das execuções de sentenças condenatórias proferidas pela Corte IDH</w:t>
      </w:r>
      <w:r w:rsidR="005B6653">
        <w:rPr>
          <w:bCs/>
        </w:rPr>
        <w:t>,</w:t>
      </w:r>
      <w:r w:rsidR="005B6653" w:rsidRPr="005B6653">
        <w:rPr>
          <w:bCs/>
        </w:rPr>
        <w:t xml:space="preserve"> </w:t>
      </w:r>
      <w:r w:rsidR="005B6653" w:rsidRPr="00D17D39">
        <w:rPr>
          <w:bCs/>
        </w:rPr>
        <w:t>para então discutir os conceitos de sentenças estruturantes e políticas públicas</w:t>
      </w:r>
      <w:r w:rsidR="005B6653">
        <w:rPr>
          <w:bCs/>
        </w:rPr>
        <w:t xml:space="preserve"> – determinações cada vez mais constantes nas sentenças e que evidenciam o caráter indutor de políticas públicas que vem sendo assumido pelo órgão interamericano</w:t>
      </w:r>
      <w:r w:rsidR="00D26EE6">
        <w:rPr>
          <w:bCs/>
        </w:rPr>
        <w:t xml:space="preserve">. </w:t>
      </w:r>
      <w:r w:rsidR="00484068">
        <w:rPr>
          <w:bCs/>
        </w:rPr>
        <w:t xml:space="preserve">As primeiras caracterizam-se como determinações voltadas à resolução de violações estruturais, sistêmicas e institucionalizadas, em regra envolvendo grupos vulneráveis </w:t>
      </w:r>
      <w:proofErr w:type="spellStart"/>
      <w:r w:rsidR="00484068">
        <w:rPr>
          <w:bCs/>
        </w:rPr>
        <w:t>invisibilizados</w:t>
      </w:r>
      <w:proofErr w:type="spellEnd"/>
      <w:r w:rsidR="00484068">
        <w:rPr>
          <w:bCs/>
        </w:rPr>
        <w:t>, que ocorrem no seio estatal, facilitando esse sua ocorrência, enquanto às segundas, determinadas também de forma estruturante, demandam do Estado a análise do ciclo das políticas públicas para sua criação e implementação, não sendo determinadas de forma engessada pela Corte Interamericana.</w:t>
      </w:r>
      <w:r w:rsidR="008C00E0">
        <w:rPr>
          <w:bCs/>
        </w:rPr>
        <w:t xml:space="preserve"> Assim, foram analisadas </w:t>
      </w:r>
      <w:r w:rsidR="005B6653">
        <w:rPr>
          <w:bCs/>
        </w:rPr>
        <w:t>todas as sentenças condenatórias já proferidas pela Corte de San José</w:t>
      </w:r>
      <w:r w:rsidR="00CB1BBB">
        <w:rPr>
          <w:bCs/>
        </w:rPr>
        <w:t xml:space="preserve"> a fim de identificar quais tipos de sentença são predominantes e discutir, frente à complexidade trazida com as sentenças estruturantes, se estas configuram-se como obstáculos ou que dificuldades apresentam para a execução interna das condenações, especialmente no Brasil. É possível afirmar, diante da análise realizada, que as sentenças estruturantes complexas, em especial, demandam uma maior articulação institucional para seu cumprimento, a medida que englobam determinações não apenas executivas ou legislativas ou judiciais, podendo se afirmar, em alguma medida, que as sentenças estruturantes configuram-se como dificultadoras da plena execução das sentenças condenatórias em território nacional, cabendo aos Estados a criação de mecanismos efetivos dada a importância dessas sentenças na proteção de direitos humanos e não repetição de violações.</w:t>
      </w:r>
    </w:p>
    <w:p w14:paraId="4FEC0129" w14:textId="4130512D" w:rsidR="00D17D39" w:rsidRPr="00D17D39" w:rsidRDefault="00D17D39" w:rsidP="00D17D39">
      <w:pPr>
        <w:tabs>
          <w:tab w:val="left" w:pos="1905"/>
        </w:tabs>
        <w:spacing w:line="360" w:lineRule="auto"/>
        <w:jc w:val="both"/>
        <w:rPr>
          <w:bCs/>
        </w:rPr>
      </w:pPr>
    </w:p>
    <w:p w14:paraId="3A42044D" w14:textId="4471DC4E" w:rsidR="00D17D39" w:rsidRPr="00D17D39" w:rsidRDefault="00D17D39" w:rsidP="00D17D39">
      <w:pPr>
        <w:widowControl w:val="0"/>
        <w:spacing w:line="360" w:lineRule="auto"/>
        <w:ind w:right="-330"/>
        <w:jc w:val="both"/>
        <w:rPr>
          <w:b/>
          <w:bCs/>
        </w:rPr>
      </w:pPr>
      <w:r w:rsidRPr="00D17D39">
        <w:rPr>
          <w:b/>
          <w:bCs/>
        </w:rPr>
        <w:t>Referências con</w:t>
      </w:r>
      <w:r>
        <w:rPr>
          <w:b/>
          <w:bCs/>
        </w:rPr>
        <w:t>s</w:t>
      </w:r>
      <w:r w:rsidRPr="00D17D39">
        <w:rPr>
          <w:b/>
          <w:bCs/>
        </w:rPr>
        <w:t>ultadas:</w:t>
      </w:r>
    </w:p>
    <w:p w14:paraId="07303E93" w14:textId="60DD5389" w:rsidR="00D17D39" w:rsidRPr="00D17D39" w:rsidRDefault="00D17D39" w:rsidP="00D17D39">
      <w:pPr>
        <w:widowControl w:val="0"/>
        <w:spacing w:line="360" w:lineRule="auto"/>
        <w:ind w:right="-330"/>
        <w:jc w:val="both"/>
      </w:pPr>
    </w:p>
    <w:p w14:paraId="4BCE994F" w14:textId="77777777" w:rsidR="00D17D39" w:rsidRPr="00663CCA" w:rsidRDefault="00D17D39" w:rsidP="00663CCA">
      <w:pPr>
        <w:jc w:val="both"/>
        <w:rPr>
          <w:lang w:val="es-ES"/>
        </w:rPr>
      </w:pPr>
      <w:bookmarkStart w:id="0" w:name="_Hlk51689708"/>
      <w:r w:rsidRPr="00B46F1C">
        <w:t xml:space="preserve">ALCALÁ, Humberto Nogueira. </w:t>
      </w:r>
      <w:r w:rsidRPr="00663CCA">
        <w:rPr>
          <w:lang w:val="es-ES"/>
        </w:rPr>
        <w:t xml:space="preserve">El uso de las comunicaciones </w:t>
      </w:r>
      <w:proofErr w:type="spellStart"/>
      <w:r w:rsidRPr="00663CCA">
        <w:rPr>
          <w:lang w:val="es-ES"/>
        </w:rPr>
        <w:t>transjudiciales</w:t>
      </w:r>
      <w:proofErr w:type="spellEnd"/>
      <w:r w:rsidRPr="00663CCA">
        <w:rPr>
          <w:lang w:val="es-ES"/>
        </w:rPr>
        <w:t xml:space="preserve"> por parte de las jurisdicciones constitucionales en el derecho comparado y chileno. In: ALCALÁ, H. N.; ZELADA, L. G. </w:t>
      </w:r>
      <w:r w:rsidRPr="00663CCA">
        <w:rPr>
          <w:i/>
          <w:iCs/>
          <w:lang w:val="es-ES"/>
        </w:rPr>
        <w:t>Jurisprudencia del Tribunal Constitucional ante los derechos humanos y el derecho constitucional extranjero</w:t>
      </w:r>
      <w:r w:rsidRPr="00663CCA">
        <w:rPr>
          <w:lang w:val="es-ES"/>
        </w:rPr>
        <w:t xml:space="preserve">. Santiago: </w:t>
      </w:r>
      <w:proofErr w:type="spellStart"/>
      <w:r w:rsidRPr="00663CCA">
        <w:rPr>
          <w:lang w:val="es-ES"/>
        </w:rPr>
        <w:t>Librotecnia</w:t>
      </w:r>
      <w:proofErr w:type="spellEnd"/>
      <w:r w:rsidRPr="00663CCA">
        <w:rPr>
          <w:lang w:val="es-ES"/>
        </w:rPr>
        <w:t>, 2014. p. 509-570.</w:t>
      </w:r>
    </w:p>
    <w:p w14:paraId="4FDC4A7C" w14:textId="77777777" w:rsidR="00D17D39" w:rsidRPr="00663CCA" w:rsidRDefault="00D17D39" w:rsidP="00663CCA">
      <w:pPr>
        <w:rPr>
          <w:lang w:val="es-ES"/>
        </w:rPr>
      </w:pPr>
    </w:p>
    <w:p w14:paraId="19820CA7" w14:textId="58559186" w:rsidR="00D17D39" w:rsidRPr="00B46F1C" w:rsidRDefault="00D17D39" w:rsidP="00663CCA">
      <w:r w:rsidRPr="00663CCA">
        <w:rPr>
          <w:lang w:val="es-ES"/>
        </w:rPr>
        <w:t xml:space="preserve">BAZÁN, Víctor. El control de convencionalidad: incógnitas, desafíos y perspectivas. In: _____; NASH, Claudio. </w:t>
      </w:r>
      <w:r w:rsidRPr="00663CCA">
        <w:rPr>
          <w:i/>
          <w:lang w:val="es-ES"/>
        </w:rPr>
        <w:t xml:space="preserve">Justicia </w:t>
      </w:r>
      <w:proofErr w:type="spellStart"/>
      <w:r w:rsidRPr="00663CCA">
        <w:rPr>
          <w:i/>
          <w:lang w:val="es-ES"/>
        </w:rPr>
        <w:t>Constituciona</w:t>
      </w:r>
      <w:proofErr w:type="spellEnd"/>
      <w:r w:rsidRPr="00663CCA">
        <w:rPr>
          <w:i/>
          <w:lang w:val="es-CL"/>
        </w:rPr>
        <w:t>l y Derechos Fundamentales: El control de convencionalidad</w:t>
      </w:r>
      <w:r w:rsidRPr="00663CCA">
        <w:rPr>
          <w:lang w:val="es-CL"/>
        </w:rPr>
        <w:t xml:space="preserve">. </w:t>
      </w:r>
      <w:proofErr w:type="spellStart"/>
      <w:r w:rsidRPr="00B46F1C">
        <w:t>Colombia</w:t>
      </w:r>
      <w:proofErr w:type="spellEnd"/>
      <w:r w:rsidRPr="00B46F1C">
        <w:t xml:space="preserve">: </w:t>
      </w:r>
      <w:proofErr w:type="spellStart"/>
      <w:r w:rsidRPr="00B46F1C">
        <w:t>Unión</w:t>
      </w:r>
      <w:proofErr w:type="spellEnd"/>
      <w:r w:rsidRPr="00B46F1C">
        <w:t xml:space="preserve"> Gráfica, 2012. p. 17-55.</w:t>
      </w:r>
    </w:p>
    <w:p w14:paraId="2D2C2EDF" w14:textId="77777777" w:rsidR="00D17D39" w:rsidRPr="00663CCA" w:rsidRDefault="00D17D39" w:rsidP="00663CCA">
      <w:pPr>
        <w:jc w:val="both"/>
      </w:pPr>
    </w:p>
    <w:p w14:paraId="130EF070" w14:textId="77777777" w:rsidR="00D17D39" w:rsidRPr="00663CCA" w:rsidRDefault="00D17D39" w:rsidP="00663CCA">
      <w:pPr>
        <w:jc w:val="both"/>
      </w:pPr>
      <w:r w:rsidRPr="00663CCA">
        <w:t xml:space="preserve">BUCCI, Maria Paula Dallari. O conceito de política pública em direito. In:_____. </w:t>
      </w:r>
      <w:r w:rsidRPr="00663CCA">
        <w:rPr>
          <w:i/>
          <w:iCs/>
        </w:rPr>
        <w:t>Políticas Públicas: reflexões sobre o conceito jurídico</w:t>
      </w:r>
      <w:r w:rsidRPr="00663CCA">
        <w:t>. São Paulo: Saraiva, 2006.</w:t>
      </w:r>
    </w:p>
    <w:p w14:paraId="6634F53C" w14:textId="77777777" w:rsidR="00D17D39" w:rsidRPr="00B46F1C" w:rsidRDefault="00D17D39" w:rsidP="00663CCA">
      <w:pPr>
        <w:autoSpaceDE w:val="0"/>
        <w:autoSpaceDN w:val="0"/>
        <w:adjustRightInd w:val="0"/>
      </w:pPr>
    </w:p>
    <w:p w14:paraId="18B0E5AD" w14:textId="77777777" w:rsidR="00D17D39" w:rsidRPr="00B46F1C" w:rsidRDefault="00D17D39" w:rsidP="00663CCA">
      <w:pPr>
        <w:autoSpaceDE w:val="0"/>
        <w:autoSpaceDN w:val="0"/>
        <w:adjustRightInd w:val="0"/>
        <w:rPr>
          <w:lang w:val="es-ES"/>
        </w:rPr>
      </w:pPr>
      <w:r w:rsidRPr="00663CCA">
        <w:rPr>
          <w:lang w:val="es-ES"/>
        </w:rPr>
        <w:lastRenderedPageBreak/>
        <w:t xml:space="preserve">CANÇADO TRINTADE, </w:t>
      </w:r>
      <w:proofErr w:type="spellStart"/>
      <w:r w:rsidRPr="00663CCA">
        <w:rPr>
          <w:lang w:val="es-ES"/>
        </w:rPr>
        <w:t>Antônio</w:t>
      </w:r>
      <w:proofErr w:type="spellEnd"/>
      <w:r w:rsidRPr="00663CCA">
        <w:rPr>
          <w:lang w:val="es-ES"/>
        </w:rPr>
        <w:t xml:space="preserve"> Augusto. </w:t>
      </w:r>
      <w:r w:rsidRPr="00663CCA">
        <w:rPr>
          <w:i/>
          <w:iCs/>
          <w:lang w:val="es-ES"/>
        </w:rPr>
        <w:t>El ejercicio de la función judicial internacional: Memorias de la Corte Interamericana de Derechos Humanos</w:t>
      </w:r>
      <w:r w:rsidRPr="00663CCA">
        <w:rPr>
          <w:lang w:val="es-ES"/>
        </w:rPr>
        <w:t xml:space="preserve">. </w:t>
      </w:r>
      <w:r w:rsidRPr="00B46F1C">
        <w:rPr>
          <w:lang w:val="es-ES"/>
        </w:rPr>
        <w:t>Belo Horizonte: Del Rey, 2018.</w:t>
      </w:r>
    </w:p>
    <w:p w14:paraId="174C84D0" w14:textId="77777777" w:rsidR="00D17D39" w:rsidRPr="00B46F1C" w:rsidRDefault="00D17D39" w:rsidP="00663CCA">
      <w:pPr>
        <w:autoSpaceDE w:val="0"/>
        <w:autoSpaceDN w:val="0"/>
        <w:adjustRightInd w:val="0"/>
        <w:rPr>
          <w:lang w:val="es-ES"/>
        </w:rPr>
      </w:pPr>
    </w:p>
    <w:p w14:paraId="100B761D" w14:textId="6C7D2049" w:rsidR="00D17D39" w:rsidRPr="00B46F1C" w:rsidRDefault="00D17D39" w:rsidP="00663CCA">
      <w:pPr>
        <w:autoSpaceDE w:val="0"/>
        <w:autoSpaceDN w:val="0"/>
        <w:adjustRightInd w:val="0"/>
        <w:rPr>
          <w:lang w:val="en-US"/>
        </w:rPr>
      </w:pPr>
      <w:r w:rsidRPr="00663CCA">
        <w:rPr>
          <w:lang w:val="es-ES"/>
        </w:rPr>
        <w:t xml:space="preserve">FACHIN, Melina Girardi; SCHINEMANN, </w:t>
      </w:r>
      <w:proofErr w:type="spellStart"/>
      <w:r w:rsidRPr="00663CCA">
        <w:rPr>
          <w:lang w:val="es-ES"/>
        </w:rPr>
        <w:t>Caio</w:t>
      </w:r>
      <w:proofErr w:type="spellEnd"/>
      <w:r w:rsidRPr="00663CCA">
        <w:rPr>
          <w:lang w:val="es-ES"/>
        </w:rPr>
        <w:t xml:space="preserve"> Cesar Bueno. </w:t>
      </w:r>
      <w:r w:rsidRPr="00663CCA">
        <w:t xml:space="preserve">Decisões estruturantes na jurisdição constitucional brasileira: critérios processuais da tutela jurisdicional de direitos prestacionais. </w:t>
      </w:r>
      <w:proofErr w:type="spellStart"/>
      <w:r w:rsidRPr="00B46F1C">
        <w:rPr>
          <w:i/>
          <w:iCs/>
          <w:lang w:val="en-US"/>
        </w:rPr>
        <w:t>Revista</w:t>
      </w:r>
      <w:proofErr w:type="spellEnd"/>
      <w:r w:rsidRPr="00B46F1C">
        <w:rPr>
          <w:i/>
          <w:iCs/>
          <w:lang w:val="en-US"/>
        </w:rPr>
        <w:t xml:space="preserve"> </w:t>
      </w:r>
      <w:proofErr w:type="spellStart"/>
      <w:r w:rsidRPr="00B46F1C">
        <w:rPr>
          <w:i/>
          <w:iCs/>
          <w:lang w:val="en-US"/>
        </w:rPr>
        <w:t>Estudos</w:t>
      </w:r>
      <w:proofErr w:type="spellEnd"/>
      <w:r w:rsidRPr="00B46F1C">
        <w:rPr>
          <w:i/>
          <w:iCs/>
          <w:lang w:val="en-US"/>
        </w:rPr>
        <w:t xml:space="preserve"> </w:t>
      </w:r>
      <w:proofErr w:type="spellStart"/>
      <w:r w:rsidRPr="00B46F1C">
        <w:rPr>
          <w:i/>
          <w:iCs/>
          <w:lang w:val="en-US"/>
        </w:rPr>
        <w:t>Institucionais</w:t>
      </w:r>
      <w:proofErr w:type="spellEnd"/>
      <w:r w:rsidRPr="00B46F1C">
        <w:rPr>
          <w:lang w:val="en-US"/>
        </w:rPr>
        <w:t>, v. 4, n. 1, 2018, p. 211-246.</w:t>
      </w:r>
    </w:p>
    <w:p w14:paraId="7A8B322D" w14:textId="77777777" w:rsidR="00D17D39" w:rsidRPr="00B46F1C" w:rsidRDefault="00D17D39" w:rsidP="00663CCA">
      <w:pPr>
        <w:tabs>
          <w:tab w:val="num" w:pos="709"/>
        </w:tabs>
        <w:jc w:val="both"/>
        <w:rPr>
          <w:lang w:val="en-US"/>
        </w:rPr>
      </w:pPr>
    </w:p>
    <w:p w14:paraId="4910D3F2" w14:textId="77777777" w:rsidR="00D17D39" w:rsidRPr="00663CCA" w:rsidRDefault="00D17D39" w:rsidP="00663CCA">
      <w:pPr>
        <w:tabs>
          <w:tab w:val="num" w:pos="709"/>
        </w:tabs>
        <w:jc w:val="both"/>
        <w:rPr>
          <w:lang w:val="es-ES"/>
        </w:rPr>
      </w:pPr>
      <w:r w:rsidRPr="00663CCA">
        <w:rPr>
          <w:lang w:val="en-US"/>
        </w:rPr>
        <w:t xml:space="preserve">HOLMES, S; SUNSTEIN, C. R.; </w:t>
      </w:r>
      <w:r w:rsidRPr="00663CCA">
        <w:rPr>
          <w:i/>
          <w:iCs/>
          <w:lang w:val="en-US"/>
        </w:rPr>
        <w:t>The cost of rights: Why Liberty Depends on Taxes</w:t>
      </w:r>
      <w:r w:rsidRPr="00663CCA">
        <w:rPr>
          <w:lang w:val="en-US"/>
        </w:rPr>
        <w:t xml:space="preserve">. </w:t>
      </w:r>
      <w:r w:rsidRPr="00663CCA">
        <w:rPr>
          <w:lang w:val="es-ES"/>
        </w:rPr>
        <w:t>London: W. W. Norton &amp; Company, 2000.</w:t>
      </w:r>
    </w:p>
    <w:p w14:paraId="259FD58A" w14:textId="77777777" w:rsidR="00D17D39" w:rsidRPr="00663CCA" w:rsidRDefault="00D17D39" w:rsidP="00663CCA">
      <w:pPr>
        <w:tabs>
          <w:tab w:val="num" w:pos="709"/>
        </w:tabs>
        <w:jc w:val="both"/>
        <w:rPr>
          <w:lang w:val="es-ES"/>
        </w:rPr>
      </w:pPr>
    </w:p>
    <w:p w14:paraId="7FCFD4D0" w14:textId="77777777" w:rsidR="00D17D39" w:rsidRPr="00663CCA" w:rsidRDefault="00D17D39" w:rsidP="00663CCA">
      <w:r w:rsidRPr="00663CCA">
        <w:rPr>
          <w:lang w:val="es-ES"/>
        </w:rPr>
        <w:t xml:space="preserve">LANDA ARROYO, César. </w:t>
      </w:r>
      <w:r w:rsidRPr="00663CCA">
        <w:rPr>
          <w:i/>
          <w:iCs/>
          <w:lang w:val="es-ES"/>
        </w:rPr>
        <w:t>Convencionalización del Derecho peruano</w:t>
      </w:r>
      <w:r w:rsidRPr="00663CCA">
        <w:rPr>
          <w:lang w:val="es-ES"/>
        </w:rPr>
        <w:t xml:space="preserve">. </w:t>
      </w:r>
      <w:r w:rsidRPr="00663CCA">
        <w:t>Lima: Palestra, 2016.</w:t>
      </w:r>
    </w:p>
    <w:p w14:paraId="63242CEA" w14:textId="77777777" w:rsidR="00D17D39" w:rsidRPr="00663CCA" w:rsidRDefault="00D17D39" w:rsidP="00663CCA">
      <w:pPr>
        <w:pStyle w:val="FootnoteText"/>
        <w:rPr>
          <w:sz w:val="24"/>
          <w:szCs w:val="24"/>
        </w:rPr>
      </w:pPr>
    </w:p>
    <w:p w14:paraId="7DDC08DC" w14:textId="04930898" w:rsidR="00D17D39" w:rsidRPr="00663CCA" w:rsidRDefault="00D17D39" w:rsidP="00663CCA">
      <w:pPr>
        <w:pStyle w:val="FootnoteText"/>
        <w:rPr>
          <w:sz w:val="24"/>
          <w:szCs w:val="24"/>
        </w:rPr>
      </w:pPr>
      <w:r w:rsidRPr="00663CCA">
        <w:rPr>
          <w:sz w:val="24"/>
          <w:szCs w:val="24"/>
        </w:rPr>
        <w:t xml:space="preserve">LEAL, </w:t>
      </w:r>
      <w:proofErr w:type="spellStart"/>
      <w:r w:rsidRPr="00663CCA">
        <w:rPr>
          <w:sz w:val="24"/>
          <w:szCs w:val="24"/>
        </w:rPr>
        <w:t>Mônia</w:t>
      </w:r>
      <w:proofErr w:type="spellEnd"/>
      <w:r w:rsidRPr="00663CCA">
        <w:rPr>
          <w:sz w:val="24"/>
          <w:szCs w:val="24"/>
        </w:rPr>
        <w:t xml:space="preserve"> Clarissa </w:t>
      </w:r>
      <w:proofErr w:type="spellStart"/>
      <w:r w:rsidRPr="00663CCA">
        <w:rPr>
          <w:sz w:val="24"/>
          <w:szCs w:val="24"/>
        </w:rPr>
        <w:t>Hennig</w:t>
      </w:r>
      <w:proofErr w:type="spellEnd"/>
      <w:r w:rsidRPr="00663CCA">
        <w:rPr>
          <w:sz w:val="24"/>
          <w:szCs w:val="24"/>
        </w:rPr>
        <w:t xml:space="preserve">. “A Corte Interamericana de Direitos Humanos e o Supremo Tribunal Federal: diálogo entre Cortes?. In: SARLET, I. W.; NOGUEIRA ALCALÁ, H.; POMPEU, G. M.. </w:t>
      </w:r>
      <w:r w:rsidRPr="00663CCA">
        <w:rPr>
          <w:i/>
          <w:iCs/>
          <w:sz w:val="24"/>
          <w:szCs w:val="24"/>
        </w:rPr>
        <w:t>Direitos Fundamentais na perspectiva da democracia interamericana.</w:t>
      </w:r>
      <w:r w:rsidRPr="00663CCA">
        <w:rPr>
          <w:sz w:val="24"/>
          <w:szCs w:val="24"/>
        </w:rPr>
        <w:t xml:space="preserve"> Rio de Janeiro: </w:t>
      </w:r>
      <w:proofErr w:type="spellStart"/>
      <w:r w:rsidRPr="00663CCA">
        <w:rPr>
          <w:sz w:val="24"/>
          <w:szCs w:val="24"/>
        </w:rPr>
        <w:t>Lumen</w:t>
      </w:r>
      <w:proofErr w:type="spellEnd"/>
      <w:r w:rsidRPr="00663CCA">
        <w:rPr>
          <w:sz w:val="24"/>
          <w:szCs w:val="24"/>
        </w:rPr>
        <w:t xml:space="preserve"> Juris, 2019. p. 359-378.</w:t>
      </w:r>
    </w:p>
    <w:p w14:paraId="17BD5177" w14:textId="54EAF614" w:rsidR="002E724E" w:rsidRPr="00663CCA" w:rsidRDefault="002E724E" w:rsidP="00663CCA">
      <w:pPr>
        <w:pStyle w:val="FootnoteText"/>
        <w:rPr>
          <w:sz w:val="24"/>
          <w:szCs w:val="24"/>
        </w:rPr>
      </w:pPr>
    </w:p>
    <w:p w14:paraId="7C212A70" w14:textId="77777777" w:rsidR="002E724E" w:rsidRPr="00663CCA" w:rsidRDefault="002E724E" w:rsidP="00663CCA">
      <w:pPr>
        <w:pStyle w:val="NormalWeb"/>
        <w:shd w:val="clear" w:color="auto" w:fill="FFFFFF"/>
        <w:spacing w:before="0" w:beforeAutospacing="0" w:after="0" w:afterAutospacing="0"/>
      </w:pPr>
      <w:r w:rsidRPr="00663CCA">
        <w:t xml:space="preserve">LEITE, Rodrigo de Almeida. </w:t>
      </w:r>
      <w:r w:rsidRPr="00663CCA">
        <w:rPr>
          <w:i/>
          <w:iCs/>
        </w:rPr>
        <w:t>A Supervisão do Cumprimento de Sentenças da Corte Interamericana e do Tribunal Europeu de Direitos Humanos</w:t>
      </w:r>
      <w:r w:rsidRPr="00663CCA">
        <w:t xml:space="preserve">. Curitiba: </w:t>
      </w:r>
      <w:proofErr w:type="spellStart"/>
      <w:r w:rsidRPr="00663CCA">
        <w:t>Brazil</w:t>
      </w:r>
      <w:proofErr w:type="spellEnd"/>
      <w:r w:rsidRPr="00663CCA">
        <w:t xml:space="preserve"> </w:t>
      </w:r>
      <w:proofErr w:type="spellStart"/>
      <w:r w:rsidRPr="00663CCA">
        <w:t>Publishing</w:t>
      </w:r>
      <w:proofErr w:type="spellEnd"/>
      <w:r w:rsidRPr="00663CCA">
        <w:t>, 2020.</w:t>
      </w:r>
    </w:p>
    <w:p w14:paraId="7D4CE9C9" w14:textId="77777777" w:rsidR="00D17D39" w:rsidRPr="00663CCA" w:rsidRDefault="00D17D39" w:rsidP="00663CCA"/>
    <w:p w14:paraId="46B2F9C3" w14:textId="77777777" w:rsidR="00D17D39" w:rsidRPr="00663CCA" w:rsidRDefault="00D17D39" w:rsidP="00663CCA">
      <w:r w:rsidRPr="00663CCA">
        <w:t xml:space="preserve">MAGALHÃES, B. B.; SOARES, D. R. M.; VASCONCELOS, G. S.. O Cumprimento das Medidas de Reparação de Adequação Legislativa no Sistema Interamericano de Direitos Humanos: a Formação de Coalizões Pró-Cumprimento no Brasil e Argentina. In: MAUÉS, </w:t>
      </w:r>
      <w:proofErr w:type="spellStart"/>
      <w:r w:rsidRPr="00663CCA">
        <w:t>Antonio</w:t>
      </w:r>
      <w:proofErr w:type="spellEnd"/>
      <w:r w:rsidRPr="00663CCA">
        <w:t xml:space="preserve"> Moreira; MAGALHÃES, Breno Baía. </w:t>
      </w:r>
      <w:r w:rsidRPr="00663CCA">
        <w:rPr>
          <w:i/>
          <w:iCs/>
        </w:rPr>
        <w:t>O Cumprimento das Sentenças da Corte Interamericana de Direitos Humanos</w:t>
      </w:r>
      <w:r w:rsidRPr="00663CCA">
        <w:t xml:space="preserve">. Rio de Janeiro: </w:t>
      </w:r>
      <w:proofErr w:type="spellStart"/>
      <w:r w:rsidRPr="00663CCA">
        <w:t>Lumen</w:t>
      </w:r>
      <w:proofErr w:type="spellEnd"/>
      <w:r w:rsidRPr="00663CCA">
        <w:t xml:space="preserve"> Juris, 2017. p. 231-268.</w:t>
      </w:r>
    </w:p>
    <w:p w14:paraId="5B2496AA" w14:textId="77777777" w:rsidR="00D17D39" w:rsidRPr="00663CCA" w:rsidRDefault="00D17D39" w:rsidP="00663CCA">
      <w:pPr>
        <w:pStyle w:val="Default"/>
        <w:rPr>
          <w:rFonts w:ascii="Times New Roman" w:hAnsi="Times New Roman" w:cs="Times New Roman"/>
          <w:color w:val="auto"/>
        </w:rPr>
      </w:pPr>
    </w:p>
    <w:p w14:paraId="25B4D605" w14:textId="77777777" w:rsidR="00D17D39" w:rsidRPr="00663CCA" w:rsidRDefault="00D17D39" w:rsidP="00663CCA">
      <w:pPr>
        <w:pStyle w:val="Default"/>
        <w:rPr>
          <w:rFonts w:ascii="Times New Roman" w:hAnsi="Times New Roman" w:cs="Times New Roman"/>
          <w:color w:val="auto"/>
        </w:rPr>
      </w:pPr>
      <w:r w:rsidRPr="00663CCA">
        <w:rPr>
          <w:rFonts w:ascii="Times New Roman" w:hAnsi="Times New Roman" w:cs="Times New Roman"/>
          <w:color w:val="auto"/>
        </w:rPr>
        <w:t xml:space="preserve">MAZUOLLI, Valério de Oliveira. </w:t>
      </w:r>
      <w:r w:rsidRPr="00663CCA">
        <w:rPr>
          <w:rFonts w:ascii="Times New Roman" w:hAnsi="Times New Roman" w:cs="Times New Roman"/>
          <w:i/>
          <w:iCs/>
          <w:color w:val="auto"/>
        </w:rPr>
        <w:t xml:space="preserve">Controle </w:t>
      </w:r>
      <w:proofErr w:type="spellStart"/>
      <w:r w:rsidRPr="00663CCA">
        <w:rPr>
          <w:rFonts w:ascii="Times New Roman" w:hAnsi="Times New Roman" w:cs="Times New Roman"/>
          <w:i/>
          <w:iCs/>
          <w:color w:val="auto"/>
        </w:rPr>
        <w:t>jurisdiccional</w:t>
      </w:r>
      <w:proofErr w:type="spellEnd"/>
      <w:r w:rsidRPr="00663CCA">
        <w:rPr>
          <w:rFonts w:ascii="Times New Roman" w:hAnsi="Times New Roman" w:cs="Times New Roman"/>
          <w:i/>
          <w:iCs/>
          <w:color w:val="auto"/>
        </w:rPr>
        <w:t xml:space="preserve"> da convencionalidade das leis</w:t>
      </w:r>
      <w:r w:rsidRPr="00663CCA">
        <w:rPr>
          <w:rFonts w:ascii="Times New Roman" w:hAnsi="Times New Roman" w:cs="Times New Roman"/>
          <w:color w:val="auto"/>
        </w:rPr>
        <w:t>. 5. Ed. Rio de Janeiro: Forense, 2018.</w:t>
      </w:r>
    </w:p>
    <w:p w14:paraId="258344A0" w14:textId="77777777" w:rsidR="00D17D39" w:rsidRPr="00663CCA" w:rsidRDefault="00D17D39" w:rsidP="00663CCA">
      <w:pPr>
        <w:pStyle w:val="Default"/>
        <w:rPr>
          <w:rFonts w:ascii="Times New Roman" w:hAnsi="Times New Roman" w:cs="Times New Roman"/>
          <w:color w:val="auto"/>
        </w:rPr>
      </w:pPr>
    </w:p>
    <w:p w14:paraId="0E3DC722" w14:textId="16AE3BA9" w:rsidR="00D17D39" w:rsidRPr="00663CCA" w:rsidRDefault="00D17D39" w:rsidP="00663CCA">
      <w:pPr>
        <w:pStyle w:val="Default"/>
        <w:rPr>
          <w:rFonts w:ascii="Times New Roman" w:hAnsi="Times New Roman" w:cs="Times New Roman"/>
          <w:lang w:val="es-ES"/>
        </w:rPr>
      </w:pPr>
      <w:r w:rsidRPr="00663CCA">
        <w:rPr>
          <w:rFonts w:ascii="Times New Roman" w:hAnsi="Times New Roman" w:cs="Times New Roman"/>
        </w:rPr>
        <w:t xml:space="preserve">MEDINA QUIROGA, Cecilia; NASH ROJAS, Cláudio. </w:t>
      </w:r>
      <w:r w:rsidRPr="00663CCA">
        <w:rPr>
          <w:rFonts w:ascii="Times New Roman" w:hAnsi="Times New Roman" w:cs="Times New Roman"/>
          <w:i/>
          <w:iCs/>
          <w:lang w:val="es-ES"/>
        </w:rPr>
        <w:t>Sistema Interamericano de Derechos Humanos: Introducción a sus Mecanismos de Protección</w:t>
      </w:r>
      <w:r w:rsidRPr="00663CCA">
        <w:rPr>
          <w:rFonts w:ascii="Times New Roman" w:hAnsi="Times New Roman" w:cs="Times New Roman"/>
          <w:lang w:val="es-ES"/>
        </w:rPr>
        <w:t xml:space="preserve">. Santiago: Andros </w:t>
      </w:r>
      <w:proofErr w:type="spellStart"/>
      <w:r w:rsidRPr="00663CCA">
        <w:rPr>
          <w:rFonts w:ascii="Times New Roman" w:hAnsi="Times New Roman" w:cs="Times New Roman"/>
          <w:lang w:val="es-ES"/>
        </w:rPr>
        <w:t>Impressores</w:t>
      </w:r>
      <w:proofErr w:type="spellEnd"/>
      <w:r w:rsidRPr="00663CCA">
        <w:rPr>
          <w:rFonts w:ascii="Times New Roman" w:hAnsi="Times New Roman" w:cs="Times New Roman"/>
          <w:lang w:val="es-ES"/>
        </w:rPr>
        <w:t xml:space="preserve">, 2017.  </w:t>
      </w:r>
    </w:p>
    <w:p w14:paraId="353376FF" w14:textId="77777777" w:rsidR="00D17D39" w:rsidRPr="00663CCA" w:rsidRDefault="00D17D39" w:rsidP="00663CCA">
      <w:pPr>
        <w:pStyle w:val="Default"/>
        <w:rPr>
          <w:rFonts w:ascii="Times New Roman" w:hAnsi="Times New Roman" w:cs="Times New Roman"/>
          <w:lang w:val="es-ES"/>
        </w:rPr>
      </w:pPr>
    </w:p>
    <w:p w14:paraId="3B1AFF49" w14:textId="41B25FC0" w:rsidR="00D17D39" w:rsidRPr="00B46F1C" w:rsidRDefault="00D17D39" w:rsidP="00663CCA">
      <w:pPr>
        <w:pStyle w:val="Default"/>
        <w:rPr>
          <w:rFonts w:ascii="Times New Roman" w:hAnsi="Times New Roman" w:cs="Times New Roman"/>
          <w:color w:val="auto"/>
          <w:lang w:val="es-ES"/>
        </w:rPr>
      </w:pPr>
      <w:r w:rsidRPr="00663CCA">
        <w:rPr>
          <w:rFonts w:ascii="Times New Roman" w:hAnsi="Times New Roman" w:cs="Times New Roman"/>
          <w:color w:val="auto"/>
          <w:lang w:val="es-ES"/>
        </w:rPr>
        <w:t xml:space="preserve">OSUNA, Néstor.  Las sentencias estructurales. </w:t>
      </w:r>
      <w:proofErr w:type="spellStart"/>
      <w:r w:rsidRPr="00663CCA">
        <w:rPr>
          <w:rFonts w:ascii="Times New Roman" w:hAnsi="Times New Roman" w:cs="Times New Roman"/>
          <w:color w:val="auto"/>
          <w:lang w:val="es-ES"/>
        </w:rPr>
        <w:t>Três</w:t>
      </w:r>
      <w:proofErr w:type="spellEnd"/>
      <w:r w:rsidRPr="00663CCA">
        <w:rPr>
          <w:rFonts w:ascii="Times New Roman" w:hAnsi="Times New Roman" w:cs="Times New Roman"/>
          <w:color w:val="auto"/>
          <w:lang w:val="es-ES"/>
        </w:rPr>
        <w:t xml:space="preserve"> ejemplos de </w:t>
      </w:r>
      <w:proofErr w:type="spellStart"/>
      <w:r w:rsidRPr="00663CCA">
        <w:rPr>
          <w:rFonts w:ascii="Times New Roman" w:hAnsi="Times New Roman" w:cs="Times New Roman"/>
          <w:color w:val="auto"/>
          <w:lang w:val="es-ES"/>
        </w:rPr>
        <w:t>Colômbia</w:t>
      </w:r>
      <w:proofErr w:type="spellEnd"/>
      <w:r w:rsidRPr="00663CCA">
        <w:rPr>
          <w:rFonts w:ascii="Times New Roman" w:hAnsi="Times New Roman" w:cs="Times New Roman"/>
          <w:color w:val="auto"/>
          <w:lang w:val="es-ES"/>
        </w:rPr>
        <w:t xml:space="preserve">. In: BAZÁN, </w:t>
      </w:r>
      <w:proofErr w:type="spellStart"/>
      <w:r w:rsidRPr="00663CCA">
        <w:rPr>
          <w:rFonts w:ascii="Times New Roman" w:hAnsi="Times New Roman" w:cs="Times New Roman"/>
          <w:color w:val="auto"/>
          <w:lang w:val="es-ES"/>
        </w:rPr>
        <w:t>Victor</w:t>
      </w:r>
      <w:proofErr w:type="spellEnd"/>
      <w:r w:rsidRPr="00663CCA">
        <w:rPr>
          <w:rFonts w:ascii="Times New Roman" w:hAnsi="Times New Roman" w:cs="Times New Roman"/>
          <w:color w:val="auto"/>
          <w:lang w:val="es-ES"/>
        </w:rPr>
        <w:t xml:space="preserve">. </w:t>
      </w:r>
      <w:r w:rsidRPr="00663CCA">
        <w:rPr>
          <w:rFonts w:ascii="Times New Roman" w:hAnsi="Times New Roman" w:cs="Times New Roman"/>
          <w:i/>
          <w:iCs/>
          <w:color w:val="auto"/>
          <w:lang w:val="es-ES"/>
        </w:rPr>
        <w:t xml:space="preserve">Justicia constitucional y derechos fundamentales. La protección de los derechos sociales. </w:t>
      </w:r>
      <w:r w:rsidRPr="00B46F1C">
        <w:rPr>
          <w:rFonts w:ascii="Times New Roman" w:hAnsi="Times New Roman" w:cs="Times New Roman"/>
          <w:i/>
          <w:iCs/>
          <w:color w:val="auto"/>
          <w:lang w:val="es-ES"/>
        </w:rPr>
        <w:t>Las sentencias estructurales.</w:t>
      </w:r>
      <w:r w:rsidRPr="00B46F1C">
        <w:rPr>
          <w:rFonts w:ascii="Times New Roman" w:hAnsi="Times New Roman" w:cs="Times New Roman"/>
          <w:color w:val="auto"/>
          <w:lang w:val="es-ES"/>
        </w:rPr>
        <w:t xml:space="preserve"> Bogotá: </w:t>
      </w:r>
      <w:proofErr w:type="spellStart"/>
      <w:r w:rsidRPr="00B46F1C">
        <w:rPr>
          <w:rFonts w:ascii="Times New Roman" w:hAnsi="Times New Roman" w:cs="Times New Roman"/>
          <w:color w:val="auto"/>
          <w:lang w:val="es-ES"/>
        </w:rPr>
        <w:t>Fundação</w:t>
      </w:r>
      <w:proofErr w:type="spellEnd"/>
      <w:r w:rsidRPr="00B46F1C">
        <w:rPr>
          <w:rFonts w:ascii="Times New Roman" w:hAnsi="Times New Roman" w:cs="Times New Roman"/>
          <w:color w:val="auto"/>
          <w:lang w:val="es-ES"/>
        </w:rPr>
        <w:t xml:space="preserve"> Konrad Adenauer, 2015. p. 91-116.</w:t>
      </w:r>
    </w:p>
    <w:p w14:paraId="15C0700F" w14:textId="77777777" w:rsidR="00D17D39" w:rsidRPr="00B46F1C" w:rsidRDefault="00D17D39" w:rsidP="00663CCA">
      <w:pPr>
        <w:tabs>
          <w:tab w:val="left" w:pos="284"/>
          <w:tab w:val="left" w:pos="426"/>
        </w:tabs>
        <w:rPr>
          <w:lang w:val="es-ES"/>
        </w:rPr>
      </w:pPr>
    </w:p>
    <w:bookmarkEnd w:id="0"/>
    <w:p w14:paraId="25DA8936" w14:textId="28BA8464" w:rsidR="00D17D39" w:rsidRPr="00663CCA" w:rsidRDefault="00D17D39" w:rsidP="00663CCA">
      <w:pPr>
        <w:jc w:val="both"/>
        <w:rPr>
          <w:color w:val="C00000"/>
          <w:lang w:val="es-ES"/>
        </w:rPr>
      </w:pPr>
      <w:r w:rsidRPr="00663CCA">
        <w:rPr>
          <w:lang w:val="es-ES_tradnl"/>
        </w:rPr>
        <w:t xml:space="preserve">SUBIRATS, Joan et al. </w:t>
      </w:r>
      <w:r w:rsidRPr="00663CCA">
        <w:rPr>
          <w:i/>
          <w:lang w:val="es-ES_tradnl"/>
        </w:rPr>
        <w:t>Análisis y gestión de políticas públicas</w:t>
      </w:r>
      <w:r w:rsidRPr="00663CCA">
        <w:rPr>
          <w:lang w:val="es-ES_tradnl"/>
        </w:rPr>
        <w:t xml:space="preserve">. </w:t>
      </w:r>
      <w:r w:rsidRPr="00663CCA">
        <w:rPr>
          <w:lang w:val="es-ES"/>
        </w:rPr>
        <w:t>Barcelona: Planeta, 2012.</w:t>
      </w:r>
    </w:p>
    <w:sectPr w:rsidR="00D17D39" w:rsidRPr="00663CCA" w:rsidSect="0036153C">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0D13" w14:textId="77777777" w:rsidR="004904F5" w:rsidRDefault="004904F5" w:rsidP="00646E7E">
      <w:r>
        <w:separator/>
      </w:r>
    </w:p>
  </w:endnote>
  <w:endnote w:type="continuationSeparator" w:id="0">
    <w:p w14:paraId="72E39FDD" w14:textId="77777777" w:rsidR="004904F5" w:rsidRDefault="004904F5" w:rsidP="006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50143" w14:textId="77777777" w:rsidR="004904F5" w:rsidRDefault="004904F5" w:rsidP="00646E7E">
      <w:r>
        <w:separator/>
      </w:r>
    </w:p>
  </w:footnote>
  <w:footnote w:type="continuationSeparator" w:id="0">
    <w:p w14:paraId="084E41CC" w14:textId="77777777" w:rsidR="004904F5" w:rsidRDefault="004904F5" w:rsidP="00646E7E">
      <w:r>
        <w:continuationSeparator/>
      </w:r>
    </w:p>
  </w:footnote>
  <w:footnote w:id="1">
    <w:p w14:paraId="3D9EF5B3" w14:textId="04EE5548" w:rsidR="0036153C" w:rsidRPr="006B2BB7" w:rsidRDefault="0036153C" w:rsidP="006B2BB7">
      <w:pPr>
        <w:pStyle w:val="FootnoteText"/>
        <w:ind w:left="142" w:hanging="142"/>
        <w:jc w:val="both"/>
      </w:pPr>
      <w:r w:rsidRPr="006B2BB7">
        <w:rPr>
          <w:rStyle w:val="FootnoteReference"/>
        </w:rPr>
        <w:footnoteRef/>
      </w:r>
      <w:r w:rsidR="006B2BB7">
        <w:t xml:space="preserve"> </w:t>
      </w:r>
      <w:r w:rsidR="006B2BB7">
        <w:tab/>
      </w:r>
      <w:r w:rsidRPr="006B2BB7">
        <w:t>Este artigo foi realizado com apoio da Coordenação de Aperfeiçoamento de Pessoal de Nível Superior – Brasil (CAPES) – Código de Financiamento 001, e é resultante das atividades do projeto de pesquisa ““Fórmulas” de aferição da “margem de apreciação do legislador” (</w:t>
      </w:r>
      <w:proofErr w:type="spellStart"/>
      <w:r w:rsidRPr="006B2BB7">
        <w:t>Beurteiligungsspielraum</w:t>
      </w:r>
      <w:proofErr w:type="spellEnd"/>
      <w:r w:rsidRPr="006B2BB7">
        <w:t xml:space="preserve"> </w:t>
      </w:r>
      <w:proofErr w:type="spellStart"/>
      <w:r w:rsidRPr="006B2BB7">
        <w:t>des</w:t>
      </w:r>
      <w:proofErr w:type="spellEnd"/>
      <w:r w:rsidRPr="006B2BB7">
        <w:t xml:space="preserve"> </w:t>
      </w:r>
      <w:proofErr w:type="spellStart"/>
      <w:r w:rsidRPr="006B2BB7">
        <w:t>Gesetzgebers</w:t>
      </w:r>
      <w:proofErr w:type="spellEnd"/>
      <w:r w:rsidRPr="006B2BB7">
        <w:t>) na conformação de políticas públicas de inclusão social e de proteção de minorias pelo Supremo Tribunal Federal e pela Corte Interamericana de Direitos Humanos”, financiado pelo CNPq (Edital Universal – Edital 14/2014 – Processo 454740/2014-0) e pela FAPERGS (Programa Pesquisador Gaúcho – Edital 02/2014 – Processo 2351-2551/14-5). A pesquisa é vinculada ao Grupo de Pesquisa “Jurisdição Constitucional aberta” (CNPq) e desenvolvida junto ao Centro Integrado de Estudos e Pesquisas em Políticas Públicas – CIEPPP (financiado pelo FINEP) e ao Observatório da Jurisdição Constitucional Latino-Americana (financiado pelo FINEP), ligados ao Programa de Pós-Graduação em Direito – Mestrado e Doutorado da Universidade de Santa Cruz do Sul – UNISC.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A59A9"/>
    <w:rsid w:val="0018529F"/>
    <w:rsid w:val="0020054E"/>
    <w:rsid w:val="00270FDD"/>
    <w:rsid w:val="002E724E"/>
    <w:rsid w:val="0036153C"/>
    <w:rsid w:val="00484068"/>
    <w:rsid w:val="004904F5"/>
    <w:rsid w:val="004A2EB8"/>
    <w:rsid w:val="004C430C"/>
    <w:rsid w:val="00550499"/>
    <w:rsid w:val="00596825"/>
    <w:rsid w:val="005B3758"/>
    <w:rsid w:val="005B6653"/>
    <w:rsid w:val="00603CE9"/>
    <w:rsid w:val="00646E7E"/>
    <w:rsid w:val="00663CCA"/>
    <w:rsid w:val="006B2BB7"/>
    <w:rsid w:val="00844166"/>
    <w:rsid w:val="00870E69"/>
    <w:rsid w:val="008C00E0"/>
    <w:rsid w:val="0099182E"/>
    <w:rsid w:val="009A7209"/>
    <w:rsid w:val="009B16A0"/>
    <w:rsid w:val="009F0055"/>
    <w:rsid w:val="00AE427B"/>
    <w:rsid w:val="00B46F1C"/>
    <w:rsid w:val="00B60B9B"/>
    <w:rsid w:val="00C05624"/>
    <w:rsid w:val="00C35757"/>
    <w:rsid w:val="00CB1BBB"/>
    <w:rsid w:val="00D11BFE"/>
    <w:rsid w:val="00D17D39"/>
    <w:rsid w:val="00D26EE6"/>
    <w:rsid w:val="00D54BF0"/>
    <w:rsid w:val="00DA518A"/>
    <w:rsid w:val="00E14A86"/>
    <w:rsid w:val="00E35B4F"/>
    <w:rsid w:val="00E55D80"/>
    <w:rsid w:val="00EE76D1"/>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3C"/>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paragraph" w:styleId="FootnoteText">
    <w:name w:val="footnote text"/>
    <w:aliases w:val="Char,Footnote reference,FA Fu,Footnote Text Char Char Char Char Char,Footnote Text Char Char Char Char,Footnote Text Char Char Char,Footnote Text Cha,FA Fußnotentext,FA Fuﬂnotentext,Texto nota pie Car,Footnote Text Char Char,Ca"/>
    <w:basedOn w:val="Normal"/>
    <w:link w:val="FootnoteTextChar"/>
    <w:uiPriority w:val="99"/>
    <w:qFormat/>
    <w:rsid w:val="0036153C"/>
    <w:rPr>
      <w:sz w:val="20"/>
      <w:szCs w:val="20"/>
    </w:rPr>
  </w:style>
  <w:style w:type="character" w:customStyle="1" w:styleId="FootnoteTextChar">
    <w:name w:val="Footnote Text Char"/>
    <w:aliases w:val="Char Char,Footnote reference Char,FA Fu Char,Footnote Text Char Char Char Char Char Char,Footnote Text Char Char Char Char Char1,Footnote Text Char Char Char Char1,Footnote Text Cha Char,FA Fußnotentext Char,FA Fuﬂnotentext Char"/>
    <w:basedOn w:val="DefaultParagraphFont"/>
    <w:link w:val="FootnoteText"/>
    <w:uiPriority w:val="99"/>
    <w:rsid w:val="0036153C"/>
    <w:rPr>
      <w:rFonts w:ascii="Times New Roman" w:eastAsia="Times New Roman" w:hAnsi="Times New Roman" w:cs="Times New Roman"/>
      <w:sz w:val="20"/>
      <w:szCs w:val="20"/>
      <w:lang w:eastAsia="pt-BR"/>
    </w:rPr>
  </w:style>
  <w:style w:type="character" w:styleId="FootnoteReference">
    <w:name w:val="footnote reference"/>
    <w:uiPriority w:val="99"/>
    <w:semiHidden/>
    <w:rsid w:val="0036153C"/>
    <w:rPr>
      <w:vertAlign w:val="superscript"/>
    </w:rPr>
  </w:style>
  <w:style w:type="character" w:customStyle="1" w:styleId="orcid-id-https">
    <w:name w:val="orcid-id-https"/>
    <w:rsid w:val="0036153C"/>
  </w:style>
  <w:style w:type="paragraph" w:styleId="ListParagraph">
    <w:name w:val="List Paragraph"/>
    <w:basedOn w:val="Normal"/>
    <w:uiPriority w:val="34"/>
    <w:qFormat/>
    <w:rsid w:val="00D17D3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17D39"/>
    <w:pPr>
      <w:autoSpaceDE w:val="0"/>
      <w:autoSpaceDN w:val="0"/>
      <w:adjustRightInd w:val="0"/>
      <w:spacing w:after="0" w:line="240" w:lineRule="auto"/>
    </w:pPr>
    <w:rPr>
      <w:rFonts w:ascii="Verdana" w:hAnsi="Verdana" w:cs="Verdana"/>
      <w:color w:val="000000"/>
      <w:sz w:val="24"/>
      <w:szCs w:val="24"/>
    </w:rPr>
  </w:style>
  <w:style w:type="character" w:customStyle="1" w:styleId="A7">
    <w:name w:val="A7"/>
    <w:uiPriority w:val="99"/>
    <w:rsid w:val="00D17D39"/>
    <w:rPr>
      <w:color w:val="000000"/>
      <w:sz w:val="20"/>
      <w:szCs w:val="20"/>
    </w:rPr>
  </w:style>
  <w:style w:type="paragraph" w:styleId="NormalWeb">
    <w:name w:val="Normal (Web)"/>
    <w:basedOn w:val="Normal"/>
    <w:uiPriority w:val="99"/>
    <w:unhideWhenUsed/>
    <w:rsid w:val="002E72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5644-06F9-4F67-8EC2-133E23FE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17</cp:revision>
  <cp:lastPrinted>2020-10-10T20:41:00Z</cp:lastPrinted>
  <dcterms:created xsi:type="dcterms:W3CDTF">2020-10-26T18:12:00Z</dcterms:created>
  <dcterms:modified xsi:type="dcterms:W3CDTF">2020-11-17T19:48:00Z</dcterms:modified>
</cp:coreProperties>
</file>