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D532" w14:textId="77777777" w:rsidR="00F67E1D" w:rsidRDefault="00F67E1D" w:rsidP="00F67E1D">
      <w:pPr>
        <w:spacing w:after="0" w:line="240" w:lineRule="auto"/>
        <w:jc w:val="center"/>
        <w:rPr>
          <w:rFonts w:ascii="Arial" w:hAnsi="Arial" w:cs="Arial"/>
          <w:b/>
          <w:bCs/>
          <w:color w:val="002F3C"/>
        </w:rPr>
      </w:pPr>
      <w:bookmarkStart w:id="0" w:name="_Hlk207228142"/>
      <w:r w:rsidRPr="00A91E3A">
        <w:rPr>
          <w:rFonts w:ascii="Arial" w:hAnsi="Arial" w:cs="Arial"/>
          <w:b/>
          <w:bCs/>
          <w:color w:val="002F3C"/>
        </w:rPr>
        <w:t>Projeto Atlas: Capacitação Docente e Metodologias Inovadoras STEAM no Município de Itacoatiara</w:t>
      </w:r>
    </w:p>
    <w:p w14:paraId="40F2C717" w14:textId="77777777" w:rsidR="00F67E1D" w:rsidRPr="004B1D01" w:rsidRDefault="00F67E1D" w:rsidP="00F67E1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Sara de Araújo Moraes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professora -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EE0000"/>
          <w:sz w:val="20"/>
          <w:szCs w:val="20"/>
        </w:rPr>
        <w:t>saranykolas@gmail.com</w:t>
      </w:r>
      <w:r w:rsidRPr="00893E22">
        <w:rPr>
          <w:rFonts w:ascii="Arial" w:hAnsi="Arial" w:cs="Arial"/>
          <w:b/>
          <w:bCs/>
          <w:color w:val="EE0000"/>
          <w:sz w:val="20"/>
          <w:szCs w:val="20"/>
        </w:rPr>
        <w:t xml:space="preserve"> </w:t>
      </w:r>
    </w:p>
    <w:p w14:paraId="3CCC94CC" w14:textId="77777777" w:rsidR="00F67E1D" w:rsidRPr="004B1D01" w:rsidRDefault="00F67E1D" w:rsidP="00F67E1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Rogério Jacinto de Moraes Júnior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Doutorado</w:t>
      </w:r>
    </w:p>
    <w:p w14:paraId="0F752EFA" w14:textId="2A7DE6F4" w:rsidR="00F67E1D" w:rsidRPr="004B1D01" w:rsidRDefault="004878BA" w:rsidP="00F67E1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Gabriele Vitória Silva Feijó</w:t>
      </w:r>
      <w:r w:rsidR="00F67E1D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SEMED</w:t>
      </w:r>
      <w:r w:rsidR="00F67E1D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Fundamental II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75F0B95F" w14:textId="3B11EFF0" w:rsidR="004878BA" w:rsidRDefault="004878BA" w:rsidP="00F67E1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Levy Gustavo de Souza Soares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SEMED</w:t>
      </w:r>
      <w:r w:rsidR="00F67E1D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Pr="004878B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Fundamental II</w:t>
      </w:r>
    </w:p>
    <w:p w14:paraId="6F55F0B5" w14:textId="0879A084" w:rsidR="00F67E1D" w:rsidRDefault="004878BA" w:rsidP="00F67E1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Richard Gabriel Freitas da Cruz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SEMED 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Pr="004878B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Fundamental II </w:t>
      </w:r>
    </w:p>
    <w:p w14:paraId="33B9944F" w14:textId="77777777" w:rsidR="004878BA" w:rsidRDefault="004878BA" w:rsidP="00F67E1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4F004949" w14:textId="77777777" w:rsidR="00F67E1D" w:rsidRDefault="00F67E1D" w:rsidP="00F67E1D">
      <w:pPr>
        <w:spacing w:after="0" w:line="240" w:lineRule="auto"/>
        <w:jc w:val="both"/>
        <w:rPr>
          <w:rFonts w:ascii="Arial" w:hAnsi="Arial" w:cs="Arial"/>
          <w:b/>
          <w:bCs/>
          <w:color w:val="002F3C"/>
        </w:rPr>
      </w:pPr>
      <w:r w:rsidRPr="004878BA">
        <w:rPr>
          <w:rFonts w:ascii="Arial" w:hAnsi="Arial" w:cs="Arial"/>
          <w:b/>
          <w:bCs/>
          <w:color w:val="002F3C"/>
        </w:rPr>
        <w:t>Eixo 01 - Inovação, Educação Especial e Inclusão em contextos amazônicos: explorar metodologias; processos educativos inovadores; experiências, práticas; tecnologias em espaços educacionais amazônicos</w:t>
      </w:r>
    </w:p>
    <w:p w14:paraId="59B34945" w14:textId="77777777" w:rsidR="004C7E5C" w:rsidRPr="004878BA" w:rsidRDefault="004C7E5C" w:rsidP="00F67E1D">
      <w:pPr>
        <w:spacing w:after="0" w:line="240" w:lineRule="auto"/>
        <w:jc w:val="both"/>
        <w:rPr>
          <w:rFonts w:ascii="Arial" w:hAnsi="Arial" w:cs="Arial"/>
          <w:b/>
          <w:bCs/>
          <w:color w:val="002F3C"/>
        </w:rPr>
      </w:pPr>
    </w:p>
    <w:p w14:paraId="2E7C9C51" w14:textId="1B945BE9" w:rsidR="004878BA" w:rsidRPr="004878BA" w:rsidRDefault="004878BA" w:rsidP="004C7E5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78BA">
        <w:rPr>
          <w:rFonts w:ascii="Arial" w:hAnsi="Arial" w:cs="Arial"/>
        </w:rPr>
        <w:t xml:space="preserve">O Projeto Atlas, desenvolvido em Itacoatiara em parceria com a Universidade Federal do Amazonas (UFAM) por meio do Instituto de Ciências Exatas e Tecnologia (ICET), teve como foco o mapeamento das dificuldades de aprendizagem da educação básica e a integração da comunidade escolar com a universidade. A iniciativa surgiu </w:t>
      </w:r>
      <w:r>
        <w:rPr>
          <w:rFonts w:ascii="Arial" w:hAnsi="Arial" w:cs="Arial"/>
        </w:rPr>
        <w:t xml:space="preserve">da necessidade </w:t>
      </w:r>
      <w:r w:rsidRPr="004878BA">
        <w:rPr>
          <w:rFonts w:ascii="Arial" w:hAnsi="Arial" w:cs="Arial"/>
        </w:rPr>
        <w:t>para enfrentar lacunas de aprendizagem em Matemática, Ciências e Tecnologia. Inspirado em metodologias ativas e na abordagem STEAM (Ciência, Tecnologia, Engenharia, Artes e Matemática), articulou teoria e prática em atividades semanais que impactaram docentes, discentes e a comunidade.</w:t>
      </w:r>
    </w:p>
    <w:p w14:paraId="7D85A3DE" w14:textId="4FC01F86" w:rsidR="004878BA" w:rsidRPr="004878BA" w:rsidRDefault="004878BA" w:rsidP="004C7E5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78BA">
        <w:rPr>
          <w:rFonts w:ascii="Arial" w:hAnsi="Arial" w:cs="Arial"/>
        </w:rPr>
        <w:t xml:space="preserve">O objetivo central foi capacitar </w:t>
      </w:r>
      <w:r>
        <w:rPr>
          <w:rFonts w:ascii="Arial" w:hAnsi="Arial" w:cs="Arial"/>
        </w:rPr>
        <w:t xml:space="preserve">e atualizar </w:t>
      </w:r>
      <w:r w:rsidRPr="004878BA">
        <w:rPr>
          <w:rFonts w:ascii="Arial" w:hAnsi="Arial" w:cs="Arial"/>
        </w:rPr>
        <w:t xml:space="preserve">professores das redes estadual e municipal, fortalecendo suas práticas pedagógicas com metodologias inovadoras baseadas na abordagem STEAM. Paralelamente, buscou-se proporcionar aos alunos experiências </w:t>
      </w:r>
      <w:r>
        <w:rPr>
          <w:rFonts w:ascii="Arial" w:hAnsi="Arial" w:cs="Arial"/>
        </w:rPr>
        <w:t xml:space="preserve">de aprendizagens </w:t>
      </w:r>
      <w:r w:rsidRPr="004878BA">
        <w:rPr>
          <w:rFonts w:ascii="Arial" w:hAnsi="Arial" w:cs="Arial"/>
        </w:rPr>
        <w:t>significativas que estimulassem autonomia, raciocínio lógico e criatividade, contribuindo para corrigir lacunas escolares</w:t>
      </w:r>
      <w:r>
        <w:rPr>
          <w:rFonts w:ascii="Arial" w:hAnsi="Arial" w:cs="Arial"/>
        </w:rPr>
        <w:t xml:space="preserve"> detectadas no processo escolar</w:t>
      </w:r>
      <w:r w:rsidRPr="004878BA">
        <w:rPr>
          <w:rFonts w:ascii="Arial" w:hAnsi="Arial" w:cs="Arial"/>
        </w:rPr>
        <w:t>.</w:t>
      </w:r>
    </w:p>
    <w:p w14:paraId="0AEC70B1" w14:textId="0BD113CA" w:rsidR="004878BA" w:rsidRPr="004878BA" w:rsidRDefault="004878BA" w:rsidP="004C7E5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78BA">
        <w:rPr>
          <w:rFonts w:ascii="Arial" w:hAnsi="Arial" w:cs="Arial"/>
        </w:rPr>
        <w:t>A metodologia envolveu encontros semanais de formação no ICET, onde monitores e preceptores elaboravam planos de aula</w:t>
      </w:r>
      <w:r>
        <w:rPr>
          <w:rFonts w:ascii="Arial" w:hAnsi="Arial" w:cs="Arial"/>
        </w:rPr>
        <w:t xml:space="preserve">, </w:t>
      </w:r>
      <w:r w:rsidRPr="004878BA">
        <w:rPr>
          <w:rFonts w:ascii="Arial" w:hAnsi="Arial" w:cs="Arial"/>
        </w:rPr>
        <w:t>discutiam estratégias</w:t>
      </w:r>
      <w:r>
        <w:rPr>
          <w:rFonts w:ascii="Arial" w:hAnsi="Arial" w:cs="Arial"/>
        </w:rPr>
        <w:t xml:space="preserve"> e recebiam orientações</w:t>
      </w:r>
      <w:r w:rsidRPr="004878BA">
        <w:rPr>
          <w:rFonts w:ascii="Arial" w:hAnsi="Arial" w:cs="Arial"/>
        </w:rPr>
        <w:t>. Aos sábados, alunos de escolas municipais e estaduais participavam de atividades em álgebra, geometria e lógica, sempre com o estudante como protagonista do conhecimento.</w:t>
      </w:r>
    </w:p>
    <w:p w14:paraId="2BABDF4A" w14:textId="793A9F74" w:rsidR="004878BA" w:rsidRPr="004878BA" w:rsidRDefault="004878BA" w:rsidP="004C7E5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78BA">
        <w:rPr>
          <w:rFonts w:ascii="Arial" w:hAnsi="Arial" w:cs="Arial"/>
        </w:rPr>
        <w:t>Foram</w:t>
      </w:r>
      <w:r>
        <w:rPr>
          <w:rFonts w:ascii="Arial" w:hAnsi="Arial" w:cs="Arial"/>
        </w:rPr>
        <w:t xml:space="preserve"> utilizadas metodologias ativas</w:t>
      </w:r>
      <w:r w:rsidRPr="004878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como </w:t>
      </w:r>
      <w:r w:rsidRPr="004878BA">
        <w:rPr>
          <w:rFonts w:ascii="Arial" w:hAnsi="Arial" w:cs="Arial"/>
        </w:rPr>
        <w:t xml:space="preserve">jogos matemáticos, desafios lógicos e recursos digitais, aproximando a Matemática do cotidiano. Entre as práticas destacaram-se jogos online, Torre de Hanói, </w:t>
      </w:r>
      <w:proofErr w:type="spellStart"/>
      <w:r w:rsidRPr="004878BA">
        <w:rPr>
          <w:rFonts w:ascii="Arial" w:hAnsi="Arial" w:cs="Arial"/>
        </w:rPr>
        <w:t>Tangram</w:t>
      </w:r>
      <w:proofErr w:type="spellEnd"/>
      <w:r w:rsidRPr="004878BA">
        <w:rPr>
          <w:rFonts w:ascii="Arial" w:hAnsi="Arial" w:cs="Arial"/>
        </w:rPr>
        <w:t xml:space="preserve"> </w:t>
      </w:r>
      <w:proofErr w:type="spellStart"/>
      <w:r w:rsidRPr="004878BA">
        <w:rPr>
          <w:rFonts w:ascii="Arial" w:hAnsi="Arial" w:cs="Arial"/>
        </w:rPr>
        <w:t>Matemágico</w:t>
      </w:r>
      <w:proofErr w:type="spellEnd"/>
      <w:r w:rsidRPr="004878BA">
        <w:rPr>
          <w:rFonts w:ascii="Arial" w:hAnsi="Arial" w:cs="Arial"/>
        </w:rPr>
        <w:t xml:space="preserve"> e atividades </w:t>
      </w:r>
      <w:r w:rsidRPr="004878BA">
        <w:rPr>
          <w:rFonts w:ascii="Arial" w:hAnsi="Arial" w:cs="Arial"/>
        </w:rPr>
        <w:lastRenderedPageBreak/>
        <w:t>lúdicas. Também foi criado um laboratório interativo em três escolas</w:t>
      </w:r>
      <w:r>
        <w:rPr>
          <w:rFonts w:ascii="Arial" w:hAnsi="Arial" w:cs="Arial"/>
        </w:rPr>
        <w:t xml:space="preserve"> da cidade</w:t>
      </w:r>
      <w:r w:rsidRPr="004878BA">
        <w:rPr>
          <w:rFonts w:ascii="Arial" w:hAnsi="Arial" w:cs="Arial"/>
        </w:rPr>
        <w:t>, apresentado em exposições externas com ampla participação da comunidade.</w:t>
      </w:r>
    </w:p>
    <w:p w14:paraId="7BA1DB11" w14:textId="76BE8DC8" w:rsidR="004878BA" w:rsidRPr="004878BA" w:rsidRDefault="004878BA" w:rsidP="004C7E5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78BA">
        <w:rPr>
          <w:rFonts w:ascii="Arial" w:hAnsi="Arial" w:cs="Arial"/>
          <w:color w:val="002F3C"/>
        </w:rPr>
        <w:t>O impacto do Projeto Atlas foi perceptível em diferentes dimensões</w:t>
      </w:r>
      <w:r w:rsidRPr="004878BA">
        <w:rPr>
          <w:rFonts w:ascii="Arial" w:hAnsi="Arial" w:cs="Arial"/>
        </w:rPr>
        <w:t xml:space="preserve">. Para licenciandos em Ciências: Matemática e Física, houve ampliação das práticas pedagógicas e maior integração entre teoria e prática, </w:t>
      </w:r>
      <w:r w:rsidRPr="002A58C5">
        <w:rPr>
          <w:rFonts w:ascii="Arial" w:hAnsi="Arial" w:cs="Arial"/>
          <w:color w:val="002F3C"/>
        </w:rPr>
        <w:t>A formação semanal contribuiu para o fortalecimento da aprendizagem d</w:t>
      </w:r>
      <w:r>
        <w:rPr>
          <w:rFonts w:ascii="Arial" w:hAnsi="Arial" w:cs="Arial"/>
          <w:color w:val="002F3C"/>
        </w:rPr>
        <w:t xml:space="preserve">esses discentes </w:t>
      </w:r>
      <w:r w:rsidRPr="004878BA">
        <w:rPr>
          <w:rFonts w:ascii="Arial" w:hAnsi="Arial" w:cs="Arial"/>
        </w:rPr>
        <w:t>alinhada à BNCC e as demandas do Novo Ensino Médio. Para alunos da educação básica, as atividades despertaram interesse pelas disciplinas Matemática e Ciências de forma pratica, divertida e envolvente, melhoraram o desempenho escolar e reduziram lacunas de aprendizagem. Para a comunidade, o projeto aproximou a universidade da realidade escolar, promovendo uma integração e fortalecendo a educação como processo coletivo.</w:t>
      </w:r>
    </w:p>
    <w:p w14:paraId="0B5E1C6E" w14:textId="77777777" w:rsidR="004878BA" w:rsidRPr="004878BA" w:rsidRDefault="004878BA" w:rsidP="004C7E5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78BA">
        <w:rPr>
          <w:rFonts w:ascii="Arial" w:hAnsi="Arial" w:cs="Arial"/>
        </w:rPr>
        <w:t>O Projeto Atlas demonstrou que a integração entre universidade, escola e comunidade gera resultados significativos na formação docente e discente. A abordagem STEAM mostrou-se eficaz para dinamizar a prática pedagógica e despertar o interesse dos alunos, contribuindo para a valorização da formação continuada e para o fortalecimento dos vínculos entre ensino superior e educação básica.</w:t>
      </w:r>
    </w:p>
    <w:p w14:paraId="3E0EC671" w14:textId="77777777" w:rsidR="004C7E5C" w:rsidRDefault="004C7E5C" w:rsidP="00F67E1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bookmarkStart w:id="1" w:name="_Hlk207229017"/>
    </w:p>
    <w:p w14:paraId="52FF63BB" w14:textId="5CCCF639" w:rsidR="00F67E1D" w:rsidRPr="00F80F49" w:rsidRDefault="00F67E1D" w:rsidP="00F67E1D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F80F49">
        <w:rPr>
          <w:rFonts w:ascii="Arial" w:hAnsi="Arial" w:cs="Arial"/>
          <w:b/>
          <w:bCs/>
          <w:color w:val="002F3C"/>
        </w:rPr>
        <w:t>Referências</w:t>
      </w:r>
    </w:p>
    <w:p w14:paraId="2AA1E5D6" w14:textId="77777777" w:rsidR="00F67E1D" w:rsidRPr="00F80F49" w:rsidRDefault="00F67E1D" w:rsidP="00F67E1D">
      <w:pPr>
        <w:spacing w:line="360" w:lineRule="auto"/>
        <w:rPr>
          <w:rFonts w:ascii="Arial" w:hAnsi="Arial" w:cs="Arial"/>
          <w:color w:val="002F3C"/>
        </w:rPr>
      </w:pPr>
      <w:r w:rsidRPr="00F80F49">
        <w:rPr>
          <w:rFonts w:ascii="Arial" w:hAnsi="Arial" w:cs="Arial"/>
          <w:color w:val="002F3C"/>
        </w:rPr>
        <w:t xml:space="preserve">BRASIL. </w:t>
      </w:r>
      <w:r w:rsidRPr="00F80F49">
        <w:rPr>
          <w:rFonts w:ascii="Arial" w:hAnsi="Arial" w:cs="Arial"/>
          <w:b/>
          <w:bCs/>
          <w:color w:val="002F3C"/>
        </w:rPr>
        <w:t>Base Nacional Comum Curricular</w:t>
      </w:r>
      <w:r w:rsidRPr="00F80F49">
        <w:rPr>
          <w:rFonts w:ascii="Arial" w:hAnsi="Arial" w:cs="Arial"/>
          <w:color w:val="002F3C"/>
        </w:rPr>
        <w:t>. Brasília: MEC, 2018.</w:t>
      </w:r>
      <w:r w:rsidRPr="00F80F49">
        <w:rPr>
          <w:rFonts w:ascii="Arial" w:hAnsi="Arial" w:cs="Arial"/>
          <w:color w:val="002F3C"/>
        </w:rPr>
        <w:br/>
        <w:t xml:space="preserve">FREIRE, P. </w:t>
      </w:r>
      <w:r w:rsidRPr="00F80F49">
        <w:rPr>
          <w:rFonts w:ascii="Arial" w:hAnsi="Arial" w:cs="Arial"/>
          <w:b/>
          <w:bCs/>
          <w:color w:val="002F3C"/>
        </w:rPr>
        <w:t>Pedagogia da autonomia: saberes necessários à prática educativa</w:t>
      </w:r>
      <w:r w:rsidRPr="00F80F49">
        <w:rPr>
          <w:rFonts w:ascii="Arial" w:hAnsi="Arial" w:cs="Arial"/>
          <w:color w:val="002F3C"/>
        </w:rPr>
        <w:t>. São Paulo: Paz e Terra, 1996.</w:t>
      </w:r>
      <w:r w:rsidRPr="00F80F49">
        <w:rPr>
          <w:rFonts w:ascii="Arial" w:hAnsi="Arial" w:cs="Arial"/>
          <w:color w:val="002F3C"/>
        </w:rPr>
        <w:br/>
        <w:t xml:space="preserve">MORAN, J. </w:t>
      </w:r>
      <w:r w:rsidRPr="00F80F49">
        <w:rPr>
          <w:rFonts w:ascii="Arial" w:hAnsi="Arial" w:cs="Arial"/>
          <w:b/>
          <w:bCs/>
          <w:color w:val="002F3C"/>
        </w:rPr>
        <w:t>Metodologias ativas para uma educação inovadora</w:t>
      </w:r>
      <w:r w:rsidRPr="00F80F49">
        <w:rPr>
          <w:rFonts w:ascii="Arial" w:hAnsi="Arial" w:cs="Arial"/>
          <w:color w:val="002F3C"/>
        </w:rPr>
        <w:t>. Porto Alegre: Penso, 2018.</w:t>
      </w:r>
      <w:bookmarkEnd w:id="1"/>
      <w:r w:rsidRPr="00F80F49">
        <w:rPr>
          <w:rFonts w:ascii="Arial" w:hAnsi="Arial" w:cs="Arial"/>
          <w:color w:val="002F3C"/>
        </w:rPr>
        <w:br/>
      </w:r>
    </w:p>
    <w:bookmarkEnd w:id="0"/>
    <w:p w14:paraId="1FFB019C" w14:textId="77777777" w:rsidR="00F67E1D" w:rsidRPr="00B7405F" w:rsidRDefault="00F67E1D" w:rsidP="00F67E1D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7B79805B" w14:textId="77777777" w:rsidR="00F67E1D" w:rsidRDefault="00F67E1D"/>
    <w:sectPr w:rsidR="00F67E1D" w:rsidSect="004C7E5C">
      <w:headerReference w:type="default" r:id="rId6"/>
      <w:footerReference w:type="default" r:id="rId7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05B53" w14:textId="77777777" w:rsidR="005D7303" w:rsidRDefault="005D7303">
      <w:pPr>
        <w:spacing w:after="0" w:line="240" w:lineRule="auto"/>
      </w:pPr>
      <w:r>
        <w:separator/>
      </w:r>
    </w:p>
  </w:endnote>
  <w:endnote w:type="continuationSeparator" w:id="0">
    <w:p w14:paraId="36F7DAFB" w14:textId="77777777" w:rsidR="005D7303" w:rsidRDefault="005D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55E8" w14:textId="77777777" w:rsidR="00D5487C" w:rsidRDefault="00D5487C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4A8F3B3" wp14:editId="7099F942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7990B" w14:textId="77777777" w:rsidR="00D5487C" w:rsidRDefault="00D5487C">
    <w:pPr>
      <w:pStyle w:val="Rodap"/>
      <w:rPr>
        <w:noProof/>
      </w:rPr>
    </w:pPr>
  </w:p>
  <w:p w14:paraId="78D72D42" w14:textId="77777777" w:rsidR="00D5487C" w:rsidRDefault="00D5487C">
    <w:pPr>
      <w:pStyle w:val="Rodap"/>
    </w:pPr>
  </w:p>
  <w:p w14:paraId="71F03D40" w14:textId="77777777" w:rsidR="00D5487C" w:rsidRDefault="00D548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FBD4" w14:textId="77777777" w:rsidR="005D7303" w:rsidRDefault="005D7303">
      <w:pPr>
        <w:spacing w:after="0" w:line="240" w:lineRule="auto"/>
      </w:pPr>
      <w:r>
        <w:separator/>
      </w:r>
    </w:p>
  </w:footnote>
  <w:footnote w:type="continuationSeparator" w:id="0">
    <w:p w14:paraId="7C8763EA" w14:textId="77777777" w:rsidR="005D7303" w:rsidRDefault="005D7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8DAB" w14:textId="77777777" w:rsidR="00D5487C" w:rsidRDefault="00D5487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7E38D92" wp14:editId="4FBB0483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F1D50F" w14:textId="77777777" w:rsidR="00D5487C" w:rsidRDefault="00D5487C">
    <w:pPr>
      <w:pStyle w:val="Cabealho"/>
    </w:pPr>
  </w:p>
  <w:p w14:paraId="58873E58" w14:textId="77777777" w:rsidR="00D5487C" w:rsidRDefault="00D548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1D"/>
    <w:rsid w:val="00081EF2"/>
    <w:rsid w:val="00403825"/>
    <w:rsid w:val="004878BA"/>
    <w:rsid w:val="004C6C2E"/>
    <w:rsid w:val="004C7E5C"/>
    <w:rsid w:val="005D7303"/>
    <w:rsid w:val="00695DE7"/>
    <w:rsid w:val="00D5487C"/>
    <w:rsid w:val="00F6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B475"/>
  <w15:chartTrackingRefBased/>
  <w15:docId w15:val="{472C5EC4-3D5D-4942-BDEC-2D5CFBA5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E1D"/>
    <w:pPr>
      <w:spacing w:line="278" w:lineRule="auto"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7E1D"/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F67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7E1D"/>
    <w:rPr>
      <w:rFonts w:eastAsiaTheme="minorEastAsia"/>
      <w:kern w:val="2"/>
      <w:sz w:val="24"/>
      <w:szCs w:val="24"/>
      <w:lang w:eastAsia="zh-CN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87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4878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7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5746</TotalTime>
  <Pages>2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Samsung</dc:creator>
  <cp:keywords/>
  <dc:description/>
  <cp:lastModifiedBy>Rogerio Jacinto de Moraes Jr Moraes</cp:lastModifiedBy>
  <cp:revision>2</cp:revision>
  <dcterms:created xsi:type="dcterms:W3CDTF">2025-08-28T18:54:00Z</dcterms:created>
  <dcterms:modified xsi:type="dcterms:W3CDTF">2025-09-02T09:59:00Z</dcterms:modified>
</cp:coreProperties>
</file>