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284"/>
        <w:jc w:val="center"/>
        <w:rPr>
          <w:b/>
          <w:color w:val="000000"/>
          <w:lang w:val="pt-BR"/>
        </w:rPr>
      </w:pPr>
      <w:r w:rsidRPr="00B02756">
        <w:rPr>
          <w:lang w:val="pt-BR"/>
        </w:rPr>
        <w:t xml:space="preserve">     </w:t>
      </w:r>
      <w:r w:rsidRPr="00B02756">
        <w:rPr>
          <w:b/>
          <w:color w:val="000000"/>
          <w:lang w:val="pt-BR"/>
        </w:rPr>
        <w:t xml:space="preserve"> SEGURANÇA EM MODI</w:t>
      </w:r>
      <w:sdt>
        <w:sdtPr>
          <w:tag w:val="goog_rdk_0"/>
          <w:id w:val="2145763595"/>
        </w:sdtPr>
        <w:sdtEndPr/>
        <w:sdtContent/>
      </w:sdt>
      <w:r w:rsidRPr="00B02756">
        <w:rPr>
          <w:b/>
          <w:color w:val="000000"/>
          <w:lang w:val="pt-BR"/>
        </w:rPr>
        <w:t xml:space="preserve">FICAÇÕES CORPORAIS: ANÁLISE DAS PRÁTICAS DE BIOSSEGURANÇA EM TATUAGENS </w:t>
      </w:r>
      <w:r w:rsidRPr="00B02756">
        <w:rPr>
          <w:b/>
          <w:color w:val="000000"/>
          <w:lang w:val="pt-BR"/>
        </w:rPr>
        <w:t>E PIERCINGS NO VALE DO PARAÍBA</w:t>
      </w:r>
    </w:p>
    <w:p w14:paraId="00000002" w14:textId="77777777" w:rsidR="007047E4" w:rsidRPr="00B02756" w:rsidRDefault="007047E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284"/>
        <w:jc w:val="center"/>
        <w:rPr>
          <w:b/>
          <w:color w:val="000000"/>
          <w:sz w:val="18"/>
          <w:szCs w:val="18"/>
          <w:lang w:val="pt-BR"/>
        </w:rPr>
      </w:pPr>
    </w:p>
    <w:p w14:paraId="00000003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color w:val="000000"/>
          <w:sz w:val="20"/>
          <w:szCs w:val="20"/>
          <w:lang w:val="pt-BR"/>
        </w:rPr>
      </w:pPr>
      <w:r w:rsidRPr="00B02756">
        <w:rPr>
          <w:color w:val="000000"/>
          <w:lang w:val="pt-BR"/>
        </w:rPr>
        <w:t xml:space="preserve">Categoria do Trabalho – Resumo Expandido </w:t>
      </w:r>
    </w:p>
    <w:p w14:paraId="00000004" w14:textId="77777777" w:rsidR="007047E4" w:rsidRPr="00B02756" w:rsidRDefault="007047E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i/>
          <w:color w:val="000000"/>
          <w:lang w:val="pt-BR"/>
        </w:rPr>
      </w:pPr>
    </w:p>
    <w:p w14:paraId="00000005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i/>
          <w:color w:val="000000"/>
          <w:lang w:val="pt-BR"/>
        </w:rPr>
      </w:pPr>
      <w:r w:rsidRPr="00B02756">
        <w:rPr>
          <w:i/>
          <w:color w:val="000000"/>
          <w:lang w:val="pt-BR"/>
        </w:rPr>
        <w:t xml:space="preserve">Antônio José Marcondes – Graduando em Jornalismo - </w:t>
      </w:r>
      <w:proofErr w:type="spellStart"/>
      <w:r w:rsidRPr="00B02756">
        <w:rPr>
          <w:i/>
          <w:color w:val="000000"/>
          <w:lang w:val="pt-BR"/>
        </w:rPr>
        <w:t>Unifatea</w:t>
      </w:r>
      <w:proofErr w:type="spellEnd"/>
    </w:p>
    <w:p w14:paraId="00000006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i/>
          <w:color w:val="000000"/>
          <w:lang w:val="pt-BR"/>
        </w:rPr>
      </w:pPr>
      <w:r w:rsidRPr="00B02756">
        <w:rPr>
          <w:i/>
          <w:color w:val="000000"/>
          <w:lang w:val="pt-BR"/>
        </w:rPr>
        <w:t xml:space="preserve">João Gabriel </w:t>
      </w:r>
      <w:proofErr w:type="spellStart"/>
      <w:r w:rsidRPr="00B02756">
        <w:rPr>
          <w:i/>
          <w:color w:val="000000"/>
          <w:lang w:val="pt-BR"/>
        </w:rPr>
        <w:t>Geribello</w:t>
      </w:r>
      <w:proofErr w:type="spellEnd"/>
      <w:r w:rsidRPr="00B02756">
        <w:rPr>
          <w:i/>
          <w:color w:val="000000"/>
          <w:lang w:val="pt-BR"/>
        </w:rPr>
        <w:t xml:space="preserve"> Da Silva – Graduando em Jornalismo - </w:t>
      </w:r>
      <w:proofErr w:type="spellStart"/>
      <w:r w:rsidRPr="00B02756">
        <w:rPr>
          <w:i/>
          <w:color w:val="000000"/>
          <w:lang w:val="pt-BR"/>
        </w:rPr>
        <w:t>Unifatea</w:t>
      </w:r>
      <w:proofErr w:type="spellEnd"/>
    </w:p>
    <w:p w14:paraId="00000007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i/>
          <w:color w:val="000000"/>
          <w:lang w:val="pt-BR"/>
        </w:rPr>
      </w:pPr>
      <w:r w:rsidRPr="00B02756">
        <w:rPr>
          <w:i/>
          <w:color w:val="000000"/>
          <w:lang w:val="pt-BR"/>
        </w:rPr>
        <w:t xml:space="preserve">Júlia Mira </w:t>
      </w:r>
      <w:proofErr w:type="spellStart"/>
      <w:r w:rsidRPr="00B02756">
        <w:rPr>
          <w:i/>
          <w:color w:val="000000"/>
          <w:lang w:val="pt-BR"/>
        </w:rPr>
        <w:t>Areco</w:t>
      </w:r>
      <w:proofErr w:type="spellEnd"/>
      <w:r w:rsidRPr="00B02756">
        <w:rPr>
          <w:i/>
          <w:color w:val="000000"/>
          <w:lang w:val="pt-BR"/>
        </w:rPr>
        <w:t xml:space="preserve"> - Graduanda em Publicidade e Propaganda - </w:t>
      </w:r>
      <w:proofErr w:type="spellStart"/>
      <w:r w:rsidRPr="00B02756">
        <w:rPr>
          <w:i/>
          <w:color w:val="000000"/>
          <w:lang w:val="pt-BR"/>
        </w:rPr>
        <w:t>Unifatea</w:t>
      </w:r>
      <w:proofErr w:type="spellEnd"/>
    </w:p>
    <w:p w14:paraId="00000008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i/>
          <w:color w:val="000000"/>
          <w:lang w:val="pt-BR"/>
        </w:rPr>
      </w:pPr>
      <w:proofErr w:type="spellStart"/>
      <w:r w:rsidRPr="00B02756">
        <w:rPr>
          <w:i/>
          <w:color w:val="000000"/>
          <w:lang w:val="pt-BR"/>
        </w:rPr>
        <w:t>Juliany</w:t>
      </w:r>
      <w:proofErr w:type="spellEnd"/>
      <w:r w:rsidRPr="00B02756">
        <w:rPr>
          <w:i/>
          <w:color w:val="000000"/>
          <w:lang w:val="pt-BR"/>
        </w:rPr>
        <w:t xml:space="preserve"> Nogueira Pinheiro de Lima – Graduanda em Publicidad</w:t>
      </w:r>
      <w:r w:rsidRPr="00B02756">
        <w:rPr>
          <w:i/>
          <w:color w:val="000000"/>
          <w:lang w:val="pt-BR"/>
        </w:rPr>
        <w:t xml:space="preserve">e e Propaganda - </w:t>
      </w:r>
      <w:proofErr w:type="spellStart"/>
      <w:r w:rsidRPr="00B02756">
        <w:rPr>
          <w:i/>
          <w:color w:val="000000"/>
          <w:lang w:val="pt-BR"/>
        </w:rPr>
        <w:t>Unifatea</w:t>
      </w:r>
      <w:proofErr w:type="spellEnd"/>
    </w:p>
    <w:p w14:paraId="00000009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i/>
          <w:color w:val="000000"/>
          <w:lang w:val="pt-BR"/>
        </w:rPr>
      </w:pPr>
      <w:r w:rsidRPr="00B02756">
        <w:rPr>
          <w:i/>
          <w:color w:val="000000"/>
          <w:lang w:val="pt-BR"/>
        </w:rPr>
        <w:t xml:space="preserve">Maria Eduarda Lemes Dos Santos – Graduanda em Publicidade e Propaganda - </w:t>
      </w:r>
      <w:proofErr w:type="spellStart"/>
      <w:r w:rsidRPr="00B02756">
        <w:rPr>
          <w:i/>
          <w:color w:val="000000"/>
          <w:lang w:val="pt-BR"/>
        </w:rPr>
        <w:t>Unifatea</w:t>
      </w:r>
      <w:proofErr w:type="spellEnd"/>
    </w:p>
    <w:p w14:paraId="0000000A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i/>
          <w:color w:val="000000"/>
          <w:lang w:val="pt-BR"/>
        </w:rPr>
      </w:pPr>
      <w:r w:rsidRPr="00B02756">
        <w:rPr>
          <w:i/>
          <w:color w:val="000000"/>
          <w:lang w:val="pt-BR"/>
        </w:rPr>
        <w:t xml:space="preserve">Maria Eduarda Toledo Moreira Lima – Graduanda em Publicidade e Propaganda - </w:t>
      </w:r>
      <w:proofErr w:type="spellStart"/>
      <w:r w:rsidRPr="00B02756">
        <w:rPr>
          <w:i/>
          <w:color w:val="000000"/>
          <w:lang w:val="pt-BR"/>
        </w:rPr>
        <w:t>Unifatea</w:t>
      </w:r>
      <w:proofErr w:type="spellEnd"/>
    </w:p>
    <w:p w14:paraId="0000000B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i/>
          <w:color w:val="000000"/>
          <w:lang w:val="pt-BR"/>
        </w:rPr>
      </w:pPr>
      <w:r w:rsidRPr="00B02756">
        <w:rPr>
          <w:i/>
          <w:color w:val="000000"/>
          <w:lang w:val="pt-BR"/>
        </w:rPr>
        <w:t xml:space="preserve">Rafaella </w:t>
      </w:r>
      <w:proofErr w:type="spellStart"/>
      <w:r w:rsidRPr="00B02756">
        <w:rPr>
          <w:i/>
          <w:color w:val="000000"/>
          <w:lang w:val="pt-BR"/>
        </w:rPr>
        <w:t>Pellicciotti</w:t>
      </w:r>
      <w:proofErr w:type="spellEnd"/>
      <w:r w:rsidRPr="00B02756">
        <w:rPr>
          <w:i/>
          <w:color w:val="000000"/>
          <w:lang w:val="pt-BR"/>
        </w:rPr>
        <w:t xml:space="preserve"> Tavares de Oliveira – Graduanda em Public</w:t>
      </w:r>
      <w:r w:rsidRPr="00B02756">
        <w:rPr>
          <w:i/>
          <w:color w:val="000000"/>
          <w:lang w:val="pt-BR"/>
        </w:rPr>
        <w:t xml:space="preserve">idade e Propaganda – </w:t>
      </w:r>
      <w:proofErr w:type="spellStart"/>
      <w:r w:rsidRPr="00B02756">
        <w:rPr>
          <w:i/>
          <w:color w:val="000000"/>
          <w:lang w:val="pt-BR"/>
        </w:rPr>
        <w:t>Unifatea</w:t>
      </w:r>
      <w:proofErr w:type="spellEnd"/>
    </w:p>
    <w:p w14:paraId="0000000C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i/>
          <w:color w:val="000000"/>
          <w:shd w:val="clear" w:color="auto" w:fill="FAFAFA"/>
          <w:lang w:val="pt-BR"/>
        </w:rPr>
      </w:pPr>
      <w:r w:rsidRPr="00B02756">
        <w:rPr>
          <w:i/>
          <w:color w:val="000000"/>
          <w:shd w:val="clear" w:color="auto" w:fill="FAFAFA"/>
          <w:lang w:val="pt-BR"/>
        </w:rPr>
        <w:t xml:space="preserve">Prof. Me. Pedro Henrique Monteiro </w:t>
      </w:r>
      <w:proofErr w:type="spellStart"/>
      <w:r w:rsidRPr="00B02756">
        <w:rPr>
          <w:i/>
          <w:color w:val="000000"/>
          <w:shd w:val="clear" w:color="auto" w:fill="FAFAFA"/>
          <w:lang w:val="pt-BR"/>
        </w:rPr>
        <w:t>Whately</w:t>
      </w:r>
      <w:proofErr w:type="spellEnd"/>
      <w:r w:rsidRPr="00B02756">
        <w:rPr>
          <w:i/>
          <w:color w:val="000000"/>
          <w:shd w:val="clear" w:color="auto" w:fill="FAFAFA"/>
          <w:lang w:val="pt-BR"/>
        </w:rPr>
        <w:t xml:space="preserve"> Martins – Professor </w:t>
      </w:r>
      <w:proofErr w:type="spellStart"/>
      <w:r w:rsidRPr="00B02756">
        <w:rPr>
          <w:i/>
          <w:color w:val="000000"/>
          <w:shd w:val="clear" w:color="auto" w:fill="FAFAFA"/>
          <w:lang w:val="pt-BR"/>
        </w:rPr>
        <w:t>Unifatea</w:t>
      </w:r>
      <w:proofErr w:type="spellEnd"/>
    </w:p>
    <w:p w14:paraId="0000000D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i/>
          <w:color w:val="000000"/>
          <w:shd w:val="clear" w:color="auto" w:fill="FAFAFA"/>
          <w:lang w:val="pt-BR"/>
        </w:rPr>
      </w:pPr>
      <w:r w:rsidRPr="00B02756">
        <w:rPr>
          <w:i/>
          <w:color w:val="000000"/>
          <w:shd w:val="clear" w:color="auto" w:fill="FAFAFA"/>
          <w:lang w:val="pt-BR"/>
        </w:rPr>
        <w:t xml:space="preserve">Prof. Me. Diego de Magalhães Barreto - Professor </w:t>
      </w:r>
      <w:proofErr w:type="spellStart"/>
      <w:r w:rsidRPr="00B02756">
        <w:rPr>
          <w:i/>
          <w:color w:val="000000"/>
          <w:shd w:val="clear" w:color="auto" w:fill="FAFAFA"/>
          <w:lang w:val="pt-BR"/>
        </w:rPr>
        <w:t>Unifatea</w:t>
      </w:r>
      <w:proofErr w:type="spellEnd"/>
    </w:p>
    <w:p w14:paraId="0000000E" w14:textId="77777777" w:rsidR="007047E4" w:rsidRPr="00B02756" w:rsidRDefault="007047E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i/>
          <w:color w:val="000000"/>
          <w:lang w:val="pt-BR"/>
        </w:rPr>
      </w:pPr>
    </w:p>
    <w:p w14:paraId="0000000F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B02756">
        <w:rPr>
          <w:b/>
          <w:color w:val="000000"/>
          <w:lang w:val="pt-BR"/>
        </w:rPr>
        <w:t>RESUMO</w:t>
      </w:r>
    </w:p>
    <w:p w14:paraId="00000010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>No mundo atual existe uma grande carência relacionada a estudos de biossegurança. O presente artigo tem como objetivo analisar a presença de práticas de biossegurança nos estúdios de tatuagem e piercing na região do Vale do Paraíba. Será realizado um estud</w:t>
      </w:r>
      <w:r w:rsidRPr="00B02756">
        <w:rPr>
          <w:color w:val="000000"/>
          <w:lang w:val="pt-BR"/>
        </w:rPr>
        <w:t>o por meio de pesquisas bibliográficas, e entrevistas com tatuadores e Body Piercers da região. Cada profissional contará quais métodos utilizam para preservar a saúde e segurança dos clientes. De acordo com as respostas iremos analisar se os profissionais</w:t>
      </w:r>
      <w:r w:rsidRPr="00B02756">
        <w:rPr>
          <w:color w:val="000000"/>
          <w:lang w:val="pt-BR"/>
        </w:rPr>
        <w:t xml:space="preserve"> executam ou não práticas que envolvem a biossegurança. Analisando pesquisas relacionadas a esse assunto, a maioria dos profissionais utilizam os métodos corretos de biossegurança, sendo assim a tendência é que ao final da pesquisa, os entrevistados mostra</w:t>
      </w:r>
      <w:r w:rsidRPr="00B02756">
        <w:rPr>
          <w:color w:val="000000"/>
          <w:lang w:val="pt-BR"/>
        </w:rPr>
        <w:t>rão resultados positivos.</w:t>
      </w:r>
    </w:p>
    <w:p w14:paraId="00000011" w14:textId="77777777" w:rsidR="007047E4" w:rsidRPr="00B02756" w:rsidRDefault="007047E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b/>
          <w:color w:val="000000"/>
          <w:lang w:val="pt-BR"/>
        </w:rPr>
      </w:pPr>
    </w:p>
    <w:p w14:paraId="00000012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b/>
          <w:color w:val="000000"/>
          <w:lang w:val="pt-BR"/>
        </w:rPr>
      </w:pPr>
      <w:r w:rsidRPr="00B02756">
        <w:rPr>
          <w:b/>
          <w:color w:val="000000"/>
          <w:lang w:val="pt-BR"/>
        </w:rPr>
        <w:t>Palavras-chave:</w:t>
      </w:r>
      <w:r w:rsidRPr="00B02756">
        <w:rPr>
          <w:color w:val="000000"/>
          <w:lang w:val="pt-BR"/>
        </w:rPr>
        <w:t xml:space="preserve"> Biossegurança. Tatuagem. Piercing. Vale do Paraíba.</w:t>
      </w:r>
    </w:p>
    <w:p w14:paraId="00000013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color w:val="000000"/>
          <w:sz w:val="20"/>
          <w:szCs w:val="20"/>
          <w:lang w:val="pt-BR"/>
        </w:rPr>
      </w:pPr>
      <w:r w:rsidRPr="00B02756">
        <w:rPr>
          <w:lang w:val="pt-BR"/>
        </w:rPr>
        <w:br w:type="page"/>
      </w:r>
    </w:p>
    <w:p w14:paraId="00000014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b/>
          <w:color w:val="000000"/>
          <w:lang w:val="pt-BR"/>
        </w:rPr>
      </w:pPr>
      <w:r w:rsidRPr="00B02756">
        <w:rPr>
          <w:b/>
          <w:color w:val="000000"/>
          <w:lang w:val="pt-BR"/>
        </w:rPr>
        <w:lastRenderedPageBreak/>
        <w:t>INTRODUÇÃO</w:t>
      </w:r>
    </w:p>
    <w:p w14:paraId="00000015" w14:textId="43B3500E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>Desde os primórdios da civilização, os seres humanos têm utilizado diversas formas de marcação corporal para expressar identidade, status e crenças culturais. A prática de marcar a pele com desenhos permanentes, como tatuagens, tem raízes antigas e é encon</w:t>
      </w:r>
      <w:r w:rsidRPr="00B02756">
        <w:rPr>
          <w:color w:val="000000"/>
          <w:lang w:val="pt-BR"/>
        </w:rPr>
        <w:t>trada em diversas culturas ao redor do mundo. Tatuagens, ou dermopigmentação, são definidas como a coloração ou o desenho permanente da pele por meio da introdução subcutânea de corantes indeléveis, utilizando diversas agulhas para injeções na epiderme e d</w:t>
      </w:r>
      <w:r w:rsidRPr="00B02756">
        <w:rPr>
          <w:color w:val="000000"/>
          <w:lang w:val="pt-BR"/>
        </w:rPr>
        <w:t>epósito na derme. Outro método de tatuagem é a escarificação, que consiste na criação de cicatrizes no corpo através de um instrumento perfurocortante. Por sua vez, os piercings referem-se à perfuração de qualquer parte do corpo humano com o objetivo de in</w:t>
      </w:r>
      <w:r w:rsidRPr="00B02756">
        <w:rPr>
          <w:color w:val="000000"/>
          <w:lang w:val="pt-BR"/>
        </w:rPr>
        <w:t xml:space="preserve">serir </w:t>
      </w:r>
      <w:r w:rsidR="00B02756" w:rsidRPr="00B02756">
        <w:rPr>
          <w:lang w:val="pt-BR"/>
        </w:rPr>
        <w:t>anéis</w:t>
      </w:r>
      <w:r w:rsidRPr="00B02756">
        <w:rPr>
          <w:color w:val="000000"/>
          <w:lang w:val="pt-BR"/>
        </w:rPr>
        <w:t xml:space="preserve">, joias ou outros adornos de diferentes formas e tipos (CONTI et al., 2018). </w:t>
      </w:r>
    </w:p>
    <w:p w14:paraId="00000016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 xml:space="preserve">Com o aumento dessas práticas/procedimentos, foi notada a necessidade de regulamentação para preservar a saúde pública e controlar doenças infecciosas por exposição a </w:t>
      </w:r>
      <w:r w:rsidRPr="00B02756">
        <w:rPr>
          <w:color w:val="000000"/>
          <w:lang w:val="pt-BR"/>
        </w:rPr>
        <w:t>sangue, como o HIV.A biossegurança abrange um conjunto de práticas e medidas destinadas a proteger a saúde de clientes e profissionais, minimizando riscos biológicos e químicos associados a essas atividades (Schneidman et al., 2019). Dada a crescente deman</w:t>
      </w:r>
      <w:r w:rsidRPr="00B02756">
        <w:rPr>
          <w:color w:val="000000"/>
          <w:lang w:val="pt-BR"/>
        </w:rPr>
        <w:t>da por tatuagens e piercings, a implementação de práticas adequadas de biossegurança tornou-se essencial para prevenir a transmissão de doenças infecciosas e assegurar a segurança dos procedimentos.</w:t>
      </w:r>
    </w:p>
    <w:p w14:paraId="00000017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>Os relatos mais antigos da utilização do piercing são fei</w:t>
      </w:r>
      <w:r w:rsidRPr="00B02756">
        <w:rPr>
          <w:color w:val="000000"/>
          <w:lang w:val="pt-BR"/>
        </w:rPr>
        <w:t>tos pelo grupo étnico Mursi que habita o sudoeste da Etiópia, os quais a 10.000 anos possuem o costume de inserir nas mulheres, discos de argila no lóbulo das orelhas e lábios inferiores a partir dos 10 anos de idade. A cada ano o disco é manipulado e aume</w:t>
      </w:r>
      <w:r w:rsidRPr="00B02756">
        <w:rPr>
          <w:color w:val="000000"/>
          <w:lang w:val="pt-BR"/>
        </w:rPr>
        <w:t>nta de tamanho, até que a moça chegue na fase adulta e apesar do prejuízo a arcada dentária, o tamanho do disco indica o dote que o noivo terá de pagar à família da noiva (DUHAUT, 2008). Nos tempos atuais, estas modificações corporais estão cada vez mais c</w:t>
      </w:r>
      <w:r w:rsidRPr="00B02756">
        <w:rPr>
          <w:color w:val="000000"/>
          <w:lang w:val="pt-BR"/>
        </w:rPr>
        <w:t>onstantes, independente do grupo, classe social, etnia ou idade, impactando cada vez menos nos olhares da sociedade perante as modificações corporais e ganhando um espaço de aceitação no meio público (GILHODES, 2013).</w:t>
      </w:r>
    </w:p>
    <w:p w14:paraId="00000018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lastRenderedPageBreak/>
        <w:t>De acordo com a legislação vigente, os</w:t>
      </w:r>
      <w:r w:rsidRPr="00B02756">
        <w:rPr>
          <w:color w:val="000000"/>
          <w:lang w:val="pt-BR"/>
        </w:rPr>
        <w:t xml:space="preserve"> estúdios de tatuagem e body piercing devem possuir o Alvará de Vigilância Sanitária e o Alvará de Funcionamento. Esses documentos garantem que o estabelecimento atende às exigências mínimas de higiene e segurança, conforme regulamentado pela Agência Nacio</w:t>
      </w:r>
      <w:r w:rsidRPr="00B02756">
        <w:rPr>
          <w:color w:val="000000"/>
          <w:lang w:val="pt-BR"/>
        </w:rPr>
        <w:t>nal de Vigilância Sanitária (ANVISA) e pelas autoridades locais (BRASIL, 2009). Além disso, é fundamental que o cliente seja informado sobre os riscos associados aos procedimentos através de um Termo de Consentimento Livre e Esclarecido (TCLE). Este docume</w:t>
      </w:r>
      <w:r w:rsidRPr="00B02756">
        <w:rPr>
          <w:color w:val="000000"/>
          <w:lang w:val="pt-BR"/>
        </w:rPr>
        <w:t>nto permite que o cliente tome uma decisão informada, ciente dos possíveis riscos e cuidados necessários após o procedimento.</w:t>
      </w:r>
    </w:p>
    <w:p w14:paraId="00000019" w14:textId="63891711" w:rsidR="007047E4" w:rsidRPr="00B02756" w:rsidRDefault="005228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 xml:space="preserve">A competência dos profissionais envolvidos também é um aspecto crítico para a segurança dos procedimentos. O tatuador e/ou body </w:t>
      </w:r>
      <w:r w:rsidR="00B02756" w:rsidRPr="00B02756">
        <w:rPr>
          <w:lang w:val="pt-BR"/>
        </w:rPr>
        <w:t>Pierce</w:t>
      </w:r>
      <w:r w:rsidRPr="00B02756">
        <w:rPr>
          <w:color w:val="000000"/>
          <w:lang w:val="pt-BR"/>
        </w:rPr>
        <w:t xml:space="preserve"> deve ter um conhecimento detalhado sobre as técnicas utilizadas, controle de infecções, práticas de biossegurança e gere</w:t>
      </w:r>
      <w:r w:rsidRPr="00B02756">
        <w:rPr>
          <w:color w:val="000000"/>
          <w:lang w:val="pt-BR"/>
        </w:rPr>
        <w:t>nciamento de resíduos. A formação adequada e a atualização contínua são indispensáveis para garantir a conformidade com as normas de segurança e para minimizar os riscos de complicações (BRASIL, 2009). Neste contexto, o trabalho tem como objetivo principal</w:t>
      </w:r>
      <w:r w:rsidRPr="00B02756">
        <w:rPr>
          <w:color w:val="000000"/>
          <w:lang w:val="pt-BR"/>
        </w:rPr>
        <w:t xml:space="preserve"> analisar as práticas de biossegurança em estúdios de tatuagem e body piercing nas cidades do Vale do Paraíba. Serão avaliadas as práticas relacionadas à biossegurança tanto nas instalações dos estúdios quanto nos procedimentos realizados e no manuseio dos</w:t>
      </w:r>
      <w:r w:rsidRPr="00B02756">
        <w:rPr>
          <w:color w:val="000000"/>
          <w:lang w:val="pt-BR"/>
        </w:rPr>
        <w:t xml:space="preserve"> materiais pelos profissionais da área. Além disso, a pesquisa visa conscientizar a população sobre os riscos associados a procedimentos realizados em ambientes com segurança inadequada, promovendo uma maior compreensão e exigência por parte dos clientes e</w:t>
      </w:r>
      <w:r w:rsidRPr="00B02756">
        <w:rPr>
          <w:color w:val="000000"/>
          <w:lang w:val="pt-BR"/>
        </w:rPr>
        <w:t xml:space="preserve"> um aprimoramento nas práticas dos estabelecimentos.</w:t>
      </w:r>
    </w:p>
    <w:p w14:paraId="0000001A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b/>
          <w:color w:val="000000"/>
          <w:lang w:val="pt-BR"/>
        </w:rPr>
      </w:pPr>
      <w:r w:rsidRPr="00B02756">
        <w:rPr>
          <w:b/>
          <w:color w:val="000000"/>
          <w:lang w:val="pt-BR"/>
        </w:rPr>
        <w:t>MÉTODO</w:t>
      </w:r>
    </w:p>
    <w:p w14:paraId="0000001B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6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>Hoje em dia a pesquisa qualitativa ocupa um reconhecido lugar entre as várias possibilidades de se estudar os fenômenos que envolvem os seres humanos e suas intrincadas relações sociais, estabelec</w:t>
      </w:r>
      <w:r w:rsidRPr="00B02756">
        <w:rPr>
          <w:color w:val="000000"/>
          <w:lang w:val="pt-BR"/>
        </w:rPr>
        <w:t>idas em diversos ambientes” (SCHMIT, 1995, pág. 20). Iremos por meio de pesquisas bibliográficas e entrevistas avaliar a biossegurança presente em estúdios de tatuagem e body piercing. Iremos fazer entrevistas com profissionais na área, tatuadores e body p</w:t>
      </w:r>
      <w:r w:rsidRPr="00B02756">
        <w:rPr>
          <w:color w:val="000000"/>
          <w:lang w:val="pt-BR"/>
        </w:rPr>
        <w:t>iercings de cidades localizadas no Vale do Paraíba. Cada profissional contará quais métodos utilizam para</w:t>
      </w:r>
    </w:p>
    <w:p w14:paraId="0000001C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6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lastRenderedPageBreak/>
        <w:t>preservar a saúde e segurança dos clientes. Baseado nas respostas dos profissionais iremos analisar se os mesmos executam ou não práticas que envolvem</w:t>
      </w:r>
      <w:r w:rsidRPr="00B02756">
        <w:rPr>
          <w:color w:val="000000"/>
          <w:lang w:val="pt-BR"/>
        </w:rPr>
        <w:t xml:space="preserve"> a biossegurança. Todos os participantes assinarão um termo de consentimento informado antes de iniciar o estudo.</w:t>
      </w:r>
    </w:p>
    <w:p w14:paraId="7527BCA9" w14:textId="77777777" w:rsidR="00B02756" w:rsidRDefault="00B0275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b/>
          <w:color w:val="000000"/>
          <w:lang w:val="pt-BR"/>
        </w:rPr>
      </w:pPr>
    </w:p>
    <w:p w14:paraId="0000001D" w14:textId="411C48F5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b/>
          <w:color w:val="000000"/>
          <w:lang w:val="pt-BR"/>
        </w:rPr>
      </w:pPr>
      <w:r w:rsidRPr="00B02756">
        <w:rPr>
          <w:b/>
          <w:color w:val="000000"/>
          <w:lang w:val="pt-BR"/>
        </w:rPr>
        <w:t>RESULTADOS E DISCUSSÕES</w:t>
      </w:r>
    </w:p>
    <w:p w14:paraId="0000001E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 xml:space="preserve">Os dados coletados revelam que a prática de modificação corporal, como tatuagens e piercings, possui raízes profundas em várias culturas ao longo da história. As tatuagens, definidas como a coloração permanente da pele por meio da introdução subcutânea de </w:t>
      </w:r>
      <w:r w:rsidRPr="00B02756">
        <w:rPr>
          <w:color w:val="000000"/>
          <w:lang w:val="pt-BR"/>
        </w:rPr>
        <w:t>corantes indeléveis, têm sido utilizadas para expressar identidade, status e crenças culturais. A prática é observada em diferentes partes do mundo, com evidências de sua utilização desde os primórdios da civilização (CONTI et al., 2018).</w:t>
      </w:r>
    </w:p>
    <w:p w14:paraId="0000001F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>Os piercings, que</w:t>
      </w:r>
      <w:r w:rsidRPr="00B02756">
        <w:rPr>
          <w:color w:val="000000"/>
          <w:lang w:val="pt-BR"/>
        </w:rPr>
        <w:t xml:space="preserve"> envolvem a perfuração do corpo para a inserção de adornos, também têm uma longa história, com registros que datam de milhares de anos. Os costumes dos Mursi na Etiópia, que praticam a inserção de discos de argila em mulheres desde a infância, exemplificam</w:t>
      </w:r>
      <w:r w:rsidRPr="00B02756">
        <w:rPr>
          <w:color w:val="000000"/>
          <w:lang w:val="pt-BR"/>
        </w:rPr>
        <w:t xml:space="preserve"> essa tradição (DUHAUT, 2008). Esses costumes mostram que as modificações corporais não são apenas uma tendência moderna, mas sim práticas culturalmente significativas.</w:t>
      </w:r>
    </w:p>
    <w:p w14:paraId="00000020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 xml:space="preserve">Com o aumento da popularidade dessas práticas, </w:t>
      </w:r>
      <w:r w:rsidRPr="00B02756">
        <w:rPr>
          <w:lang w:val="pt-BR"/>
        </w:rPr>
        <w:t>surgiu</w:t>
      </w:r>
      <w:r w:rsidRPr="00B02756">
        <w:rPr>
          <w:color w:val="000000"/>
          <w:lang w:val="pt-BR"/>
        </w:rPr>
        <w:t xml:space="preserve"> a necessidade de regulamentação p</w:t>
      </w:r>
      <w:r w:rsidRPr="00B02756">
        <w:rPr>
          <w:color w:val="000000"/>
          <w:lang w:val="pt-BR"/>
        </w:rPr>
        <w:t xml:space="preserve">ara proteger a saúde pública e controlar doenças infecciosas, como o HIV. A biossegurança, que abrange um conjunto de práticas destinadas a proteger a saúde de clientes e profissionais, torna-se essencial (SCHNEIDMAN et al., 2019). Os estúdios de tatuagem </w:t>
      </w:r>
      <w:r w:rsidRPr="00B02756">
        <w:rPr>
          <w:color w:val="000000"/>
          <w:lang w:val="pt-BR"/>
        </w:rPr>
        <w:t xml:space="preserve">e body piercing devem possuir o Alvará de Vigilância Sanitária e o Alvará de Funcionamento, garantindo que atendem às exigências mínimas de higiene e segurança estabelecidas pela Agência Nacional de Vigilância Sanitária (ANVISA) e pelas autoridades locais </w:t>
      </w:r>
      <w:r w:rsidRPr="00B02756">
        <w:rPr>
          <w:color w:val="000000"/>
          <w:lang w:val="pt-BR"/>
        </w:rPr>
        <w:t>(BRASIL, 2009).</w:t>
      </w:r>
    </w:p>
    <w:p w14:paraId="00000021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 xml:space="preserve">Embora muitos profissionais reconheçam a importância da biossegurança, a aplicação prática dessas normas pode variar significativamente entre os estúdios. A pesquisa planejada buscará avaliar como essas diretrizes estão sendo implementadas </w:t>
      </w:r>
      <w:r w:rsidRPr="00B02756">
        <w:rPr>
          <w:color w:val="000000"/>
          <w:lang w:val="pt-BR"/>
        </w:rPr>
        <w:t>na prática, bem como identificar lacunas que podem aumentar o risco de complicações e infecções para os clientes.</w:t>
      </w:r>
    </w:p>
    <w:p w14:paraId="00000022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lastRenderedPageBreak/>
        <w:t>A análise preliminar sugere que, apesar da crescente aceitação social das modificações corporais, conforme observado em diversas pesquisas (GI</w:t>
      </w:r>
      <w:r w:rsidRPr="00B02756">
        <w:rPr>
          <w:color w:val="000000"/>
          <w:lang w:val="pt-BR"/>
        </w:rPr>
        <w:t>LHODES, 2013), a conscientização sobre práticas seguras e regulamentadas ainda enfrenta desafios consideráveis. A normalização dessas práticas não diminui a importância da biossegurança; pelo contrário, ela se torna ainda mais crucial à medida que a popula</w:t>
      </w:r>
      <w:r w:rsidRPr="00B02756">
        <w:rPr>
          <w:color w:val="000000"/>
          <w:lang w:val="pt-BR"/>
        </w:rPr>
        <w:t>ridade das tatuagens e piercings cresce.</w:t>
      </w:r>
    </w:p>
    <w:p w14:paraId="00000023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>Os relatos históricos sobre o piercing, como os dos Mursi, revelam que essas práticas têm significados culturais profundos. Entretanto, no contexto moderno, é necessário que a tradição seja acompanhada de cuidados a</w:t>
      </w:r>
      <w:r w:rsidRPr="00B02756">
        <w:rPr>
          <w:color w:val="000000"/>
          <w:lang w:val="pt-BR"/>
        </w:rPr>
        <w:t>dequados à saúde. As modificações corporais contemporâneas, embora mais aceitas, podem expor os indivíduos a riscos que não eram considerados nas práticas ancestrais (DUHAUT, 2008).</w:t>
      </w:r>
    </w:p>
    <w:p w14:paraId="00000024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 xml:space="preserve">Um aspecto crítico a ser abordado na pesquisa é a necessidade de um Termo </w:t>
      </w:r>
      <w:r w:rsidRPr="00B02756">
        <w:rPr>
          <w:color w:val="000000"/>
          <w:lang w:val="pt-BR"/>
        </w:rPr>
        <w:t xml:space="preserve">de Consentimento Livre e Esclarecido (TCLE) que informe os clientes sobre os riscos associados aos procedimentos. A falta de clareza nessa comunicação pode levar a decisões mal informadas, resultando em complicações (BRASIL, 2009). O TCLE é um instrumento </w:t>
      </w:r>
      <w:r w:rsidRPr="00B02756">
        <w:rPr>
          <w:color w:val="000000"/>
          <w:lang w:val="pt-BR"/>
        </w:rPr>
        <w:t>fundamental que deve ser adotado em todos os estúdios para garantir que os clientes estejam plenamente cientes dos cuidados necessários e dos riscos envolvidos.</w:t>
      </w:r>
    </w:p>
    <w:p w14:paraId="00000025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 xml:space="preserve">A competência dos profissionais é outro fator determinante para a segurança dos procedimentos. </w:t>
      </w:r>
      <w:r w:rsidRPr="00B02756">
        <w:rPr>
          <w:color w:val="000000"/>
          <w:lang w:val="pt-BR"/>
        </w:rPr>
        <w:t xml:space="preserve">O tatuador e/ou </w:t>
      </w:r>
      <w:r w:rsidRPr="00B02756">
        <w:rPr>
          <w:lang w:val="pt-BR"/>
        </w:rPr>
        <w:t>B</w:t>
      </w:r>
      <w:r w:rsidRPr="00B02756">
        <w:rPr>
          <w:color w:val="000000"/>
          <w:lang w:val="pt-BR"/>
        </w:rPr>
        <w:t xml:space="preserve">ody </w:t>
      </w:r>
      <w:r w:rsidRPr="00B02756">
        <w:rPr>
          <w:lang w:val="pt-BR"/>
        </w:rPr>
        <w:t>Piercer</w:t>
      </w:r>
      <w:r w:rsidRPr="00B02756">
        <w:rPr>
          <w:color w:val="000000"/>
          <w:lang w:val="pt-BR"/>
        </w:rPr>
        <w:t xml:space="preserve"> deve possuir um conhecimento detalhado sobre técnicas de aplicação, controle de infecções, práticas de biossegurança e gerenciamento de resíduos. A formação adequada e a atualização contínua são indispensáveis para garantir a c</w:t>
      </w:r>
      <w:r w:rsidRPr="00B02756">
        <w:rPr>
          <w:color w:val="000000"/>
          <w:lang w:val="pt-BR"/>
        </w:rPr>
        <w:t>onformidade com as normas de segurança e para minimizar os riscos de complicações. Profissionais bem treinados e informados são essenciais para promover um ambiente seguro para os clientes.</w:t>
      </w:r>
    </w:p>
    <w:p w14:paraId="00000028" w14:textId="107DA18C" w:rsidR="007047E4" w:rsidRPr="00B02756" w:rsidRDefault="005228CA" w:rsidP="00B0275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 xml:space="preserve">Além disso, a pesquisa </w:t>
      </w:r>
      <w:r w:rsidRPr="00B02756">
        <w:rPr>
          <w:lang w:val="pt-BR"/>
        </w:rPr>
        <w:t>qualitativa</w:t>
      </w:r>
      <w:r w:rsidRPr="00B02756">
        <w:rPr>
          <w:color w:val="000000"/>
          <w:lang w:val="pt-BR"/>
        </w:rPr>
        <w:t>, que será realizada por meio de</w:t>
      </w:r>
      <w:r w:rsidRPr="00B02756">
        <w:rPr>
          <w:color w:val="000000"/>
          <w:lang w:val="pt-BR"/>
        </w:rPr>
        <w:t xml:space="preserve"> entrevistas com profissionais da área, visa aprofundar a compreensão das práticas de biossegurança nos estúdios do Vale do Paraíba. A coleta de dados permitirá identificar se os métodos utilizados pelos profissionais estão alinhados com as melhores prátic</w:t>
      </w:r>
      <w:r w:rsidRPr="00B02756">
        <w:rPr>
          <w:color w:val="000000"/>
          <w:lang w:val="pt-BR"/>
        </w:rPr>
        <w:t xml:space="preserve">as de segurança. A conscientização da população sobre </w:t>
      </w:r>
      <w:r w:rsidRPr="00B02756">
        <w:rPr>
          <w:color w:val="000000"/>
          <w:lang w:val="pt-BR"/>
        </w:rPr>
        <w:lastRenderedPageBreak/>
        <w:t>os riscos associados a procedimentos realizados em ambientes com segurança inadequada será um dos objetivos centrais da pesquisa.</w:t>
      </w:r>
    </w:p>
    <w:p w14:paraId="00000029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b/>
          <w:color w:val="000000"/>
          <w:lang w:val="pt-BR"/>
        </w:rPr>
      </w:pPr>
      <w:r w:rsidRPr="00B02756">
        <w:rPr>
          <w:b/>
          <w:color w:val="000000"/>
          <w:lang w:val="pt-BR"/>
        </w:rPr>
        <w:t>CONSIDERAÇÕES FINAIS</w:t>
      </w:r>
    </w:p>
    <w:p w14:paraId="0000002A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>Este trabalho analisa as práticas de biosseguranç</w:t>
      </w:r>
      <w:r w:rsidRPr="00B02756">
        <w:rPr>
          <w:color w:val="000000"/>
          <w:lang w:val="pt-BR"/>
        </w:rPr>
        <w:t>a em estúdios de tatuagem e body piercing no Vale do Paraíba. A pesquisa evidencia a importância da regulamentação e da segurança nos procedimentos. A revisão da literatura mostra a necessidade de conscientização entre profissionais e clientes sobre os ris</w:t>
      </w:r>
      <w:r w:rsidRPr="00B02756">
        <w:rPr>
          <w:color w:val="000000"/>
          <w:lang w:val="pt-BR"/>
        </w:rPr>
        <w:t>cos envolvidos. As entrevistas planejadas com os profissionais permitirão identificar as práticas adotadas e as lacunas na aplicação das normas de biossegurança.</w:t>
      </w:r>
    </w:p>
    <w:p w14:paraId="0000002B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>O Termo de Consentimento Livre e Esclarecido (TCLE) é uma ferramenta essencial para informar o</w:t>
      </w:r>
      <w:r w:rsidRPr="00B02756">
        <w:rPr>
          <w:color w:val="000000"/>
          <w:lang w:val="pt-BR"/>
        </w:rPr>
        <w:t>s clientes sobre os riscos. A pesquisa visa contribuir para a melhoria das práticas de segurança nos estúdios. A implementação de treinamentos adequados e fiscalização contínua é fundamental para garantir a saúde pública e a confiança dos consumidores.</w:t>
      </w:r>
    </w:p>
    <w:p w14:paraId="0000002C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>A c</w:t>
      </w:r>
      <w:r w:rsidRPr="00B02756">
        <w:rPr>
          <w:color w:val="000000"/>
          <w:lang w:val="pt-BR"/>
        </w:rPr>
        <w:t>onscientização e a educação são indispensáveis para a evolução das práticas no setor. Os resultados obtidos devem orientar futuras ações de capacitação e regulamentação. A segurança dos procedimentos e a proteção da saúde dos clientes devem ser prioridades</w:t>
      </w:r>
      <w:r w:rsidRPr="00B02756">
        <w:rPr>
          <w:color w:val="000000"/>
          <w:lang w:val="pt-BR"/>
        </w:rPr>
        <w:t>. A pesquisa tem potencial para promover um ambiente mais seguro e responsável nas práticas de modificação corporal.</w:t>
      </w:r>
    </w:p>
    <w:p w14:paraId="700F90BA" w14:textId="77777777" w:rsidR="00B02756" w:rsidRDefault="005228CA" w:rsidP="00B0275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>Por fim, a análise dos resultados e discussões aponta para a necessidade urgente de aprimorar as práticas de biossegurança nos estúdios de tatuagem e body piercing. A melhoria na conformidade com as normas e a promoção de um maior entendimento por parte do</w:t>
      </w:r>
      <w:r w:rsidRPr="00B02756">
        <w:rPr>
          <w:color w:val="000000"/>
          <w:lang w:val="pt-BR"/>
        </w:rPr>
        <w:t>s clientes sobre os procedimentos são essenciais para garantir a segurança e a saúde de todos os envolvidos. A pesquisa, portanto, não apenas avaliará as práticas atuais, mas também buscará contribuir para a conscientização e a exigência de ambientes segur</w:t>
      </w:r>
      <w:r w:rsidRPr="00B02756">
        <w:rPr>
          <w:color w:val="000000"/>
          <w:lang w:val="pt-BR"/>
        </w:rPr>
        <w:t>os e regulamentados para esses procedimentos. Espera-se que os resultados desta pesquisa incentivem a adoção de melhores práticas de biossegurança e promovam uma cultura de segurança no setor, beneficiando tanto os profissionais quanto os clientes e contri</w:t>
      </w:r>
      <w:r w:rsidRPr="00B02756">
        <w:rPr>
          <w:color w:val="000000"/>
          <w:lang w:val="pt-BR"/>
        </w:rPr>
        <w:t>buindo para a saúde pública.</w:t>
      </w:r>
    </w:p>
    <w:p w14:paraId="00000031" w14:textId="4D0FBE97" w:rsidR="007047E4" w:rsidRPr="00B02756" w:rsidRDefault="005228CA" w:rsidP="00B0275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center"/>
        <w:rPr>
          <w:color w:val="000000"/>
          <w:lang w:val="pt-BR"/>
        </w:rPr>
      </w:pPr>
      <w:r w:rsidRPr="00B02756">
        <w:rPr>
          <w:b/>
          <w:color w:val="000000"/>
          <w:lang w:val="pt-BR"/>
        </w:rPr>
        <w:lastRenderedPageBreak/>
        <w:t>REFERÊNCIAS</w:t>
      </w:r>
    </w:p>
    <w:p w14:paraId="00000032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 xml:space="preserve">AGÊNCIA NACIONAL DE VIGILÂNCIA SANITÁRIA. </w:t>
      </w:r>
      <w:r w:rsidRPr="00B02756">
        <w:rPr>
          <w:b/>
          <w:color w:val="000000"/>
          <w:lang w:val="pt-BR"/>
        </w:rPr>
        <w:t>Segurança e controle de qualidade no laboratório de microbiologia clínica (Módulo II)</w:t>
      </w:r>
      <w:r w:rsidRPr="00B02756">
        <w:rPr>
          <w:color w:val="000000"/>
          <w:lang w:val="pt-BR"/>
        </w:rPr>
        <w:t>. Brasília: ANVISA, 2004.</w:t>
      </w:r>
    </w:p>
    <w:p w14:paraId="00000033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 xml:space="preserve">BORGES, A. Y. T. </w:t>
      </w:r>
      <w:r w:rsidRPr="00B02756">
        <w:rPr>
          <w:b/>
          <w:color w:val="000000"/>
          <w:lang w:val="pt-BR"/>
        </w:rPr>
        <w:t>Modificação corporal no século XXI: artes milenares que viraram moda</w:t>
      </w:r>
      <w:r w:rsidRPr="00B02756">
        <w:rPr>
          <w:color w:val="000000"/>
          <w:lang w:val="pt-BR"/>
        </w:rPr>
        <w:t>. Revista Belas Artes, São Paulo, v. 6, n. 16, p. 1-10, set./dez. 2014.</w:t>
      </w:r>
    </w:p>
    <w:p w14:paraId="00000034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 xml:space="preserve">BRASIL. </w:t>
      </w:r>
      <w:r w:rsidRPr="00B02756">
        <w:rPr>
          <w:b/>
          <w:color w:val="000000"/>
          <w:lang w:val="pt-BR"/>
        </w:rPr>
        <w:t>Manual ANVISA para estúdios de tatuagens e aplicações de piercing</w:t>
      </w:r>
      <w:r w:rsidRPr="00B02756">
        <w:rPr>
          <w:color w:val="000000"/>
          <w:lang w:val="pt-BR"/>
        </w:rPr>
        <w:t>. São Paulo: Vigilância Sanitária de Indaiatuba, 2018.</w:t>
      </w:r>
    </w:p>
    <w:p w14:paraId="00000035" w14:textId="77777777" w:rsidR="007047E4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</w:rPr>
      </w:pPr>
      <w:r w:rsidRPr="00B02756">
        <w:rPr>
          <w:color w:val="000000"/>
          <w:lang w:val="pt-BR"/>
        </w:rPr>
        <w:t xml:space="preserve">BRASIL. Ministério da Saúde. Secretaria de Vigilância em Saúde. Departamento de Vigilância Epidemiológica. </w:t>
      </w:r>
      <w:r w:rsidRPr="00B02756">
        <w:rPr>
          <w:b/>
          <w:color w:val="000000"/>
          <w:lang w:val="pt-BR"/>
        </w:rPr>
        <w:t>Biossegurança em laboratórios</w:t>
      </w:r>
      <w:r w:rsidRPr="00B02756">
        <w:rPr>
          <w:b/>
          <w:color w:val="000000"/>
          <w:lang w:val="pt-BR"/>
        </w:rPr>
        <w:t xml:space="preserve"> biomédicos e de microbiologia</w:t>
      </w:r>
      <w:r w:rsidRPr="00B02756">
        <w:rPr>
          <w:color w:val="000000"/>
          <w:lang w:val="pt-BR"/>
        </w:rPr>
        <w:t xml:space="preserve">. </w:t>
      </w:r>
      <w:r>
        <w:rPr>
          <w:color w:val="000000"/>
        </w:rPr>
        <w:t xml:space="preserve">3. ed. Brasília: </w:t>
      </w:r>
      <w:proofErr w:type="spellStart"/>
      <w:r>
        <w:rPr>
          <w:color w:val="000000"/>
        </w:rPr>
        <w:t>Ministério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Saúde</w:t>
      </w:r>
      <w:proofErr w:type="spellEnd"/>
      <w:r>
        <w:rPr>
          <w:color w:val="000000"/>
        </w:rPr>
        <w:t>, 2006.</w:t>
      </w:r>
    </w:p>
    <w:p w14:paraId="00000036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 xml:space="preserve">BRASIL. </w:t>
      </w:r>
      <w:r w:rsidRPr="00B02756">
        <w:rPr>
          <w:b/>
          <w:color w:val="000000"/>
          <w:lang w:val="pt-BR"/>
        </w:rPr>
        <w:t>Referência técnica para o funcionamento dos serviços de tatuagem e piercing</w:t>
      </w:r>
      <w:r w:rsidRPr="00B02756">
        <w:rPr>
          <w:color w:val="000000"/>
          <w:lang w:val="pt-BR"/>
        </w:rPr>
        <w:t>. Brasília: ANVISA, 2009.</w:t>
      </w:r>
    </w:p>
    <w:p w14:paraId="00000037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 xml:space="preserve">CORDERO, N. S. </w:t>
      </w:r>
      <w:r w:rsidRPr="00B02756">
        <w:rPr>
          <w:b/>
          <w:color w:val="000000"/>
          <w:lang w:val="pt-BR"/>
        </w:rPr>
        <w:t>Patologias e infecções após procedimentos de perfuração:</w:t>
      </w:r>
      <w:r w:rsidRPr="00B02756">
        <w:rPr>
          <w:b/>
          <w:color w:val="000000"/>
          <w:lang w:val="pt-BR"/>
        </w:rPr>
        <w:t xml:space="preserve"> piercing e tatuagens no Distrito Federal</w:t>
      </w:r>
      <w:r w:rsidRPr="00B02756">
        <w:rPr>
          <w:color w:val="000000"/>
          <w:lang w:val="pt-BR"/>
        </w:rPr>
        <w:t>. Brasília, 2019.</w:t>
      </w:r>
    </w:p>
    <w:p w14:paraId="00000038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 xml:space="preserve">GODOY, A. S. </w:t>
      </w:r>
      <w:r w:rsidRPr="00B02756">
        <w:rPr>
          <w:b/>
          <w:color w:val="000000"/>
          <w:lang w:val="pt-BR"/>
        </w:rPr>
        <w:t>Pesquisa qualitativa: tipos fundamentais</w:t>
      </w:r>
      <w:r w:rsidRPr="00B02756">
        <w:rPr>
          <w:color w:val="000000"/>
          <w:lang w:val="pt-BR"/>
        </w:rPr>
        <w:t>. Revista de Administração de Empresas, São Paulo, v. 35, n. 3, p. 20-29, mai./jun. 1995.</w:t>
      </w:r>
    </w:p>
    <w:p w14:paraId="00000039" w14:textId="77777777" w:rsidR="007047E4" w:rsidRPr="00B02756" w:rsidRDefault="005228CA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lang w:val="pt-BR"/>
        </w:rPr>
      </w:pPr>
      <w:r w:rsidRPr="00B02756">
        <w:rPr>
          <w:color w:val="000000"/>
          <w:lang w:val="pt-BR"/>
        </w:rPr>
        <w:t xml:space="preserve">GUSSO, F. B. </w:t>
      </w:r>
      <w:r w:rsidRPr="00B02756">
        <w:rPr>
          <w:b/>
          <w:color w:val="000000"/>
          <w:lang w:val="pt-BR"/>
        </w:rPr>
        <w:t>A tatuagem como linguagem artística na co</w:t>
      </w:r>
      <w:r w:rsidRPr="00B02756">
        <w:rPr>
          <w:b/>
          <w:color w:val="000000"/>
          <w:lang w:val="pt-BR"/>
        </w:rPr>
        <w:t>ntemporaneidade</w:t>
      </w:r>
      <w:r w:rsidRPr="00B02756">
        <w:rPr>
          <w:color w:val="000000"/>
          <w:lang w:val="pt-BR"/>
        </w:rPr>
        <w:t>. Revista Vernáculo, n. 37, p. 23-30, 1° semestre 2016. ISSN 2317-4021.</w:t>
      </w:r>
    </w:p>
    <w:p w14:paraId="0000003A" w14:textId="77777777" w:rsidR="007047E4" w:rsidRDefault="005228CA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</w:rPr>
      </w:pPr>
      <w:r w:rsidRPr="00B02756">
        <w:rPr>
          <w:color w:val="000000"/>
          <w:lang w:val="pt-BR"/>
        </w:rPr>
        <w:t xml:space="preserve">TEIXEIRA, P.; VALLE, S. </w:t>
      </w:r>
      <w:r w:rsidRPr="00B02756">
        <w:rPr>
          <w:b/>
          <w:color w:val="000000"/>
          <w:lang w:val="pt-BR"/>
        </w:rPr>
        <w:t>Biossegurança: uma abordagem multidisciplinar</w:t>
      </w:r>
      <w:r w:rsidRPr="00B02756">
        <w:rPr>
          <w:color w:val="000000"/>
          <w:lang w:val="pt-BR"/>
        </w:rPr>
        <w:t xml:space="preserve">. </w:t>
      </w:r>
      <w:r>
        <w:rPr>
          <w:color w:val="000000"/>
        </w:rPr>
        <w:t xml:space="preserve">Rio de Janeiro: </w:t>
      </w:r>
      <w:proofErr w:type="spellStart"/>
      <w:r>
        <w:rPr>
          <w:color w:val="000000"/>
        </w:rPr>
        <w:t>Fiocruz</w:t>
      </w:r>
      <w:proofErr w:type="spellEnd"/>
      <w:r>
        <w:rPr>
          <w:color w:val="000000"/>
        </w:rPr>
        <w:t>, 1996.</w:t>
      </w:r>
    </w:p>
    <w:sectPr w:rsidR="007047E4">
      <w:headerReference w:type="default" r:id="rId7"/>
      <w:pgSz w:w="11906" w:h="16838"/>
      <w:pgMar w:top="2551" w:right="1417" w:bottom="1134" w:left="1417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07DB" w14:textId="77777777" w:rsidR="005228CA" w:rsidRDefault="005228CA">
      <w:r>
        <w:separator/>
      </w:r>
    </w:p>
  </w:endnote>
  <w:endnote w:type="continuationSeparator" w:id="0">
    <w:p w14:paraId="73DD0125" w14:textId="77777777" w:rsidR="005228CA" w:rsidRDefault="0052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2AB1" w14:textId="77777777" w:rsidR="005228CA" w:rsidRDefault="005228CA">
      <w:r>
        <w:separator/>
      </w:r>
    </w:p>
  </w:footnote>
  <w:footnote w:type="continuationSeparator" w:id="0">
    <w:p w14:paraId="0DFCB896" w14:textId="77777777" w:rsidR="005228CA" w:rsidRDefault="0052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7047E4" w:rsidRDefault="005228CA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535"/>
        <w:tab w:val="right" w:pos="9071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>
          <wp:extent cx="1622270" cy="293467"/>
          <wp:effectExtent l="0" t="0" r="0" b="0"/>
          <wp:docPr id="1073741831" name="image2.png" descr="Logo horizontal Form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horizontal Form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270" cy="293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>
          <wp:extent cx="1275786" cy="798451"/>
          <wp:effectExtent l="0" t="0" r="0" b="0"/>
          <wp:docPr id="1073741833" name="image1.png" descr="Captura de Tela 2023-08-30 às 14.20.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ptura de Tela 2023-08-30 às 14.20.1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86" cy="798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>
          <wp:extent cx="1468183" cy="778488"/>
          <wp:effectExtent l="0" t="0" r="0" b="0"/>
          <wp:docPr id="1073741832" name="image3.png" descr="Selo Extensão 2021_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elo Extensão 2021_202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183" cy="778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E4"/>
    <w:rsid w:val="005228CA"/>
    <w:rsid w:val="007047E4"/>
    <w:rsid w:val="00B0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D313"/>
  <w15:docId w15:val="{A17ED8A4-69CB-4028-B3FD-7AE3F113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5D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5DBE"/>
    <w:rPr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F5DB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C9B"/>
    <w:pPr>
      <w:spacing w:before="100" w:beforeAutospacing="1" w:after="100" w:afterAutospacing="1"/>
    </w:pPr>
    <w:rPr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027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756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027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75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EMjyWEUT4Y6t5kaw1Ep7ykQvBw==">CgMxLjAaJwoBMBIiCiAIBCocCgtBQUFCUlJsR0hiQRAIGgtBQUFCUlJsR0hiQSLLAgoLQUFBQlJSbEdIYkESmgIKC0FBQUJSUmxHSGJBEgtBQUFCUlJsR0hiQRoeCgl0ZXh0L2h0bWwSEVJFQ0VCSURPLCDDk1RJTU8hIh8KCnRleHQvcGxhaW4SEVJFQ0VCSURPLCDDk1RJTU8hKhsiFTEwMTc1MzUxNzk5NzIyMjU3MDE2NSgAOAAwl+r/0qIyOJfq/9KiMkpZCgp0ZXh0L3BsYWluEktGSUNBw4fDlUVTIENPUlBPUkFJUzogQU7DgUxJU0UgREFTIFBSw4FUSUNBUyBERSBCSU9TU0VHVVJBTsOHQSBFTSBUQVRVQUdFTlNaDHA0NDB1Y3RkcnhxYnICIAB4AJoBBggAEAAYAKoBExIRUkVDRUJJRE8sIMOTVElNTyGwAQC4AQAYl+r/0qIyIJfq/9KiMjAAQg9raXgucXozZWsyYXF1OXE4AHIhMWxxZU82bEQtQ1dZU1IzcjZESmlvSnl5b181TExlcU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2214</Words>
  <Characters>11959</Characters>
  <Application>Microsoft Office Word</Application>
  <DocSecurity>0</DocSecurity>
  <Lines>99</Lines>
  <Paragraphs>28</Paragraphs>
  <ScaleCrop>false</ScaleCrop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</dc:creator>
  <cp:lastModifiedBy>Aluno</cp:lastModifiedBy>
  <cp:revision>2</cp:revision>
  <dcterms:created xsi:type="dcterms:W3CDTF">2024-10-31T00:13:00Z</dcterms:created>
  <dcterms:modified xsi:type="dcterms:W3CDTF">2024-10-31T00:13:00Z</dcterms:modified>
</cp:coreProperties>
</file>