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BF03" w14:textId="77777777" w:rsidR="00E9383C" w:rsidRDefault="00E9383C" w:rsidP="00534CB2">
      <w:pPr>
        <w:spacing w:after="160" w:line="240" w:lineRule="auto"/>
        <w:rPr>
          <w:rFonts w:eastAsia="Calibri" w:cs="Arial"/>
          <w:b/>
        </w:rPr>
      </w:pPr>
      <w:r w:rsidRPr="00E9383C">
        <w:rPr>
          <w:rFonts w:eastAsia="Calibri" w:cs="Arial"/>
          <w:b/>
        </w:rPr>
        <w:t>EFEITOS DA REALIZAÇÃO DA TROMBECTOMIA MECÂNICA NA REABILITAÇÃO DE PACIENTES QUE SOFRERAM ACIDENTE VASCULAR CEREBRAL ISQUÊMICO</w:t>
      </w:r>
    </w:p>
    <w:p w14:paraId="0AD3EF8B" w14:textId="5B9B7F1B" w:rsidR="00534CB2" w:rsidRPr="00534CB2" w:rsidRDefault="00E9383C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Rodrigo José Tenório Moura Pacheco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 w:rsidR="00117621" w:rsidRPr="000F6B4B">
        <w:rPr>
          <w:rFonts w:eastAsia="Calibri" w:cs="Arial"/>
        </w:rPr>
        <w:t xml:space="preserve">Alexandre </w:t>
      </w:r>
      <w:proofErr w:type="spellStart"/>
      <w:r w:rsidR="00117621" w:rsidRPr="000F6B4B">
        <w:rPr>
          <w:rFonts w:eastAsia="Calibri" w:cs="Arial"/>
        </w:rPr>
        <w:t>Otilio</w:t>
      </w:r>
      <w:proofErr w:type="spellEnd"/>
      <w:r w:rsidR="00117621" w:rsidRPr="000F6B4B">
        <w:rPr>
          <w:rFonts w:eastAsia="Calibri" w:cs="Arial"/>
        </w:rPr>
        <w:t xml:space="preserve"> Pinto Junior</w:t>
      </w:r>
      <w:r w:rsidR="00117621">
        <w:rPr>
          <w:rFonts w:eastAsia="Calibri" w:cs="Arial"/>
          <w:vertAlign w:val="superscript"/>
        </w:rPr>
        <w:t>2</w:t>
      </w:r>
      <w:r w:rsidR="00117621">
        <w:rPr>
          <w:rFonts w:eastAsia="Calibri" w:cs="Arial"/>
        </w:rPr>
        <w:t>;</w:t>
      </w:r>
      <w:r w:rsidR="00117621" w:rsidRPr="419BEB8E">
        <w:rPr>
          <w:rFonts w:eastAsia="Calibri" w:cs="Arial"/>
        </w:rPr>
        <w:t xml:space="preserve"> </w:t>
      </w:r>
      <w:r w:rsidR="00622EAC">
        <w:rPr>
          <w:rFonts w:eastAsia="Calibri" w:cs="Arial"/>
        </w:rPr>
        <w:t>Andressa Silva</w:t>
      </w:r>
      <w:r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>;</w:t>
      </w:r>
      <w:r w:rsidR="00117621" w:rsidRPr="00117621">
        <w:t xml:space="preserve"> </w:t>
      </w:r>
      <w:r w:rsidR="00117621" w:rsidRPr="00117621">
        <w:rPr>
          <w:rFonts w:eastAsia="Calibri" w:cs="Arial"/>
        </w:rPr>
        <w:t>Osmar João Gonçalves da Silva</w:t>
      </w:r>
      <w:r w:rsidR="00117621">
        <w:rPr>
          <w:rFonts w:eastAsia="Calibri" w:cs="Arial"/>
          <w:vertAlign w:val="superscript"/>
        </w:rPr>
        <w:t>1</w:t>
      </w:r>
      <w:r w:rsidR="00117621">
        <w:rPr>
          <w:rFonts w:eastAsia="Calibri" w:cs="Arial"/>
        </w:rPr>
        <w:t>;</w:t>
      </w:r>
      <w:r w:rsidR="00131847">
        <w:rPr>
          <w:rFonts w:eastAsia="Calibri" w:cs="Arial"/>
        </w:rPr>
        <w:t xml:space="preserve"> </w:t>
      </w:r>
      <w:r w:rsidR="00131847" w:rsidRPr="00131847">
        <w:rPr>
          <w:rFonts w:eastAsia="Calibri" w:cs="Arial"/>
        </w:rPr>
        <w:t>Victor Felipe Rodrigues Rego</w:t>
      </w:r>
      <w:r w:rsidR="00131847" w:rsidRPr="00131847">
        <w:rPr>
          <w:rFonts w:eastAsia="Calibri" w:cs="Arial"/>
          <w:vertAlign w:val="superscript"/>
        </w:rPr>
        <w:t>1</w:t>
      </w:r>
      <w:r w:rsidR="000F6B4B">
        <w:rPr>
          <w:rFonts w:eastAsia="Calibri" w:cs="Arial"/>
        </w:rPr>
        <w:t>; Claudio José dos Santos Júnior</w:t>
      </w:r>
      <w:r w:rsidR="000F6B4B">
        <w:rPr>
          <w:rFonts w:eastAsia="Calibri" w:cs="Arial"/>
          <w:vertAlign w:val="superscript"/>
        </w:rPr>
        <w:t>3</w:t>
      </w:r>
    </w:p>
    <w:p w14:paraId="6EBB1307" w14:textId="77777777" w:rsidR="00A370DE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E9383C">
        <w:rPr>
          <w:rFonts w:eastAsia="Calibri" w:cs="Arial"/>
        </w:rPr>
        <w:t>Graduando em Medicina. Centro Universitário CESMAC</w:t>
      </w:r>
      <w:r w:rsidRPr="50192890">
        <w:rPr>
          <w:rFonts w:eastAsia="Calibri" w:cs="Arial"/>
        </w:rPr>
        <w:t>;</w:t>
      </w:r>
    </w:p>
    <w:p w14:paraId="179DBDE4" w14:textId="58E322EA" w:rsidR="000F6B4B" w:rsidRPr="000F6B4B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2 </w:t>
      </w:r>
      <w:r w:rsidR="000F6B4B">
        <w:rPr>
          <w:rFonts w:eastAsia="Calibri" w:cs="Arial"/>
        </w:rPr>
        <w:t>Bacharel em Medicina. Universidade Estadual de Ciências da Saúde de Alagoas;</w:t>
      </w:r>
    </w:p>
    <w:p w14:paraId="48F08DA2" w14:textId="236E3A85" w:rsidR="00534CB2" w:rsidRPr="00534CB2" w:rsidRDefault="000F6B4B" w:rsidP="50192890">
      <w:pPr>
        <w:spacing w:line="240" w:lineRule="auto"/>
        <w:rPr>
          <w:rFonts w:eastAsia="Calibri" w:cs="Arial"/>
        </w:rPr>
      </w:pPr>
      <w:r>
        <w:rPr>
          <w:rFonts w:eastAsia="Calibri" w:cs="Arial"/>
          <w:vertAlign w:val="superscript"/>
        </w:rPr>
        <w:t>3</w:t>
      </w:r>
      <w:r w:rsidR="00117621">
        <w:rPr>
          <w:rFonts w:eastAsia="Calibri" w:cs="Arial"/>
          <w:vertAlign w:val="superscript"/>
        </w:rPr>
        <w:t xml:space="preserve"> </w:t>
      </w:r>
      <w:r>
        <w:rPr>
          <w:rFonts w:eastAsia="Calibri" w:cs="Arial"/>
        </w:rPr>
        <w:t>Doutorando em Epidemiologia. Universidade de São Paulo</w:t>
      </w:r>
      <w:r w:rsidR="00534CB2" w:rsidRPr="50192890">
        <w:rPr>
          <w:rFonts w:eastAsia="Calibri" w:cs="Arial"/>
        </w:rPr>
        <w:t>;</w:t>
      </w:r>
    </w:p>
    <w:p w14:paraId="597BFFDF" w14:textId="64A1AF8E" w:rsidR="00534CB2" w:rsidRPr="00534CB2" w:rsidRDefault="008A2493" w:rsidP="50192890">
      <w:pPr>
        <w:spacing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*</w:t>
      </w:r>
      <w:r w:rsidRPr="008A2493">
        <w:rPr>
          <w:rFonts w:eastAsia="Calibri" w:cs="Arial"/>
          <w:sz w:val="20"/>
          <w:szCs w:val="20"/>
        </w:rPr>
        <w:t>2022200115@academico.cesmac.edu.br</w:t>
      </w:r>
      <w:r w:rsidR="005E2B5F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</w:t>
      </w:r>
      <w:r w:rsidR="000F6B4B">
        <w:rPr>
          <w:rFonts w:eastAsia="Calibri" w:cs="Arial"/>
          <w:sz w:val="20"/>
          <w:szCs w:val="20"/>
        </w:rPr>
        <w:t>*claudiosantos_al@hotmail.com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77A86B0F" w14:textId="116498C7" w:rsidR="00A370DE" w:rsidRDefault="00A370DE" w:rsidP="00A370DE">
      <w:pPr>
        <w:spacing w:after="160" w:line="240" w:lineRule="auto"/>
        <w:rPr>
          <w:rFonts w:eastAsia="Calibri" w:cs="Arial"/>
          <w:sz w:val="22"/>
          <w:szCs w:val="22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De acordo com a “American </w:t>
      </w:r>
      <w:proofErr w:type="spellStart"/>
      <w:r>
        <w:rPr>
          <w:rFonts w:eastAsia="Calibri" w:cs="Arial"/>
          <w:sz w:val="22"/>
          <w:szCs w:val="22"/>
        </w:rPr>
        <w:t>Stroke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Association</w:t>
      </w:r>
      <w:proofErr w:type="spellEnd"/>
      <w:r>
        <w:rPr>
          <w:rFonts w:eastAsia="Calibri" w:cs="Arial"/>
          <w:sz w:val="22"/>
          <w:szCs w:val="22"/>
        </w:rPr>
        <w:t xml:space="preserve">”, a </w:t>
      </w:r>
      <w:proofErr w:type="spellStart"/>
      <w:r>
        <w:rPr>
          <w:rFonts w:eastAsia="Calibri" w:cs="Arial"/>
          <w:sz w:val="22"/>
          <w:szCs w:val="22"/>
        </w:rPr>
        <w:t>trombectomia</w:t>
      </w:r>
      <w:proofErr w:type="spellEnd"/>
      <w:r>
        <w:rPr>
          <w:rFonts w:eastAsia="Calibri" w:cs="Arial"/>
          <w:sz w:val="22"/>
          <w:szCs w:val="22"/>
        </w:rPr>
        <w:t xml:space="preserve"> mecânica é o procedimento mais adequado para pacientes em fase aguda de acidente vascular cerebral isquêmico e que estejam aptos a este procedimento. Isso porque a terapia </w:t>
      </w:r>
      <w:proofErr w:type="spellStart"/>
      <w:r>
        <w:rPr>
          <w:rFonts w:eastAsia="Calibri" w:cs="Arial"/>
          <w:sz w:val="22"/>
          <w:szCs w:val="22"/>
        </w:rPr>
        <w:t>endovascular</w:t>
      </w:r>
      <w:proofErr w:type="spellEnd"/>
      <w:r>
        <w:rPr>
          <w:rFonts w:eastAsia="Calibri" w:cs="Arial"/>
          <w:sz w:val="22"/>
          <w:szCs w:val="22"/>
        </w:rPr>
        <w:t xml:space="preserve"> gera uma boa resposta à reperfusão sanguínea cerebral e, consequentemente, uma menor limitação na fase de reabilitação.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5E2B5F">
        <w:rPr>
          <w:rFonts w:eastAsia="Calibri" w:cs="Arial"/>
          <w:b/>
          <w:bCs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Analisar os impactos do manejo da </w:t>
      </w:r>
      <w:proofErr w:type="spellStart"/>
      <w:r>
        <w:rPr>
          <w:rFonts w:eastAsia="Calibri" w:cs="Arial"/>
          <w:sz w:val="22"/>
          <w:szCs w:val="22"/>
        </w:rPr>
        <w:t>trombectomia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endovascular</w:t>
      </w:r>
      <w:proofErr w:type="spellEnd"/>
      <w:r>
        <w:rPr>
          <w:rFonts w:eastAsia="Calibri" w:cs="Arial"/>
          <w:sz w:val="22"/>
          <w:szCs w:val="22"/>
        </w:rPr>
        <w:t xml:space="preserve"> na reabilitação de pacientes aptos a este tratamento pós-AVC.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E2B5F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Trata-se de uma revisão</w:t>
      </w:r>
      <w:r w:rsidRPr="00391417">
        <w:rPr>
          <w:rFonts w:eastAsia="Calibri" w:cs="Arial"/>
          <w:color w:val="FF0000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de literatura em artigos publicados nos últimos 5 anos (2017 a 2022) na base de dados </w:t>
      </w:r>
      <w:proofErr w:type="spellStart"/>
      <w:r>
        <w:rPr>
          <w:rFonts w:eastAsia="Calibri" w:cs="Arial"/>
          <w:sz w:val="22"/>
          <w:szCs w:val="22"/>
        </w:rPr>
        <w:t>PubMed</w:t>
      </w:r>
      <w:proofErr w:type="spellEnd"/>
      <w:r>
        <w:rPr>
          <w:rFonts w:eastAsia="Calibri" w:cs="Arial"/>
          <w:sz w:val="22"/>
          <w:szCs w:val="22"/>
        </w:rPr>
        <w:t xml:space="preserve">. Utilizou-se </w:t>
      </w:r>
      <w:r w:rsidR="00622EAC">
        <w:rPr>
          <w:rFonts w:eastAsia="Calibri" w:cs="Arial"/>
          <w:sz w:val="22"/>
          <w:szCs w:val="22"/>
        </w:rPr>
        <w:t>a seguinte estratégia:</w:t>
      </w:r>
      <w:r>
        <w:rPr>
          <w:rFonts w:eastAsia="Calibri" w:cs="Arial"/>
          <w:sz w:val="22"/>
          <w:szCs w:val="22"/>
        </w:rPr>
        <w:t xml:space="preserve"> “</w:t>
      </w:r>
      <w:proofErr w:type="spellStart"/>
      <w:r>
        <w:rPr>
          <w:rFonts w:eastAsia="Calibri" w:cs="Arial"/>
          <w:sz w:val="22"/>
          <w:szCs w:val="22"/>
        </w:rPr>
        <w:t>Rehabilitation</w:t>
      </w:r>
      <w:proofErr w:type="spellEnd"/>
      <w:r>
        <w:rPr>
          <w:rFonts w:eastAsia="Calibri" w:cs="Arial"/>
          <w:sz w:val="22"/>
          <w:szCs w:val="22"/>
        </w:rPr>
        <w:t>” AND “</w:t>
      </w:r>
      <w:proofErr w:type="spellStart"/>
      <w:r>
        <w:rPr>
          <w:rFonts w:eastAsia="Calibri" w:cs="Arial"/>
          <w:sz w:val="22"/>
          <w:szCs w:val="22"/>
        </w:rPr>
        <w:t>Stroke</w:t>
      </w:r>
      <w:proofErr w:type="spellEnd"/>
      <w:r>
        <w:rPr>
          <w:rFonts w:eastAsia="Calibri" w:cs="Arial"/>
          <w:sz w:val="22"/>
          <w:szCs w:val="22"/>
        </w:rPr>
        <w:t>” AND “</w:t>
      </w:r>
      <w:proofErr w:type="spellStart"/>
      <w:r>
        <w:rPr>
          <w:rFonts w:eastAsia="Calibri" w:cs="Arial"/>
          <w:sz w:val="22"/>
          <w:szCs w:val="22"/>
        </w:rPr>
        <w:t>Thrombectomy</w:t>
      </w:r>
      <w:proofErr w:type="spellEnd"/>
      <w:r>
        <w:rPr>
          <w:rFonts w:eastAsia="Calibri" w:cs="Arial"/>
          <w:sz w:val="22"/>
          <w:szCs w:val="22"/>
        </w:rPr>
        <w:t>”. Foram selecionados estudos do tipo “</w:t>
      </w:r>
      <w:proofErr w:type="spellStart"/>
      <w:r>
        <w:rPr>
          <w:rFonts w:eastAsia="Calibri" w:cs="Arial"/>
          <w:sz w:val="22"/>
          <w:szCs w:val="22"/>
        </w:rPr>
        <w:t>Clinical</w:t>
      </w:r>
      <w:proofErr w:type="spellEnd"/>
      <w:r>
        <w:rPr>
          <w:rFonts w:eastAsia="Calibri" w:cs="Arial"/>
          <w:sz w:val="22"/>
          <w:szCs w:val="22"/>
        </w:rPr>
        <w:t xml:space="preserve"> </w:t>
      </w:r>
      <w:proofErr w:type="spellStart"/>
      <w:r>
        <w:rPr>
          <w:rFonts w:eastAsia="Calibri" w:cs="Arial"/>
          <w:sz w:val="22"/>
          <w:szCs w:val="22"/>
        </w:rPr>
        <w:t>Trial</w:t>
      </w:r>
      <w:proofErr w:type="spellEnd"/>
      <w:r>
        <w:rPr>
          <w:rFonts w:eastAsia="Calibri" w:cs="Arial"/>
          <w:sz w:val="22"/>
          <w:szCs w:val="22"/>
        </w:rPr>
        <w:t xml:space="preserve">” com disponibilidade do texto completo gratuito em sítio eletrônico. Já os critérios de exclusão foram trabalhos duplicados ou que apenas focaram na descrição da terapia </w:t>
      </w:r>
      <w:proofErr w:type="spellStart"/>
      <w:r>
        <w:rPr>
          <w:rFonts w:eastAsia="Calibri" w:cs="Arial"/>
          <w:sz w:val="22"/>
          <w:szCs w:val="22"/>
        </w:rPr>
        <w:t>endovascular</w:t>
      </w:r>
      <w:proofErr w:type="spellEnd"/>
      <w:r>
        <w:rPr>
          <w:rFonts w:eastAsia="Calibri" w:cs="Arial"/>
          <w:sz w:val="22"/>
          <w:szCs w:val="22"/>
        </w:rPr>
        <w:t>, sem comparar seus efeitos em</w:t>
      </w:r>
      <w:r w:rsidR="00622EAC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relação a algum grupo controle.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5E2B5F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Foram encontrados 278 artigos; após a aplicação dos critérios </w:t>
      </w:r>
      <w:r w:rsidRPr="002817A2">
        <w:rPr>
          <w:rFonts w:eastAsia="Calibri" w:cs="Arial"/>
          <w:color w:val="000000" w:themeColor="text1"/>
          <w:sz w:val="22"/>
          <w:szCs w:val="22"/>
        </w:rPr>
        <w:t>de inclusão</w:t>
      </w:r>
      <w:r>
        <w:rPr>
          <w:rFonts w:eastAsia="Calibri" w:cs="Arial"/>
          <w:sz w:val="22"/>
          <w:szCs w:val="22"/>
        </w:rPr>
        <w:t xml:space="preserve">, restaram 14 trabalhos, dos quais, após a checagem de seus títulos e resumos, 3 foram lidos e analisados por se relacionarem com o tema. Foi observado uma independência funcional superior de 15 a 28 pontos percentuais nos pacientes que realizaram a </w:t>
      </w:r>
      <w:proofErr w:type="spellStart"/>
      <w:r>
        <w:rPr>
          <w:rFonts w:eastAsia="Calibri" w:cs="Arial"/>
          <w:sz w:val="22"/>
          <w:szCs w:val="22"/>
        </w:rPr>
        <w:t>trombectomia</w:t>
      </w:r>
      <w:proofErr w:type="spellEnd"/>
      <w:r>
        <w:rPr>
          <w:rFonts w:eastAsia="Calibri" w:cs="Arial"/>
          <w:sz w:val="22"/>
          <w:szCs w:val="22"/>
        </w:rPr>
        <w:t xml:space="preserve">, além de um tempo médio em casa significativamente maior para o grupo que recebeu a terapia endovenosa (55 dias [intervalo interquartil, 0-83]) se comparado ao grupo controle (0 dias [intervalo interquartil, 0-53]), considerando os </w:t>
      </w:r>
      <w:r>
        <w:rPr>
          <w:rFonts w:eastAsia="Calibri" w:cs="Arial"/>
          <w:sz w:val="22"/>
          <w:szCs w:val="22"/>
        </w:rPr>
        <w:lastRenderedPageBreak/>
        <w:t xml:space="preserve">primeiros 90 dias após o AVC. Somado a isso, tem-se que 59% dos pacientes que estavam em casa reabilitaram suas habilidades funcionais, enquanto a taxa dos que estavam no hospital foi de apenas 4%.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5E2B5F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Foi possível compreender que a realização de </w:t>
      </w:r>
      <w:proofErr w:type="spellStart"/>
      <w:r>
        <w:rPr>
          <w:rFonts w:eastAsia="Calibri" w:cs="Arial"/>
          <w:sz w:val="22"/>
          <w:szCs w:val="22"/>
        </w:rPr>
        <w:t>trombectomia</w:t>
      </w:r>
      <w:proofErr w:type="spellEnd"/>
      <w:r>
        <w:rPr>
          <w:rFonts w:eastAsia="Calibri" w:cs="Arial"/>
          <w:sz w:val="22"/>
          <w:szCs w:val="22"/>
        </w:rPr>
        <w:t xml:space="preserve"> em pacientes aptos ao procedimento resulta numa maior recuperação de habilidades funcionais, o que gera um menor índice de incapacidade física e motora, além de uma qualidade de vida mais desejável, em razão, principalmente, da possibilidade de uma rápida alta hospitalar. Assim, a terapia </w:t>
      </w:r>
      <w:proofErr w:type="spellStart"/>
      <w:r>
        <w:rPr>
          <w:rFonts w:eastAsia="Calibri" w:cs="Arial"/>
          <w:sz w:val="22"/>
          <w:szCs w:val="22"/>
        </w:rPr>
        <w:t>endovascular</w:t>
      </w:r>
      <w:proofErr w:type="spellEnd"/>
      <w:r>
        <w:rPr>
          <w:rFonts w:eastAsia="Calibri" w:cs="Arial"/>
          <w:sz w:val="22"/>
          <w:szCs w:val="22"/>
        </w:rPr>
        <w:t xml:space="preserve"> impacta positivamente na reabilitação biopsicossocial do indivíduo acometido pelo AVC isquêmico, pois é mais eficaz no tocante à preservação da independência</w:t>
      </w:r>
      <w:r w:rsidR="00622EAC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>do paciente.</w:t>
      </w:r>
    </w:p>
    <w:p w14:paraId="3C061787" w14:textId="2C384CB8" w:rsidR="00191423" w:rsidRPr="00622EAC" w:rsidRDefault="00534CB2" w:rsidP="00622EAC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A370DE">
        <w:rPr>
          <w:rFonts w:eastAsia="Calibri" w:cs="Arial"/>
          <w:sz w:val="22"/>
          <w:szCs w:val="22"/>
        </w:rPr>
        <w:t xml:space="preserve">AVC. Reabilitação. </w:t>
      </w:r>
      <w:proofErr w:type="spellStart"/>
      <w:r w:rsidR="00A370DE">
        <w:rPr>
          <w:rFonts w:eastAsia="Calibri" w:cs="Arial"/>
          <w:sz w:val="22"/>
          <w:szCs w:val="22"/>
        </w:rPr>
        <w:t>Trombectomia</w:t>
      </w:r>
      <w:proofErr w:type="spellEnd"/>
      <w:r w:rsidR="00A370DE">
        <w:rPr>
          <w:rFonts w:eastAsia="Calibri" w:cs="Arial"/>
          <w:sz w:val="22"/>
          <w:szCs w:val="22"/>
        </w:rPr>
        <w:t>.</w:t>
      </w:r>
      <w:r w:rsidRPr="005E2B5F">
        <w:rPr>
          <w:rFonts w:eastAsia="Calibri" w:cs="Arial"/>
          <w:sz w:val="22"/>
          <w:szCs w:val="22"/>
        </w:rPr>
        <w:t xml:space="preserve"> </w:t>
      </w:r>
      <w:r w:rsidR="00D7675A"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FBD110F" w14:textId="29BF8296" w:rsidR="00DC7F44" w:rsidRDefault="00DC7F44" w:rsidP="00DC7F44">
      <w:pPr>
        <w:spacing w:line="240" w:lineRule="auto"/>
        <w:rPr>
          <w:rFonts w:cs="Arial"/>
          <w:sz w:val="20"/>
          <w:szCs w:val="20"/>
        </w:rPr>
      </w:pPr>
      <w:r w:rsidRPr="00DC7F44">
        <w:rPr>
          <w:rFonts w:cs="Arial"/>
          <w:sz w:val="20"/>
          <w:szCs w:val="20"/>
        </w:rPr>
        <w:t xml:space="preserve">ALBERS, G. W. et al. </w:t>
      </w:r>
      <w:proofErr w:type="spellStart"/>
      <w:r w:rsidRPr="00DC7F44">
        <w:rPr>
          <w:rFonts w:cs="Arial"/>
          <w:sz w:val="20"/>
          <w:szCs w:val="20"/>
        </w:rPr>
        <w:t>Thrombectomy</w:t>
      </w:r>
      <w:proofErr w:type="spellEnd"/>
      <w:r w:rsidRPr="00DC7F44">
        <w:rPr>
          <w:rFonts w:cs="Arial"/>
          <w:sz w:val="20"/>
          <w:szCs w:val="20"/>
        </w:rPr>
        <w:t xml:space="preserve"> for </w:t>
      </w:r>
      <w:proofErr w:type="spellStart"/>
      <w:r w:rsidRPr="00DC7F44">
        <w:rPr>
          <w:rFonts w:cs="Arial"/>
          <w:sz w:val="20"/>
          <w:szCs w:val="20"/>
        </w:rPr>
        <w:t>Stroke</w:t>
      </w:r>
      <w:proofErr w:type="spellEnd"/>
      <w:r w:rsidRPr="00DC7F44">
        <w:rPr>
          <w:rFonts w:cs="Arial"/>
          <w:sz w:val="20"/>
          <w:szCs w:val="20"/>
        </w:rPr>
        <w:t xml:space="preserve"> </w:t>
      </w:r>
      <w:proofErr w:type="spellStart"/>
      <w:r w:rsidRPr="00DC7F44">
        <w:rPr>
          <w:rFonts w:cs="Arial"/>
          <w:sz w:val="20"/>
          <w:szCs w:val="20"/>
        </w:rPr>
        <w:t>at</w:t>
      </w:r>
      <w:proofErr w:type="spellEnd"/>
      <w:r w:rsidRPr="00DC7F44">
        <w:rPr>
          <w:rFonts w:cs="Arial"/>
          <w:sz w:val="20"/>
          <w:szCs w:val="20"/>
        </w:rPr>
        <w:t xml:space="preserve"> 6 </w:t>
      </w:r>
      <w:proofErr w:type="spellStart"/>
      <w:r w:rsidRPr="00DC7F44">
        <w:rPr>
          <w:rFonts w:cs="Arial"/>
          <w:sz w:val="20"/>
          <w:szCs w:val="20"/>
        </w:rPr>
        <w:t>to</w:t>
      </w:r>
      <w:proofErr w:type="spellEnd"/>
      <w:r w:rsidRPr="00DC7F44">
        <w:rPr>
          <w:rFonts w:cs="Arial"/>
          <w:sz w:val="20"/>
          <w:szCs w:val="20"/>
        </w:rPr>
        <w:t xml:space="preserve"> 16 Hours </w:t>
      </w:r>
      <w:proofErr w:type="spellStart"/>
      <w:r w:rsidRPr="00DC7F44">
        <w:rPr>
          <w:rFonts w:cs="Arial"/>
          <w:sz w:val="20"/>
          <w:szCs w:val="20"/>
        </w:rPr>
        <w:t>with</w:t>
      </w:r>
      <w:proofErr w:type="spellEnd"/>
      <w:r w:rsidRPr="00DC7F44">
        <w:rPr>
          <w:rFonts w:cs="Arial"/>
          <w:sz w:val="20"/>
          <w:szCs w:val="20"/>
        </w:rPr>
        <w:t xml:space="preserve"> </w:t>
      </w:r>
      <w:proofErr w:type="spellStart"/>
      <w:r w:rsidRPr="00DC7F44">
        <w:rPr>
          <w:rFonts w:cs="Arial"/>
          <w:sz w:val="20"/>
          <w:szCs w:val="20"/>
        </w:rPr>
        <w:t>Selection</w:t>
      </w:r>
      <w:proofErr w:type="spellEnd"/>
      <w:r w:rsidRPr="00DC7F44">
        <w:rPr>
          <w:rFonts w:cs="Arial"/>
          <w:sz w:val="20"/>
          <w:szCs w:val="20"/>
        </w:rPr>
        <w:t xml:space="preserve"> </w:t>
      </w:r>
      <w:proofErr w:type="spellStart"/>
      <w:r w:rsidRPr="00DC7F44">
        <w:rPr>
          <w:rFonts w:cs="Arial"/>
          <w:sz w:val="20"/>
          <w:szCs w:val="20"/>
        </w:rPr>
        <w:t>by</w:t>
      </w:r>
      <w:proofErr w:type="spellEnd"/>
      <w:r w:rsidRPr="00DC7F44">
        <w:rPr>
          <w:rFonts w:cs="Arial"/>
          <w:sz w:val="20"/>
          <w:szCs w:val="20"/>
        </w:rPr>
        <w:t xml:space="preserve"> </w:t>
      </w:r>
      <w:proofErr w:type="spellStart"/>
      <w:r w:rsidRPr="00DC7F44">
        <w:rPr>
          <w:rFonts w:cs="Arial"/>
          <w:sz w:val="20"/>
          <w:szCs w:val="20"/>
        </w:rPr>
        <w:t>Perfusion</w:t>
      </w:r>
      <w:proofErr w:type="spellEnd"/>
      <w:r w:rsidRPr="00DC7F44">
        <w:rPr>
          <w:rFonts w:cs="Arial"/>
          <w:sz w:val="20"/>
          <w:szCs w:val="20"/>
        </w:rPr>
        <w:t xml:space="preserve"> </w:t>
      </w:r>
      <w:proofErr w:type="spellStart"/>
      <w:r w:rsidRPr="00DC7F44">
        <w:rPr>
          <w:rFonts w:cs="Arial"/>
          <w:sz w:val="20"/>
          <w:szCs w:val="20"/>
        </w:rPr>
        <w:t>Imaging</w:t>
      </w:r>
      <w:proofErr w:type="spellEnd"/>
      <w:r w:rsidRPr="00DC7F44">
        <w:rPr>
          <w:rFonts w:cs="Arial"/>
          <w:sz w:val="20"/>
          <w:szCs w:val="20"/>
        </w:rPr>
        <w:t xml:space="preserve">. </w:t>
      </w:r>
      <w:r w:rsidRPr="00DC7F44">
        <w:rPr>
          <w:rFonts w:cs="Arial"/>
          <w:b/>
          <w:bCs/>
          <w:sz w:val="20"/>
          <w:szCs w:val="20"/>
        </w:rPr>
        <w:t xml:space="preserve">New </w:t>
      </w:r>
      <w:proofErr w:type="spellStart"/>
      <w:r w:rsidRPr="00DC7F44">
        <w:rPr>
          <w:rFonts w:cs="Arial"/>
          <w:b/>
          <w:bCs/>
          <w:sz w:val="20"/>
          <w:szCs w:val="20"/>
        </w:rPr>
        <w:t>England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C7F44">
        <w:rPr>
          <w:rFonts w:cs="Arial"/>
          <w:b/>
          <w:bCs/>
          <w:sz w:val="20"/>
          <w:szCs w:val="20"/>
        </w:rPr>
        <w:t>Journal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DC7F44">
        <w:rPr>
          <w:rFonts w:cs="Arial"/>
          <w:b/>
          <w:bCs/>
          <w:sz w:val="20"/>
          <w:szCs w:val="20"/>
        </w:rPr>
        <w:t>of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Medicine</w:t>
      </w:r>
      <w:proofErr w:type="gramEnd"/>
      <w:r w:rsidRPr="00DC7F44">
        <w:rPr>
          <w:rFonts w:cs="Arial"/>
          <w:sz w:val="20"/>
          <w:szCs w:val="20"/>
        </w:rPr>
        <w:t>, v. 378, n. 8, p. 708–718, 22 fev. 2018.</w:t>
      </w:r>
    </w:p>
    <w:p w14:paraId="33016ABE" w14:textId="46EA3806" w:rsidR="00DC7F44" w:rsidRDefault="00DC7F44" w:rsidP="00DC7F44">
      <w:pPr>
        <w:spacing w:line="240" w:lineRule="auto"/>
        <w:rPr>
          <w:rFonts w:cs="Arial"/>
          <w:sz w:val="20"/>
          <w:szCs w:val="20"/>
        </w:rPr>
      </w:pPr>
      <w:r w:rsidRPr="00DC7F44">
        <w:rPr>
          <w:rFonts w:cs="Arial"/>
          <w:sz w:val="20"/>
          <w:szCs w:val="20"/>
        </w:rPr>
        <w:t xml:space="preserve">TATE, W. J. et al. </w:t>
      </w:r>
      <w:proofErr w:type="spellStart"/>
      <w:r w:rsidRPr="00DC7F44">
        <w:rPr>
          <w:rFonts w:cs="Arial"/>
          <w:sz w:val="20"/>
          <w:szCs w:val="20"/>
        </w:rPr>
        <w:t>Thrombectomy</w:t>
      </w:r>
      <w:proofErr w:type="spellEnd"/>
      <w:r w:rsidRPr="00DC7F44">
        <w:rPr>
          <w:rFonts w:cs="Arial"/>
          <w:sz w:val="20"/>
          <w:szCs w:val="20"/>
        </w:rPr>
        <w:t xml:space="preserve"> </w:t>
      </w:r>
      <w:proofErr w:type="spellStart"/>
      <w:r w:rsidRPr="00DC7F44">
        <w:rPr>
          <w:rFonts w:cs="Arial"/>
          <w:sz w:val="20"/>
          <w:szCs w:val="20"/>
        </w:rPr>
        <w:t>Results</w:t>
      </w:r>
      <w:proofErr w:type="spellEnd"/>
      <w:r w:rsidRPr="00DC7F44">
        <w:rPr>
          <w:rFonts w:cs="Arial"/>
          <w:sz w:val="20"/>
          <w:szCs w:val="20"/>
        </w:rPr>
        <w:t xml:space="preserve"> in </w:t>
      </w:r>
      <w:proofErr w:type="spellStart"/>
      <w:r w:rsidRPr="00DC7F44">
        <w:rPr>
          <w:rFonts w:cs="Arial"/>
          <w:sz w:val="20"/>
          <w:szCs w:val="20"/>
        </w:rPr>
        <w:t>Reduced</w:t>
      </w:r>
      <w:proofErr w:type="spellEnd"/>
      <w:r w:rsidRPr="00DC7F44">
        <w:rPr>
          <w:rFonts w:cs="Arial"/>
          <w:sz w:val="20"/>
          <w:szCs w:val="20"/>
        </w:rPr>
        <w:t xml:space="preserve"> Hospital </w:t>
      </w:r>
      <w:proofErr w:type="spellStart"/>
      <w:r w:rsidRPr="00DC7F44">
        <w:rPr>
          <w:rFonts w:cs="Arial"/>
          <w:sz w:val="20"/>
          <w:szCs w:val="20"/>
        </w:rPr>
        <w:t>Stay</w:t>
      </w:r>
      <w:proofErr w:type="spellEnd"/>
      <w:r w:rsidRPr="00DC7F44">
        <w:rPr>
          <w:rFonts w:cs="Arial"/>
          <w:sz w:val="20"/>
          <w:szCs w:val="20"/>
        </w:rPr>
        <w:t xml:space="preserve">, More Home-Time, </w:t>
      </w:r>
      <w:proofErr w:type="spellStart"/>
      <w:r w:rsidRPr="00DC7F44">
        <w:rPr>
          <w:rFonts w:cs="Arial"/>
          <w:sz w:val="20"/>
          <w:szCs w:val="20"/>
        </w:rPr>
        <w:t>and</w:t>
      </w:r>
      <w:proofErr w:type="spellEnd"/>
      <w:r w:rsidRPr="00DC7F44">
        <w:rPr>
          <w:rFonts w:cs="Arial"/>
          <w:sz w:val="20"/>
          <w:szCs w:val="20"/>
        </w:rPr>
        <w:t xml:space="preserve"> More </w:t>
      </w:r>
      <w:proofErr w:type="spellStart"/>
      <w:r w:rsidRPr="00DC7F44">
        <w:rPr>
          <w:rFonts w:cs="Arial"/>
          <w:sz w:val="20"/>
          <w:szCs w:val="20"/>
        </w:rPr>
        <w:t>Favorable</w:t>
      </w:r>
      <w:proofErr w:type="spellEnd"/>
      <w:r w:rsidRPr="00DC7F44">
        <w:rPr>
          <w:rFonts w:cs="Arial"/>
          <w:sz w:val="20"/>
          <w:szCs w:val="20"/>
        </w:rPr>
        <w:t xml:space="preserve"> Living </w:t>
      </w:r>
      <w:proofErr w:type="spellStart"/>
      <w:r w:rsidRPr="00DC7F44">
        <w:rPr>
          <w:rFonts w:cs="Arial"/>
          <w:sz w:val="20"/>
          <w:szCs w:val="20"/>
        </w:rPr>
        <w:t>Situations</w:t>
      </w:r>
      <w:proofErr w:type="spellEnd"/>
      <w:r w:rsidRPr="00DC7F44">
        <w:rPr>
          <w:rFonts w:cs="Arial"/>
          <w:sz w:val="20"/>
          <w:szCs w:val="20"/>
        </w:rPr>
        <w:t xml:space="preserve"> in DEFUSE 3. </w:t>
      </w:r>
      <w:proofErr w:type="spellStart"/>
      <w:r w:rsidRPr="00DC7F44">
        <w:rPr>
          <w:rFonts w:cs="Arial"/>
          <w:b/>
          <w:bCs/>
          <w:sz w:val="20"/>
          <w:szCs w:val="20"/>
        </w:rPr>
        <w:t>Stroke</w:t>
      </w:r>
      <w:proofErr w:type="spellEnd"/>
      <w:r w:rsidRPr="00DC7F44">
        <w:rPr>
          <w:rFonts w:cs="Arial"/>
          <w:sz w:val="20"/>
          <w:szCs w:val="20"/>
        </w:rPr>
        <w:t>, v. 50, n. 9, p. 2578–2581, 1 set. 2019.</w:t>
      </w:r>
    </w:p>
    <w:p w14:paraId="22742249" w14:textId="58302180" w:rsidR="00DC7F44" w:rsidRDefault="00DC7F44" w:rsidP="00DC7F44">
      <w:pPr>
        <w:spacing w:line="240" w:lineRule="auto"/>
        <w:rPr>
          <w:rFonts w:cs="Arial"/>
          <w:sz w:val="20"/>
          <w:szCs w:val="20"/>
        </w:rPr>
      </w:pPr>
      <w:r w:rsidRPr="00DC7F44">
        <w:rPr>
          <w:rFonts w:cs="Arial"/>
          <w:sz w:val="20"/>
          <w:szCs w:val="20"/>
        </w:rPr>
        <w:t xml:space="preserve">MARTINS, S. O. et al. </w:t>
      </w:r>
      <w:proofErr w:type="spellStart"/>
      <w:r w:rsidRPr="00DC7F44">
        <w:rPr>
          <w:rFonts w:cs="Arial"/>
          <w:sz w:val="20"/>
          <w:szCs w:val="20"/>
        </w:rPr>
        <w:t>Thrombectomy</w:t>
      </w:r>
      <w:proofErr w:type="spellEnd"/>
      <w:r w:rsidRPr="00DC7F44">
        <w:rPr>
          <w:rFonts w:cs="Arial"/>
          <w:sz w:val="20"/>
          <w:szCs w:val="20"/>
        </w:rPr>
        <w:t xml:space="preserve"> for </w:t>
      </w:r>
      <w:proofErr w:type="spellStart"/>
      <w:r w:rsidRPr="00DC7F44">
        <w:rPr>
          <w:rFonts w:cs="Arial"/>
          <w:sz w:val="20"/>
          <w:szCs w:val="20"/>
        </w:rPr>
        <w:t>Stroke</w:t>
      </w:r>
      <w:proofErr w:type="spellEnd"/>
      <w:r w:rsidRPr="00DC7F44">
        <w:rPr>
          <w:rFonts w:cs="Arial"/>
          <w:sz w:val="20"/>
          <w:szCs w:val="20"/>
        </w:rPr>
        <w:t xml:space="preserve"> in </w:t>
      </w:r>
      <w:proofErr w:type="spellStart"/>
      <w:r w:rsidRPr="00DC7F44">
        <w:rPr>
          <w:rFonts w:cs="Arial"/>
          <w:sz w:val="20"/>
          <w:szCs w:val="20"/>
        </w:rPr>
        <w:t>the</w:t>
      </w:r>
      <w:proofErr w:type="spellEnd"/>
      <w:r w:rsidRPr="00DC7F44">
        <w:rPr>
          <w:rFonts w:cs="Arial"/>
          <w:sz w:val="20"/>
          <w:szCs w:val="20"/>
        </w:rPr>
        <w:t xml:space="preserve"> </w:t>
      </w:r>
      <w:proofErr w:type="spellStart"/>
      <w:r w:rsidRPr="00DC7F44">
        <w:rPr>
          <w:rFonts w:cs="Arial"/>
          <w:sz w:val="20"/>
          <w:szCs w:val="20"/>
        </w:rPr>
        <w:t>Public</w:t>
      </w:r>
      <w:proofErr w:type="spellEnd"/>
      <w:r w:rsidRPr="00DC7F44">
        <w:rPr>
          <w:rFonts w:cs="Arial"/>
          <w:sz w:val="20"/>
          <w:szCs w:val="20"/>
        </w:rPr>
        <w:t xml:space="preserve"> Health </w:t>
      </w:r>
      <w:proofErr w:type="spellStart"/>
      <w:r w:rsidRPr="00DC7F44">
        <w:rPr>
          <w:rFonts w:cs="Arial"/>
          <w:sz w:val="20"/>
          <w:szCs w:val="20"/>
        </w:rPr>
        <w:t>Care</w:t>
      </w:r>
      <w:proofErr w:type="spellEnd"/>
      <w:r w:rsidRPr="00DC7F44">
        <w:rPr>
          <w:rFonts w:cs="Arial"/>
          <w:sz w:val="20"/>
          <w:szCs w:val="20"/>
        </w:rPr>
        <w:t xml:space="preserve"> System </w:t>
      </w:r>
      <w:proofErr w:type="spellStart"/>
      <w:r w:rsidRPr="00DC7F44">
        <w:rPr>
          <w:rFonts w:cs="Arial"/>
          <w:sz w:val="20"/>
          <w:szCs w:val="20"/>
        </w:rPr>
        <w:t>of</w:t>
      </w:r>
      <w:proofErr w:type="spellEnd"/>
      <w:r w:rsidRPr="00DC7F44">
        <w:rPr>
          <w:rFonts w:cs="Arial"/>
          <w:sz w:val="20"/>
          <w:szCs w:val="20"/>
        </w:rPr>
        <w:t xml:space="preserve"> </w:t>
      </w:r>
      <w:proofErr w:type="spellStart"/>
      <w:r w:rsidRPr="00DC7F44">
        <w:rPr>
          <w:rFonts w:cs="Arial"/>
          <w:sz w:val="20"/>
          <w:szCs w:val="20"/>
        </w:rPr>
        <w:t>Brazil</w:t>
      </w:r>
      <w:proofErr w:type="spellEnd"/>
      <w:r w:rsidRPr="00DC7F44">
        <w:rPr>
          <w:rFonts w:cs="Arial"/>
          <w:sz w:val="20"/>
          <w:szCs w:val="20"/>
        </w:rPr>
        <w:t xml:space="preserve">. </w:t>
      </w:r>
      <w:r w:rsidRPr="00DC7F44">
        <w:rPr>
          <w:rFonts w:cs="Arial"/>
          <w:b/>
          <w:bCs/>
          <w:sz w:val="20"/>
          <w:szCs w:val="20"/>
        </w:rPr>
        <w:t xml:space="preserve">New </w:t>
      </w:r>
      <w:proofErr w:type="spellStart"/>
      <w:r w:rsidRPr="00DC7F44">
        <w:rPr>
          <w:rFonts w:cs="Arial"/>
          <w:b/>
          <w:bCs/>
          <w:sz w:val="20"/>
          <w:szCs w:val="20"/>
        </w:rPr>
        <w:t>England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C7F44">
        <w:rPr>
          <w:rFonts w:cs="Arial"/>
          <w:b/>
          <w:bCs/>
          <w:sz w:val="20"/>
          <w:szCs w:val="20"/>
        </w:rPr>
        <w:t>Journal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DC7F44">
        <w:rPr>
          <w:rFonts w:cs="Arial"/>
          <w:b/>
          <w:bCs/>
          <w:sz w:val="20"/>
          <w:szCs w:val="20"/>
        </w:rPr>
        <w:t>of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Medicine</w:t>
      </w:r>
      <w:proofErr w:type="gramEnd"/>
      <w:r w:rsidRPr="00DC7F44">
        <w:rPr>
          <w:rFonts w:cs="Arial"/>
          <w:sz w:val="20"/>
          <w:szCs w:val="20"/>
        </w:rPr>
        <w:t>, v. 382, n. 24, p. 2316–2326, 11 jun. 2020.</w:t>
      </w:r>
    </w:p>
    <w:p w14:paraId="49820497" w14:textId="11875699" w:rsidR="00DC7F44" w:rsidRDefault="00DC7F44" w:rsidP="00DC7F44">
      <w:pPr>
        <w:spacing w:line="240" w:lineRule="auto"/>
        <w:rPr>
          <w:rFonts w:cs="Arial"/>
          <w:sz w:val="20"/>
          <w:szCs w:val="20"/>
        </w:rPr>
      </w:pPr>
      <w:r w:rsidRPr="00DC7F44">
        <w:rPr>
          <w:rFonts w:cs="Arial"/>
          <w:b/>
          <w:bCs/>
          <w:sz w:val="20"/>
          <w:szCs w:val="20"/>
        </w:rPr>
        <w:t xml:space="preserve">GUIDELINES FOR THE EARLY MANAGEMENT OF PATIENTS WITH ACUTE ISCHEMIC STROKE: 2019 Update </w:t>
      </w:r>
      <w:proofErr w:type="spellStart"/>
      <w:r w:rsidRPr="00DC7F44">
        <w:rPr>
          <w:rFonts w:cs="Arial"/>
          <w:b/>
          <w:bCs/>
          <w:sz w:val="20"/>
          <w:szCs w:val="20"/>
        </w:rPr>
        <w:t>to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C7F44">
        <w:rPr>
          <w:rFonts w:cs="Arial"/>
          <w:b/>
          <w:bCs/>
          <w:sz w:val="20"/>
          <w:szCs w:val="20"/>
        </w:rPr>
        <w:t>the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2018 </w:t>
      </w:r>
      <w:proofErr w:type="spellStart"/>
      <w:r w:rsidRPr="00DC7F44">
        <w:rPr>
          <w:rFonts w:cs="Arial"/>
          <w:b/>
          <w:bCs/>
          <w:sz w:val="20"/>
          <w:szCs w:val="20"/>
        </w:rPr>
        <w:t>Guidelines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for </w:t>
      </w:r>
      <w:proofErr w:type="spellStart"/>
      <w:r w:rsidRPr="00DC7F44">
        <w:rPr>
          <w:rFonts w:cs="Arial"/>
          <w:b/>
          <w:bCs/>
          <w:sz w:val="20"/>
          <w:szCs w:val="20"/>
        </w:rPr>
        <w:t>the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Early Management </w:t>
      </w:r>
      <w:proofErr w:type="spellStart"/>
      <w:r w:rsidRPr="00DC7F44">
        <w:rPr>
          <w:rFonts w:cs="Arial"/>
          <w:b/>
          <w:bCs/>
          <w:sz w:val="20"/>
          <w:szCs w:val="20"/>
        </w:rPr>
        <w:t>of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C7F44">
        <w:rPr>
          <w:rFonts w:cs="Arial"/>
          <w:b/>
          <w:bCs/>
          <w:sz w:val="20"/>
          <w:szCs w:val="20"/>
        </w:rPr>
        <w:t>Acute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C7F44">
        <w:rPr>
          <w:rFonts w:cs="Arial"/>
          <w:b/>
          <w:bCs/>
          <w:sz w:val="20"/>
          <w:szCs w:val="20"/>
        </w:rPr>
        <w:t>Ischemic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C7F44">
        <w:rPr>
          <w:rFonts w:cs="Arial"/>
          <w:b/>
          <w:bCs/>
          <w:sz w:val="20"/>
          <w:szCs w:val="20"/>
        </w:rPr>
        <w:t>Stroke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A </w:t>
      </w:r>
      <w:proofErr w:type="spellStart"/>
      <w:r w:rsidRPr="00DC7F44">
        <w:rPr>
          <w:rFonts w:cs="Arial"/>
          <w:b/>
          <w:bCs/>
          <w:sz w:val="20"/>
          <w:szCs w:val="20"/>
        </w:rPr>
        <w:t>Summary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for Healthcare </w:t>
      </w:r>
      <w:proofErr w:type="spellStart"/>
      <w:r w:rsidRPr="00DC7F44">
        <w:rPr>
          <w:rFonts w:cs="Arial"/>
          <w:b/>
          <w:bCs/>
          <w:sz w:val="20"/>
          <w:szCs w:val="20"/>
        </w:rPr>
        <w:t>Professionals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C7F44">
        <w:rPr>
          <w:rFonts w:cs="Arial"/>
          <w:b/>
          <w:bCs/>
          <w:sz w:val="20"/>
          <w:szCs w:val="20"/>
        </w:rPr>
        <w:t>from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C7F44">
        <w:rPr>
          <w:rFonts w:cs="Arial"/>
          <w:b/>
          <w:bCs/>
          <w:sz w:val="20"/>
          <w:szCs w:val="20"/>
        </w:rPr>
        <w:t>the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American </w:t>
      </w:r>
      <w:proofErr w:type="spellStart"/>
      <w:r w:rsidRPr="00DC7F44">
        <w:rPr>
          <w:rFonts w:cs="Arial"/>
          <w:b/>
          <w:bCs/>
          <w:sz w:val="20"/>
          <w:szCs w:val="20"/>
        </w:rPr>
        <w:t>Stroke</w:t>
      </w:r>
      <w:proofErr w:type="spellEnd"/>
      <w:r w:rsidRPr="00DC7F4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DC7F44">
        <w:rPr>
          <w:rFonts w:cs="Arial"/>
          <w:b/>
          <w:bCs/>
          <w:sz w:val="20"/>
          <w:szCs w:val="20"/>
        </w:rPr>
        <w:t>Association</w:t>
      </w:r>
      <w:proofErr w:type="spellEnd"/>
      <w:r w:rsidRPr="00DC7F44">
        <w:rPr>
          <w:rFonts w:cs="Arial"/>
          <w:b/>
          <w:bCs/>
          <w:sz w:val="20"/>
          <w:szCs w:val="20"/>
        </w:rPr>
        <w:t>.</w:t>
      </w:r>
      <w:r w:rsidRPr="00DC7F44">
        <w:rPr>
          <w:rFonts w:cs="Arial"/>
          <w:sz w:val="20"/>
          <w:szCs w:val="20"/>
        </w:rPr>
        <w:t xml:space="preserve"> [</w:t>
      </w:r>
      <w:proofErr w:type="spellStart"/>
      <w:r w:rsidRPr="00DC7F44">
        <w:rPr>
          <w:rFonts w:cs="Arial"/>
          <w:sz w:val="20"/>
          <w:szCs w:val="20"/>
        </w:rPr>
        <w:t>s.l</w:t>
      </w:r>
      <w:proofErr w:type="spellEnd"/>
      <w:r w:rsidRPr="00DC7F44">
        <w:rPr>
          <w:rFonts w:cs="Arial"/>
          <w:sz w:val="20"/>
          <w:szCs w:val="20"/>
        </w:rPr>
        <w:t>: s.n.]. Disponível em: &lt;https://www.stroke.org/-/media/Stroke-Files/Ischemic-Stroke-Professional-Materials/AIS-Toolkit/Guidelines-for-Mangaging-Patients-with-AIS-2019-Update-to-2018-Guidelines.pdf&gt;.</w:t>
      </w:r>
    </w:p>
    <w:p w14:paraId="63C63B9F" w14:textId="77777777" w:rsidR="00DC7F44" w:rsidRPr="00305463" w:rsidRDefault="00DC7F44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77777777" w:rsidR="00CD07AD" w:rsidRDefault="00CD07AD" w:rsidP="00AD685C"/>
    <w:sectPr w:rsidR="00CD07AD" w:rsidSect="001566CF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180F" w14:textId="77777777" w:rsidR="00961CCC" w:rsidRDefault="00961CCC" w:rsidP="00EE20DF">
      <w:pPr>
        <w:spacing w:line="240" w:lineRule="auto"/>
      </w:pPr>
      <w:r>
        <w:separator/>
      </w:r>
    </w:p>
  </w:endnote>
  <w:endnote w:type="continuationSeparator" w:id="0">
    <w:p w14:paraId="0B5BC303" w14:textId="77777777" w:rsidR="00961CCC" w:rsidRDefault="00961CCC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D5AF" w14:textId="77777777" w:rsidR="00961CCC" w:rsidRDefault="00961CCC" w:rsidP="00EE20DF">
      <w:pPr>
        <w:spacing w:line="240" w:lineRule="auto"/>
      </w:pPr>
      <w:r>
        <w:separator/>
      </w:r>
    </w:p>
  </w:footnote>
  <w:footnote w:type="continuationSeparator" w:id="0">
    <w:p w14:paraId="7DE5C8D8" w14:textId="77777777" w:rsidR="00961CCC" w:rsidRDefault="00961CCC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0F6B4B"/>
    <w:rsid w:val="001000EB"/>
    <w:rsid w:val="0010326E"/>
    <w:rsid w:val="00117621"/>
    <w:rsid w:val="00117921"/>
    <w:rsid w:val="0013049E"/>
    <w:rsid w:val="00131847"/>
    <w:rsid w:val="00131B10"/>
    <w:rsid w:val="00136893"/>
    <w:rsid w:val="00144295"/>
    <w:rsid w:val="00147899"/>
    <w:rsid w:val="001566CF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D687C"/>
    <w:rsid w:val="002E24E4"/>
    <w:rsid w:val="002E2B51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22EAC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14194"/>
    <w:rsid w:val="00831426"/>
    <w:rsid w:val="0083212E"/>
    <w:rsid w:val="0084272D"/>
    <w:rsid w:val="00844F54"/>
    <w:rsid w:val="00853A5E"/>
    <w:rsid w:val="00865505"/>
    <w:rsid w:val="00880819"/>
    <w:rsid w:val="008A2493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61CCC"/>
    <w:rsid w:val="00982050"/>
    <w:rsid w:val="009B4AF9"/>
    <w:rsid w:val="009D36A3"/>
    <w:rsid w:val="009F7848"/>
    <w:rsid w:val="00A00ECE"/>
    <w:rsid w:val="00A27648"/>
    <w:rsid w:val="00A30863"/>
    <w:rsid w:val="00A30C1A"/>
    <w:rsid w:val="00A370DE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C7F44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262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383C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35E3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A2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RODRIGO JOSE TENORIO MOURA PACHECO</cp:lastModifiedBy>
  <cp:revision>2</cp:revision>
  <cp:lastPrinted>2022-10-21T00:48:00Z</cp:lastPrinted>
  <dcterms:created xsi:type="dcterms:W3CDTF">2022-10-21T00:50:00Z</dcterms:created>
  <dcterms:modified xsi:type="dcterms:W3CDTF">2022-10-21T00:50:00Z</dcterms:modified>
</cp:coreProperties>
</file>