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79099C" w14:textId="77777777" w:rsidR="005E7EDB" w:rsidRDefault="00000000">
      <w:pPr>
        <w:spacing w:after="46" w:line="240" w:lineRule="auto"/>
        <w:jc w:val="center"/>
      </w:pPr>
      <w:r>
        <w:rPr>
          <w:rFonts w:ascii="Times New Roman" w:hAnsi="Times New Roman" w:cs="Times New Roman"/>
          <w:b/>
          <w:bCs/>
          <w:color w:val="002F3C"/>
          <w:sz w:val="32"/>
          <w:szCs w:val="32"/>
        </w:rPr>
        <w:t>GUARDIÃO DA FLORESTA – ESTAÇÃO AMBIENTAL INTELIGENTE</w:t>
      </w:r>
    </w:p>
    <w:p w14:paraId="447273BF" w14:textId="77777777" w:rsidR="005E7EDB" w:rsidRDefault="00000000">
      <w:pPr>
        <w:spacing w:after="0" w:line="240" w:lineRule="auto"/>
        <w:jc w:val="right"/>
        <w:rPr>
          <w:rFonts w:ascii="Arial" w:hAnsi="Arial"/>
          <w:sz w:val="20"/>
          <w:szCs w:val="20"/>
        </w:rPr>
      </w:pPr>
      <w:r>
        <w:rPr>
          <w:rFonts w:ascii="Arial" w:hAnsi="Arial" w:cs="Times New Roman"/>
          <w:b/>
          <w:bCs/>
          <w:color w:val="002F3C"/>
          <w:sz w:val="20"/>
          <w:szCs w:val="20"/>
        </w:rPr>
        <w:t>Clévio Leite da Silva</w:t>
      </w:r>
    </w:p>
    <w:p w14:paraId="75CF4A90" w14:textId="77777777" w:rsidR="005E7EDB" w:rsidRDefault="00000000">
      <w:pPr>
        <w:spacing w:after="0" w:line="240" w:lineRule="auto"/>
        <w:jc w:val="right"/>
        <w:rPr>
          <w:rFonts w:ascii="Arial" w:hAnsi="Arial"/>
          <w:sz w:val="20"/>
          <w:szCs w:val="20"/>
        </w:rPr>
      </w:pPr>
      <w:r>
        <w:rPr>
          <w:rFonts w:ascii="Arial" w:hAnsi="Arial" w:cs="Times New Roman"/>
          <w:b/>
          <w:bCs/>
          <w:color w:val="002F3C"/>
          <w:sz w:val="20"/>
          <w:szCs w:val="20"/>
        </w:rPr>
        <w:t>CETI Agostinho Ernesto de Almeida</w:t>
      </w:r>
    </w:p>
    <w:p w14:paraId="2C6C70E6" w14:textId="77777777" w:rsidR="005E7EDB" w:rsidRDefault="00000000">
      <w:pPr>
        <w:spacing w:after="0" w:line="240" w:lineRule="auto"/>
        <w:jc w:val="right"/>
        <w:rPr>
          <w:rFonts w:ascii="Arial" w:hAnsi="Arial"/>
          <w:sz w:val="20"/>
          <w:szCs w:val="20"/>
        </w:rPr>
      </w:pPr>
      <w:r>
        <w:rPr>
          <w:rFonts w:ascii="Arial" w:hAnsi="Arial" w:cs="Times New Roman"/>
          <w:b/>
          <w:bCs/>
          <w:color w:val="002F3C"/>
          <w:sz w:val="20"/>
          <w:szCs w:val="20"/>
        </w:rPr>
        <w:t>Secretaria de Estado de Educação e Desporto Escolar - SEDUC</w:t>
      </w:r>
    </w:p>
    <w:p w14:paraId="5733E153" w14:textId="77777777" w:rsidR="005E7EDB" w:rsidRDefault="00000000">
      <w:pPr>
        <w:spacing w:after="0" w:line="240" w:lineRule="auto"/>
        <w:jc w:val="right"/>
      </w:pPr>
      <w:hyperlink r:id="rId6">
        <w:r>
          <w:rPr>
            <w:rStyle w:val="LinkdaInternet"/>
            <w:rFonts w:ascii="Arial" w:hAnsi="Arial" w:cs="Times New Roman"/>
            <w:color w:val="1A237E"/>
            <w:sz w:val="20"/>
            <w:szCs w:val="20"/>
          </w:rPr>
          <w:t>cleviols@hotmail.com</w:t>
        </w:r>
      </w:hyperlink>
    </w:p>
    <w:p w14:paraId="7C5808B6" w14:textId="77777777" w:rsidR="005E7EDB" w:rsidRDefault="00000000">
      <w:pPr>
        <w:spacing w:after="0" w:line="240" w:lineRule="auto"/>
        <w:jc w:val="right"/>
        <w:rPr>
          <w:rFonts w:ascii="Arial" w:hAnsi="Arial"/>
          <w:sz w:val="20"/>
          <w:szCs w:val="20"/>
        </w:rPr>
      </w:pPr>
      <w:r>
        <w:rPr>
          <w:rFonts w:ascii="Arial" w:hAnsi="Arial" w:cs="Arial"/>
          <w:b/>
          <w:bCs/>
          <w:color w:val="002F3C"/>
          <w:sz w:val="20"/>
          <w:szCs w:val="20"/>
        </w:rPr>
        <w:t xml:space="preserve">Prof. </w:t>
      </w:r>
      <w:proofErr w:type="spellStart"/>
      <w:r>
        <w:rPr>
          <w:rFonts w:ascii="Arial" w:hAnsi="Arial" w:cs="Arial"/>
          <w:b/>
          <w:bCs/>
          <w:color w:val="002F3C"/>
          <w:sz w:val="20"/>
          <w:szCs w:val="20"/>
        </w:rPr>
        <w:t>MSc</w:t>
      </w:r>
      <w:proofErr w:type="spellEnd"/>
      <w:r>
        <w:rPr>
          <w:rFonts w:ascii="Arial" w:hAnsi="Arial" w:cs="Arial"/>
          <w:b/>
          <w:bCs/>
          <w:color w:val="002F3C"/>
          <w:sz w:val="20"/>
          <w:szCs w:val="20"/>
        </w:rPr>
        <w:t>. Wanderlei Mendes Ferreira</w:t>
      </w:r>
    </w:p>
    <w:p w14:paraId="58532CF8" w14:textId="77777777" w:rsidR="005E7EDB" w:rsidRDefault="00000000">
      <w:pPr>
        <w:spacing w:after="0" w:line="240" w:lineRule="auto"/>
        <w:jc w:val="right"/>
        <w:rPr>
          <w:rFonts w:ascii="Arial" w:hAnsi="Arial"/>
          <w:sz w:val="20"/>
          <w:szCs w:val="20"/>
        </w:rPr>
      </w:pPr>
      <w:r>
        <w:rPr>
          <w:rFonts w:ascii="Arial" w:hAnsi="Arial" w:cs="Arial"/>
          <w:b/>
          <w:bCs/>
          <w:color w:val="002F3C"/>
          <w:sz w:val="20"/>
          <w:szCs w:val="20"/>
        </w:rPr>
        <w:t>Universidade Federal do Amazonas – UFAM</w:t>
      </w:r>
    </w:p>
    <w:p w14:paraId="09F113DE" w14:textId="77777777" w:rsidR="005E7EDB" w:rsidRDefault="00000000">
      <w:pPr>
        <w:spacing w:after="0" w:line="240" w:lineRule="auto"/>
        <w:jc w:val="right"/>
        <w:rPr>
          <w:rFonts w:ascii="Arial" w:hAnsi="Arial"/>
          <w:sz w:val="20"/>
          <w:szCs w:val="20"/>
        </w:rPr>
      </w:pPr>
      <w:r>
        <w:rPr>
          <w:rFonts w:ascii="Arial" w:hAnsi="Arial" w:cs="Arial"/>
          <w:b/>
          <w:bCs/>
          <w:color w:val="002F3C"/>
          <w:sz w:val="20"/>
          <w:szCs w:val="20"/>
        </w:rPr>
        <w:t>Instituto de Educação, Agricultura e Ambiente – IEAA</w:t>
      </w:r>
    </w:p>
    <w:p w14:paraId="0093E319" w14:textId="171A9ED7" w:rsidR="005E7EDB" w:rsidRDefault="004B1F82">
      <w:pPr>
        <w:spacing w:after="0" w:line="240" w:lineRule="auto"/>
        <w:jc w:val="right"/>
        <w:rPr>
          <w:rFonts w:ascii="Arial" w:hAnsi="Arial"/>
          <w:sz w:val="20"/>
          <w:szCs w:val="20"/>
        </w:rPr>
      </w:pPr>
      <w:r>
        <w:rPr>
          <w:rFonts w:ascii="Arial" w:hAnsi="Arial" w:cs="Arial"/>
          <w:color w:val="1A237E"/>
          <w:sz w:val="20"/>
          <w:szCs w:val="20"/>
        </w:rPr>
        <w:t>wanderleimendes</w:t>
      </w:r>
      <w:r w:rsidR="00000000">
        <w:rPr>
          <w:rFonts w:ascii="Arial" w:hAnsi="Arial" w:cs="Arial"/>
          <w:color w:val="1A237E"/>
          <w:sz w:val="20"/>
          <w:szCs w:val="20"/>
        </w:rPr>
        <w:t>@ufam.edu.br</w:t>
      </w:r>
    </w:p>
    <w:p w14:paraId="447BF971" w14:textId="77777777" w:rsidR="005E7EDB" w:rsidRDefault="00000000">
      <w:pPr>
        <w:spacing w:after="0" w:line="240" w:lineRule="auto"/>
        <w:jc w:val="right"/>
        <w:rPr>
          <w:rFonts w:ascii="Arial" w:hAnsi="Arial"/>
          <w:sz w:val="20"/>
          <w:szCs w:val="20"/>
        </w:rPr>
      </w:pPr>
      <w:proofErr w:type="spellStart"/>
      <w:r>
        <w:rPr>
          <w:rFonts w:ascii="Arial" w:hAnsi="Arial" w:cs="Arial"/>
          <w:b/>
          <w:bCs/>
          <w:color w:val="002F3C"/>
          <w:sz w:val="20"/>
          <w:szCs w:val="20"/>
        </w:rPr>
        <w:t>Profª</w:t>
      </w:r>
      <w:proofErr w:type="spellEnd"/>
      <w:r>
        <w:rPr>
          <w:rFonts w:ascii="Arial" w:hAnsi="Arial" w:cs="Arial"/>
          <w:b/>
          <w:bCs/>
          <w:color w:val="002F3C"/>
          <w:sz w:val="20"/>
          <w:szCs w:val="20"/>
        </w:rPr>
        <w:t xml:space="preserve">. </w:t>
      </w:r>
      <w:proofErr w:type="spellStart"/>
      <w:r>
        <w:rPr>
          <w:rFonts w:ascii="Arial" w:hAnsi="Arial" w:cs="Arial"/>
          <w:b/>
          <w:bCs/>
          <w:color w:val="002F3C"/>
          <w:sz w:val="20"/>
          <w:szCs w:val="20"/>
        </w:rPr>
        <w:t>Dr</w:t>
      </w:r>
      <w:proofErr w:type="spellEnd"/>
      <w:r>
        <w:rPr>
          <w:rFonts w:ascii="Arial" w:hAnsi="Arial" w:cs="Arial"/>
          <w:b/>
          <w:bCs/>
          <w:color w:val="002F3C"/>
          <w:sz w:val="20"/>
          <w:szCs w:val="20"/>
        </w:rPr>
        <w:t xml:space="preserve">ª. </w:t>
      </w:r>
      <w:proofErr w:type="spellStart"/>
      <w:r>
        <w:rPr>
          <w:rFonts w:ascii="Arial" w:hAnsi="Arial"/>
          <w:b/>
          <w:bCs/>
          <w:sz w:val="20"/>
          <w:szCs w:val="20"/>
        </w:rPr>
        <w:t>Janeide</w:t>
      </w:r>
      <w:proofErr w:type="spellEnd"/>
      <w:r>
        <w:rPr>
          <w:rFonts w:ascii="Arial" w:hAnsi="Arial"/>
          <w:b/>
          <w:bCs/>
          <w:sz w:val="20"/>
          <w:szCs w:val="20"/>
        </w:rPr>
        <w:t xml:space="preserve"> Lima Alecrim</w:t>
      </w:r>
    </w:p>
    <w:p w14:paraId="631D4934" w14:textId="77777777" w:rsidR="005E7EDB" w:rsidRDefault="00000000">
      <w:pPr>
        <w:spacing w:after="0" w:line="240" w:lineRule="auto"/>
        <w:jc w:val="right"/>
        <w:rPr>
          <w:rFonts w:ascii="Arial" w:hAnsi="Arial"/>
          <w:sz w:val="20"/>
          <w:szCs w:val="20"/>
        </w:rPr>
      </w:pPr>
      <w:r>
        <w:rPr>
          <w:rFonts w:ascii="Arial" w:hAnsi="Arial" w:cs="Arial"/>
          <w:b/>
          <w:bCs/>
          <w:color w:val="002F3C"/>
          <w:sz w:val="20"/>
          <w:szCs w:val="20"/>
        </w:rPr>
        <w:t>Universidade Federal do Amazonas – UFAM</w:t>
      </w:r>
    </w:p>
    <w:p w14:paraId="758E3D6F" w14:textId="77777777" w:rsidR="005E7EDB" w:rsidRDefault="00000000">
      <w:pPr>
        <w:spacing w:after="0" w:line="240" w:lineRule="auto"/>
        <w:jc w:val="right"/>
        <w:rPr>
          <w:rFonts w:ascii="Arial" w:hAnsi="Arial"/>
          <w:sz w:val="20"/>
          <w:szCs w:val="20"/>
        </w:rPr>
      </w:pPr>
      <w:r>
        <w:rPr>
          <w:rFonts w:ascii="Arial" w:hAnsi="Arial" w:cs="Arial"/>
          <w:b/>
          <w:bCs/>
          <w:color w:val="002F3C"/>
          <w:sz w:val="20"/>
          <w:szCs w:val="20"/>
        </w:rPr>
        <w:t>Instituto de Educação, Agricultura e Ambiente – IEAA</w:t>
      </w:r>
    </w:p>
    <w:p w14:paraId="6CD7BA97" w14:textId="77777777" w:rsidR="005E7EDB" w:rsidRDefault="00000000">
      <w:pPr>
        <w:spacing w:after="0" w:line="240" w:lineRule="auto"/>
        <w:jc w:val="right"/>
        <w:rPr>
          <w:rFonts w:ascii="Times New Roman" w:hAnsi="Times New Roman"/>
          <w:sz w:val="20"/>
          <w:szCs w:val="20"/>
        </w:rPr>
      </w:pPr>
      <w:r>
        <w:rPr>
          <w:rFonts w:ascii="Arial" w:hAnsi="Arial" w:cs="Arial"/>
          <w:color w:val="1A237E"/>
          <w:sz w:val="20"/>
          <w:szCs w:val="20"/>
        </w:rPr>
        <w:t>janeide_lima@ufam.edu.br</w:t>
      </w:r>
      <w:r>
        <w:rPr>
          <w:rFonts w:ascii="Times New Roman" w:hAnsi="Times New Roman" w:cs="Times New Roman"/>
          <w:b/>
          <w:bCs/>
          <w:color w:val="002F3C"/>
          <w:sz w:val="20"/>
          <w:szCs w:val="20"/>
        </w:rPr>
        <w:t xml:space="preserve"> </w:t>
      </w:r>
    </w:p>
    <w:p w14:paraId="2B1E2905" w14:textId="77777777" w:rsidR="005E7EDB" w:rsidRDefault="005E7EDB">
      <w:pPr>
        <w:spacing w:after="0" w:line="240" w:lineRule="auto"/>
        <w:jc w:val="both"/>
        <w:rPr>
          <w:rFonts w:ascii="Times New Roman" w:hAnsi="Times New Roman" w:cs="Times New Roman"/>
          <w:color w:val="002F3C"/>
        </w:rPr>
      </w:pPr>
    </w:p>
    <w:p w14:paraId="3F186987" w14:textId="77777777" w:rsidR="005E7EDB" w:rsidRDefault="00000000">
      <w:pPr>
        <w:spacing w:after="0" w:line="240" w:lineRule="auto"/>
        <w:jc w:val="both"/>
      </w:pPr>
      <w:r>
        <w:rPr>
          <w:rFonts w:ascii="Times New Roman" w:hAnsi="Times New Roman" w:cs="Times New Roman"/>
          <w:b/>
          <w:bCs/>
          <w:color w:val="002F3C"/>
        </w:rPr>
        <w:t>Eixo 01</w:t>
      </w:r>
      <w:r>
        <w:rPr>
          <w:rFonts w:ascii="Times New Roman" w:hAnsi="Times New Roman" w:cs="Times New Roman"/>
          <w:color w:val="002F3C"/>
        </w:rPr>
        <w:t>: Inovação e Educação: pesquisas sobre as tecnologias em contextos amazônicos: explorar metodologias; processos educativos inovadores; experiências, praticas; tecnologias em espaços educacionais amazônicos.</w:t>
      </w:r>
    </w:p>
    <w:p w14:paraId="2695292D" w14:textId="77777777" w:rsidR="005E7EDB" w:rsidRDefault="00000000">
      <w:pPr>
        <w:spacing w:line="240" w:lineRule="auto"/>
        <w:jc w:val="both"/>
        <w:rPr>
          <w:rFonts w:ascii="Times New Roman" w:hAnsi="Times New Roman" w:cs="Times New Roman"/>
          <w:b/>
          <w:bCs/>
          <w:color w:val="002F3C"/>
        </w:rPr>
      </w:pPr>
      <w:r>
        <w:rPr>
          <w:rFonts w:ascii="Times New Roman" w:hAnsi="Times New Roman" w:cs="Times New Roman"/>
          <w:b/>
          <w:bCs/>
          <w:color w:val="002F3C"/>
        </w:rPr>
        <w:t xml:space="preserve"> </w:t>
      </w:r>
    </w:p>
    <w:p w14:paraId="4359619D" w14:textId="77777777" w:rsidR="005E7EDB" w:rsidRDefault="00000000">
      <w:pPr>
        <w:pStyle w:val="Corpodetexto"/>
        <w:spacing w:line="360" w:lineRule="auto"/>
        <w:ind w:firstLine="709"/>
        <w:jc w:val="both"/>
        <w:rPr>
          <w:rFonts w:ascii="Arial" w:hAnsi="Arial"/>
        </w:rPr>
      </w:pPr>
      <w:r>
        <w:rPr>
          <w:rFonts w:ascii="Arial" w:hAnsi="Arial"/>
        </w:rPr>
        <w:t>Com o avanço das tecnologias educacionais, novas formas de ensinar e aprender se tornam necessárias serem inseridas no cotidiano escolar. Novas práticas envolvendo a Cultura Maker, a robótica educacional e a utilização de protótipos com impressão 3D, aliadas a Abordagem STEAM e Metodologias Ativas (MA) de ensino, são exemplos desses avanços. Essa nova “</w:t>
      </w:r>
      <w:r>
        <w:rPr>
          <w:rFonts w:ascii="Arial" w:hAnsi="Arial"/>
          <w:i/>
          <w:iCs/>
        </w:rPr>
        <w:t>roupagem</w:t>
      </w:r>
      <w:r>
        <w:rPr>
          <w:rFonts w:ascii="Arial" w:hAnsi="Arial"/>
        </w:rPr>
        <w:t>” promove o protagonismo dos estudantes, pois incentiva a participação direta do processo de identificação, criação, desenvolvimento e resolução de problemas reais seja da comunidade escolar, local ou externa.</w:t>
      </w:r>
    </w:p>
    <w:p w14:paraId="57029BB3" w14:textId="77777777" w:rsidR="005E7EDB" w:rsidRDefault="00000000">
      <w:pPr>
        <w:pStyle w:val="Corpodetexto"/>
        <w:spacing w:line="360" w:lineRule="auto"/>
        <w:ind w:firstLine="709"/>
        <w:jc w:val="both"/>
        <w:rPr>
          <w:rFonts w:ascii="Arial" w:hAnsi="Arial"/>
        </w:rPr>
      </w:pPr>
      <w:r>
        <w:rPr>
          <w:rFonts w:ascii="Arial" w:hAnsi="Arial"/>
        </w:rPr>
        <w:t>A rica biodiversidade e os desafios ambientais que a região amazônica tem, é um cenário propício para a implementação do projeto Guardião da Floresta – Estação Ambiental Inteligente, no Município de Lábrea localizado no interior do Estado do Amazonas. Ao fim deste será possível obter dados ambientais locais, fortalecendo políticas públicas de protecionismo do meio ambiente, através de monitoramento utilizando sensores eletrônicos, programação e peças impressas em 3D. A proposta do projeto visa a construção de uma estação equipada com sensores de temperatura, umidade e fumaça, capaz de gerar dados ambientais em tempo real.</w:t>
      </w:r>
    </w:p>
    <w:p w14:paraId="1A1C0FCD" w14:textId="77777777" w:rsidR="005E7EDB" w:rsidRDefault="00000000">
      <w:pPr>
        <w:pStyle w:val="Corpodetexto"/>
        <w:spacing w:line="360" w:lineRule="auto"/>
        <w:ind w:firstLine="709"/>
        <w:jc w:val="both"/>
        <w:rPr>
          <w:rFonts w:ascii="Arial" w:hAnsi="Arial"/>
        </w:rPr>
      </w:pPr>
      <w:r>
        <w:rPr>
          <w:rFonts w:ascii="Arial" w:hAnsi="Arial"/>
        </w:rPr>
        <w:lastRenderedPageBreak/>
        <w:t>Tal iniciativa se ancora na Metodologia Ativa de ensino conhecida como Aprendizagem Baseada em Projetos (ABP), pois incentiva os alunos/pesquisadores a reflexão sobre seu papel na preservação do meio ambiente, assim como a aplicarem conceitos de ciência, tecnologia, engenharia e matemática (STEAM) na prática escolar. Dentro desta perspectiva a inserção da Cultura Maker, traz a promoção da autonomia, criatividade e da experimentação, pontos essenciais para o desenvolvimento de competências da Base Nacional Comum Curricular (BNCC), como pensamento científico, crítico e criativo, e a responsabilidade com o meio ambiente e a coletividade.</w:t>
      </w:r>
    </w:p>
    <w:p w14:paraId="4196E2EB" w14:textId="77777777" w:rsidR="005E7EDB" w:rsidRDefault="00000000">
      <w:pPr>
        <w:pStyle w:val="Corpodetexto"/>
        <w:spacing w:line="360" w:lineRule="auto"/>
        <w:ind w:firstLine="709"/>
        <w:jc w:val="both"/>
        <w:rPr>
          <w:rFonts w:ascii="Arial" w:hAnsi="Arial"/>
        </w:rPr>
      </w:pPr>
      <w:r>
        <w:rPr>
          <w:rFonts w:ascii="Arial" w:hAnsi="Arial" w:cs="Times New Roman"/>
          <w:color w:val="002F3C"/>
        </w:rPr>
        <w:t xml:space="preserve">Ainda em andamento, observa-se que a partir da inserção e do estímulo ao usufruto da Cultura Maker pelos alunos aliadas aos recursos como impressão 3D e propostas de projetos dentro da Robótica Educacional, tem-se o desenvolvimento das competências da BNCC, principalmente dos alicerces da BNCC Computação, a aproximação entre a teoria ensina e a prática experimental, a integração de conteúdos de diversas áreas do conhecimento de forma interdisciplinar, a promoção do protagonismo estudantil, a consciência socioambiental dos estudantes e da comunidade. Essa conscientização socioambiental gera uma sensibilização ambiental coletiva, e o fortalecimento da relação escola-comunidade </w:t>
      </w:r>
      <w:r>
        <w:rPr>
          <w:rFonts w:ascii="Arial" w:eastAsia="Times New Roman" w:hAnsi="Arial" w:cs="Times New Roman"/>
          <w:color w:val="002F3C"/>
          <w:kern w:val="0"/>
          <w:lang w:eastAsia="pt-BR"/>
        </w:rPr>
        <w:t>send</w:t>
      </w:r>
      <w:r>
        <w:rPr>
          <w:rFonts w:ascii="Arial" w:hAnsi="Arial" w:cs="Times New Roman"/>
          <w:color w:val="002F3C"/>
        </w:rPr>
        <w:t>o uma solução acessível e de impacto local visto a possibilidade de ser replicado.</w:t>
      </w:r>
    </w:p>
    <w:p w14:paraId="548C3B18" w14:textId="77777777" w:rsidR="005E7EDB" w:rsidRDefault="005E7EDB">
      <w:pPr>
        <w:pStyle w:val="Corpodetexto"/>
        <w:spacing w:line="360" w:lineRule="auto"/>
        <w:ind w:firstLine="709"/>
        <w:jc w:val="both"/>
        <w:rPr>
          <w:rFonts w:ascii="Arial" w:hAnsi="Arial" w:cs="Times New Roman"/>
          <w:color w:val="002F3C"/>
        </w:rPr>
      </w:pPr>
    </w:p>
    <w:p w14:paraId="22C3ECE0" w14:textId="77777777" w:rsidR="005E7EDB" w:rsidRDefault="00000000">
      <w:pPr>
        <w:spacing w:line="360" w:lineRule="auto"/>
        <w:jc w:val="both"/>
        <w:rPr>
          <w:rFonts w:ascii="Arial" w:hAnsi="Arial"/>
        </w:rPr>
      </w:pPr>
      <w:r>
        <w:rPr>
          <w:rFonts w:ascii="Arial" w:hAnsi="Arial" w:cs="Times New Roman"/>
          <w:b/>
          <w:bCs/>
          <w:color w:val="002F3C"/>
        </w:rPr>
        <w:t>REFERÊNCIAS</w:t>
      </w:r>
    </w:p>
    <w:p w14:paraId="51630918" w14:textId="77777777" w:rsidR="005E7EDB" w:rsidRDefault="00000000">
      <w:pPr>
        <w:pStyle w:val="NormalWeb"/>
        <w:spacing w:before="166" w:after="166"/>
        <w:jc w:val="both"/>
      </w:pPr>
      <w:r>
        <w:rPr>
          <w:rFonts w:ascii="Arial" w:hAnsi="Arial"/>
          <w:color w:val="002F3C"/>
        </w:rPr>
        <w:t xml:space="preserve">BRASIL. </w:t>
      </w:r>
      <w:r>
        <w:rPr>
          <w:rStyle w:val="Forte"/>
          <w:rFonts w:ascii="Arial" w:eastAsiaTheme="majorEastAsia" w:hAnsi="Arial"/>
          <w:color w:val="002F3C"/>
        </w:rPr>
        <w:t>Base Nacional Comum Curricular</w:t>
      </w:r>
      <w:r>
        <w:rPr>
          <w:rFonts w:ascii="Arial" w:hAnsi="Arial"/>
          <w:color w:val="002F3C"/>
        </w:rPr>
        <w:t>. Brasília: Ministério da Educação, 2018. Disponível em: https://www.gov.br/mec/pt-br/assuntos/noticias/bncc. Acesso em: 06 ago. 2025.</w:t>
      </w:r>
    </w:p>
    <w:p w14:paraId="5F60AEA4" w14:textId="77777777" w:rsidR="005E7EDB" w:rsidRDefault="00000000">
      <w:pPr>
        <w:pStyle w:val="NormalWeb"/>
        <w:spacing w:before="166" w:after="166"/>
        <w:jc w:val="both"/>
      </w:pPr>
      <w:r>
        <w:rPr>
          <w:rFonts w:ascii="Arial" w:hAnsi="Arial"/>
          <w:color w:val="002F3C"/>
        </w:rPr>
        <w:t xml:space="preserve">FREIRE, Paulo. </w:t>
      </w:r>
      <w:r>
        <w:rPr>
          <w:rStyle w:val="Forte"/>
          <w:rFonts w:ascii="Arial" w:eastAsiaTheme="majorEastAsia" w:hAnsi="Arial"/>
          <w:color w:val="002F3C"/>
        </w:rPr>
        <w:t>Pedagogia da autonomia: saberes necessários à prática educativa</w:t>
      </w:r>
      <w:r>
        <w:rPr>
          <w:rFonts w:ascii="Arial" w:hAnsi="Arial"/>
          <w:color w:val="002F3C"/>
        </w:rPr>
        <w:t>. 43. ed. São Paulo: Paz e Terra, 2011.</w:t>
      </w:r>
    </w:p>
    <w:p w14:paraId="1B18AA03" w14:textId="77777777" w:rsidR="005E7EDB" w:rsidRDefault="00000000">
      <w:pPr>
        <w:pStyle w:val="NormalWeb"/>
        <w:spacing w:before="166" w:after="166"/>
        <w:jc w:val="both"/>
      </w:pPr>
      <w:r>
        <w:rPr>
          <w:rFonts w:ascii="Arial" w:hAnsi="Arial"/>
          <w:color w:val="002F3C"/>
        </w:rPr>
        <w:t xml:space="preserve">SANTOS, Boaventura de Sousa. </w:t>
      </w:r>
      <w:r>
        <w:rPr>
          <w:rStyle w:val="Forte"/>
          <w:rFonts w:ascii="Arial" w:eastAsiaTheme="majorEastAsia" w:hAnsi="Arial"/>
          <w:color w:val="002F3C"/>
        </w:rPr>
        <w:t>A universidade no século XXI: para uma reforma democrática e emancipatória da universidade</w:t>
      </w:r>
      <w:r>
        <w:rPr>
          <w:rFonts w:ascii="Arial" w:hAnsi="Arial"/>
          <w:color w:val="002F3C"/>
        </w:rPr>
        <w:t>. São Paulo: Cortez, 2004.</w:t>
      </w:r>
    </w:p>
    <w:p w14:paraId="1C3F062A" w14:textId="77777777" w:rsidR="005E7EDB" w:rsidRDefault="00000000">
      <w:pPr>
        <w:pStyle w:val="NormalWeb"/>
        <w:spacing w:before="166" w:after="166"/>
        <w:jc w:val="both"/>
      </w:pPr>
      <w:r>
        <w:rPr>
          <w:rFonts w:ascii="Arial" w:hAnsi="Arial"/>
          <w:color w:val="002F3C"/>
        </w:rPr>
        <w:t xml:space="preserve">SEBRAE. </w:t>
      </w:r>
      <w:r>
        <w:rPr>
          <w:rStyle w:val="Forte"/>
          <w:rFonts w:ascii="Arial" w:eastAsiaTheme="majorEastAsia" w:hAnsi="Arial"/>
          <w:color w:val="002F3C"/>
        </w:rPr>
        <w:t>Cultura maker e educação empreendedora</w:t>
      </w:r>
      <w:r>
        <w:rPr>
          <w:rFonts w:ascii="Arial" w:hAnsi="Arial"/>
          <w:color w:val="002F3C"/>
        </w:rPr>
        <w:t>. Brasília: Sebrae, 2020. Disponível em: https://www.sebrae.com.br. Acesso em: 06 ago. 2025.</w:t>
      </w:r>
    </w:p>
    <w:p w14:paraId="38DC4144" w14:textId="77777777" w:rsidR="005E7EDB" w:rsidRDefault="00000000">
      <w:pPr>
        <w:pStyle w:val="NormalWeb"/>
        <w:spacing w:before="166" w:after="166"/>
        <w:jc w:val="both"/>
      </w:pPr>
      <w:r>
        <w:rPr>
          <w:rFonts w:ascii="Arial" w:hAnsi="Arial"/>
          <w:color w:val="002F3C"/>
        </w:rPr>
        <w:lastRenderedPageBreak/>
        <w:t xml:space="preserve">VALENTE, José Armando. </w:t>
      </w:r>
      <w:r>
        <w:rPr>
          <w:rStyle w:val="Forte"/>
          <w:rFonts w:ascii="Arial" w:eastAsiaTheme="majorEastAsia" w:hAnsi="Arial"/>
          <w:color w:val="002F3C"/>
        </w:rPr>
        <w:t>Cultura maker na educação: conceitos e práticas</w:t>
      </w:r>
      <w:r>
        <w:rPr>
          <w:rFonts w:ascii="Arial" w:hAnsi="Arial"/>
          <w:color w:val="002F3C"/>
        </w:rPr>
        <w:t xml:space="preserve">. In: BACICH, Lilian; MORAN, José (Org.). </w:t>
      </w:r>
      <w:r>
        <w:rPr>
          <w:rStyle w:val="nfase"/>
          <w:rFonts w:ascii="Arial" w:eastAsiaTheme="majorEastAsia" w:hAnsi="Arial"/>
          <w:color w:val="002F3C"/>
        </w:rPr>
        <w:t>Metodologias ativas para uma educação inovadora</w:t>
      </w:r>
      <w:r>
        <w:rPr>
          <w:rFonts w:ascii="Arial" w:hAnsi="Arial"/>
          <w:color w:val="002F3C"/>
        </w:rPr>
        <w:t>. Porto Alegre: Penso, 2018. p. 175-192.</w:t>
      </w:r>
    </w:p>
    <w:sectPr w:rsidR="005E7EDB">
      <w:headerReference w:type="default" r:id="rId7"/>
      <w:footerReference w:type="default" r:id="rId8"/>
      <w:pgSz w:w="11906" w:h="16838"/>
      <w:pgMar w:top="2552" w:right="1134" w:bottom="851"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CD7D" w14:textId="77777777" w:rsidR="00A45467" w:rsidRDefault="00A45467">
      <w:pPr>
        <w:spacing w:after="0" w:line="240" w:lineRule="auto"/>
      </w:pPr>
      <w:r>
        <w:separator/>
      </w:r>
    </w:p>
  </w:endnote>
  <w:endnote w:type="continuationSeparator" w:id="0">
    <w:p w14:paraId="1910DB01" w14:textId="77777777" w:rsidR="00A45467" w:rsidRDefault="00A4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2879" w14:textId="77777777" w:rsidR="005E7EDB" w:rsidRDefault="005E7EDB">
    <w:pPr>
      <w:pStyle w:val="Rodap"/>
    </w:pPr>
  </w:p>
  <w:p w14:paraId="4DA686A5" w14:textId="77777777" w:rsidR="005E7EDB" w:rsidRDefault="005E7EDB">
    <w:pPr>
      <w:pStyle w:val="Rodap"/>
    </w:pPr>
  </w:p>
  <w:p w14:paraId="088835DF" w14:textId="77777777" w:rsidR="005E7EDB" w:rsidRDefault="005E7EDB">
    <w:pPr>
      <w:pStyle w:val="Rodap"/>
    </w:pPr>
  </w:p>
  <w:p w14:paraId="6C875BE3" w14:textId="77777777" w:rsidR="005E7EDB" w:rsidRDefault="005E7E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4498" w14:textId="77777777" w:rsidR="00A45467" w:rsidRDefault="00A45467">
      <w:pPr>
        <w:spacing w:after="0" w:line="240" w:lineRule="auto"/>
      </w:pPr>
      <w:r>
        <w:separator/>
      </w:r>
    </w:p>
  </w:footnote>
  <w:footnote w:type="continuationSeparator" w:id="0">
    <w:p w14:paraId="30BA7BF3" w14:textId="77777777" w:rsidR="00A45467" w:rsidRDefault="00A45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46C2" w14:textId="77777777" w:rsidR="005E7EDB" w:rsidRDefault="00000000">
    <w:pPr>
      <w:pStyle w:val="Cabealho"/>
    </w:pPr>
    <w:r>
      <w:rPr>
        <w:noProof/>
      </w:rPr>
      <w:drawing>
        <wp:anchor distT="0" distB="0" distL="0" distR="0" simplePos="0" relativeHeight="4" behindDoc="1" locked="0" layoutInCell="0" allowOverlap="1" wp14:anchorId="2929770D" wp14:editId="36C900F8">
          <wp:simplePos x="0" y="0"/>
          <wp:positionH relativeFrom="page">
            <wp:posOffset>-25400</wp:posOffset>
          </wp:positionH>
          <wp:positionV relativeFrom="paragraph">
            <wp:posOffset>-440055</wp:posOffset>
          </wp:positionV>
          <wp:extent cx="7560310" cy="5603240"/>
          <wp:effectExtent l="0" t="0" r="0" b="0"/>
          <wp:wrapNone/>
          <wp:docPr id="1"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8"/>
                  <pic:cNvPicPr>
                    <a:picLocks noChangeAspect="1" noChangeArrowheads="1"/>
                  </pic:cNvPicPr>
                </pic:nvPicPr>
                <pic:blipFill>
                  <a:blip r:embed="rId1"/>
                  <a:srcRect l="167" r="-167" b="48057"/>
                  <a:stretch>
                    <a:fillRect/>
                  </a:stretch>
                </pic:blipFill>
                <pic:spPr bwMode="auto">
                  <a:xfrm>
                    <a:off x="0" y="0"/>
                    <a:ext cx="7560310" cy="5603240"/>
                  </a:xfrm>
                  <a:prstGeom prst="rect">
                    <a:avLst/>
                  </a:prstGeom>
                </pic:spPr>
              </pic:pic>
            </a:graphicData>
          </a:graphic>
        </wp:anchor>
      </w:drawing>
    </w:r>
  </w:p>
  <w:p w14:paraId="4F537271" w14:textId="77777777" w:rsidR="005E7EDB" w:rsidRDefault="005E7EDB">
    <w:pPr>
      <w:pStyle w:val="Cabealho"/>
    </w:pPr>
  </w:p>
  <w:p w14:paraId="4F5A3D74" w14:textId="77777777" w:rsidR="005E7EDB" w:rsidRDefault="00000000">
    <w:pPr>
      <w:pStyle w:val="Cabealho"/>
    </w:pPr>
    <w:r>
      <w:rPr>
        <w:noProof/>
      </w:rPr>
      <w:drawing>
        <wp:anchor distT="0" distB="0" distL="0" distR="0" simplePos="0" relativeHeight="7" behindDoc="1" locked="0" layoutInCell="0" allowOverlap="1" wp14:anchorId="5836FC5D" wp14:editId="507C668F">
          <wp:simplePos x="0" y="0"/>
          <wp:positionH relativeFrom="column">
            <wp:posOffset>-1077595</wp:posOffset>
          </wp:positionH>
          <wp:positionV relativeFrom="paragraph">
            <wp:posOffset>4719955</wp:posOffset>
          </wp:positionV>
          <wp:extent cx="7557770" cy="5149850"/>
          <wp:effectExtent l="0" t="0" r="0" b="0"/>
          <wp:wrapNone/>
          <wp:docPr id="2"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9"/>
                  <pic:cNvPicPr>
                    <a:picLocks noChangeAspect="1" noChangeArrowheads="1"/>
                  </pic:cNvPicPr>
                </pic:nvPicPr>
                <pic:blipFill>
                  <a:blip r:embed="rId2"/>
                  <a:srcRect t="51822"/>
                  <a:stretch>
                    <a:fillRect/>
                  </a:stretch>
                </pic:blipFill>
                <pic:spPr bwMode="auto">
                  <a:xfrm>
                    <a:off x="0" y="0"/>
                    <a:ext cx="7557770" cy="5149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DB"/>
    <w:rsid w:val="00041B41"/>
    <w:rsid w:val="004B1F82"/>
    <w:rsid w:val="005E7EDB"/>
    <w:rsid w:val="00A45467"/>
  </w:rsids>
  <m:mathPr>
    <m:mathFont m:val="Cambria Math"/>
    <m:brkBin m:val="before"/>
    <m:brkBinSub m:val="--"/>
    <m:smallFrac m:val="0"/>
    <m:dispDef/>
    <m:lMargin m:val="0"/>
    <m:rMargin m:val="0"/>
    <m:defJc m:val="centerGroup"/>
    <m:wrapIndent m:val="1440"/>
    <m:intLim m:val="subSup"/>
    <m:naryLim m:val="undOvr"/>
  </m:mathPr>
  <w:themeFontLang w:val="pt-B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462CA"/>
  <w15:docId w15:val="{2FD4EF2D-D1DA-4038-91D8-FEB552CC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zh-CN"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qFormat/>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D61F18"/>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D61F18"/>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D61F18"/>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D61F18"/>
    <w:rPr>
      <w:i/>
      <w:iCs/>
      <w:color w:val="404040" w:themeColor="text1" w:themeTint="BF"/>
    </w:rPr>
  </w:style>
  <w:style w:type="character" w:styleId="nfaseIntensa">
    <w:name w:val="Intense Emphasis"/>
    <w:basedOn w:val="Fontepargpadro"/>
    <w:uiPriority w:val="21"/>
    <w:qFormat/>
    <w:rsid w:val="00D61F18"/>
    <w:rPr>
      <w:i/>
      <w:iCs/>
      <w:color w:val="2F5496" w:themeColor="accent1" w:themeShade="BF"/>
    </w:rPr>
  </w:style>
  <w:style w:type="character" w:customStyle="1" w:styleId="CitaoIntensaChar">
    <w:name w:val="Citação Intensa Char"/>
    <w:basedOn w:val="Fontepargpadro"/>
    <w:link w:val="CitaoIntensa"/>
    <w:uiPriority w:val="30"/>
    <w:qFormat/>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character" w:customStyle="1" w:styleId="CabealhoChar">
    <w:name w:val="Cabeçalho Char"/>
    <w:basedOn w:val="Fontepargpadro"/>
    <w:link w:val="Cabealho"/>
    <w:uiPriority w:val="99"/>
    <w:qFormat/>
    <w:rsid w:val="00D61F18"/>
  </w:style>
  <w:style w:type="character" w:customStyle="1" w:styleId="RodapChar">
    <w:name w:val="Rodapé Char"/>
    <w:basedOn w:val="Fontepargpadro"/>
    <w:link w:val="Rodap"/>
    <w:uiPriority w:val="99"/>
    <w:qFormat/>
    <w:rsid w:val="00D61F18"/>
  </w:style>
  <w:style w:type="character" w:styleId="Forte">
    <w:name w:val="Strong"/>
    <w:basedOn w:val="Fontepargpadro"/>
    <w:uiPriority w:val="22"/>
    <w:qFormat/>
    <w:rsid w:val="00AF1EAF"/>
    <w:rPr>
      <w:b/>
      <w:bCs/>
    </w:rPr>
  </w:style>
  <w:style w:type="character" w:styleId="nfase">
    <w:name w:val="Emphasis"/>
    <w:basedOn w:val="Fontepargpadro"/>
    <w:uiPriority w:val="20"/>
    <w:qFormat/>
    <w:rsid w:val="00A407DB"/>
    <w:rPr>
      <w:i/>
      <w:iCs/>
    </w:rPr>
  </w:style>
  <w:style w:type="character" w:customStyle="1" w:styleId="LinkdaInternet">
    <w:name w:val="Link da Internet"/>
    <w:rPr>
      <w:color w:val="000080"/>
      <w:u w:val="single"/>
      <w:lang/>
    </w:rPr>
  </w:style>
  <w:style w:type="paragraph" w:styleId="Ttulo">
    <w:name w:val="Title"/>
    <w:basedOn w:val="Normal"/>
    <w:next w:val="Corpodetexto"/>
    <w:link w:val="TtuloChar"/>
    <w:uiPriority w:val="10"/>
    <w:qFormat/>
    <w:rsid w:val="00D61F18"/>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paragraph" w:styleId="PargrafodaLista">
    <w:name w:val="List Paragraph"/>
    <w:basedOn w:val="Normal"/>
    <w:uiPriority w:val="34"/>
    <w:qFormat/>
    <w:rsid w:val="00D61F18"/>
    <w:pPr>
      <w:ind w:left="720"/>
      <w:contextualSpacing/>
    </w:pPr>
  </w:style>
  <w:style w:type="paragraph" w:styleId="CitaoIntensa">
    <w:name w:val="Intense Quote"/>
    <w:basedOn w:val="Normal"/>
    <w:next w:val="Normal"/>
    <w:link w:val="CitaoIntensaChar"/>
    <w:uiPriority w:val="30"/>
    <w:qFormat/>
    <w:rsid w:val="00D61F18"/>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paragraph" w:styleId="NormalWeb">
    <w:name w:val="Normal (Web)"/>
    <w:basedOn w:val="Normal"/>
    <w:uiPriority w:val="99"/>
    <w:semiHidden/>
    <w:unhideWhenUsed/>
    <w:qFormat/>
    <w:rsid w:val="00AF1EAF"/>
    <w:pPr>
      <w:spacing w:beforeAutospacing="1"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viols@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3519</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dc:description/>
  <cp:lastModifiedBy>Clévio .</cp:lastModifiedBy>
  <cp:revision>2</cp:revision>
  <cp:lastPrinted>2025-06-10T18:30:00Z</cp:lastPrinted>
  <dcterms:created xsi:type="dcterms:W3CDTF">2025-08-20T13:11:00Z</dcterms:created>
  <dcterms:modified xsi:type="dcterms:W3CDTF">2025-08-20T13:11:00Z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