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eastAsia="Times New Roman"/>
          <w:b/>
          <w:sz w:val="20"/>
          <w:szCs w:val="20"/>
          <w:lang w:val="pt-BR"/>
        </w:rPr>
        <w:t>ARÉA TEMÁTICA: ECOLOGIA</w:t>
      </w: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SUBÁREA TEMÁTICA: INVERTEBRADOS TERRESTRES</w:t>
      </w: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bookmarkStart w:id="0" w:name="_Hlk143437051"/>
      <w:r>
        <w:rPr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INTERAÇÔES BIÓTICAS</w:t>
      </w: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DE PSEUDOESCORPIÕES ARBORÍCOLAS ASSOCIADOS A VEGETAÇÂO URBANA NO NORDESTE BRASILEIRO</w:t>
      </w:r>
    </w:p>
    <w:bookmarkEnd w:id="0"/>
    <w:p>
      <w:pPr>
        <w:spacing w:line="240" w:lineRule="auto"/>
        <w:jc w:val="center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Leticia Machado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¹,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João M.R. Costa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²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 Vinicius B. Pessoa², Stenio I.A. Foerster³, Everton Tizo-Pedroso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 Geraldo J.B. Moura¹, André F.A. Lira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  <w14:textFill>
            <w14:solidFill>
              <w14:schemeClr w14:val="tx1"/>
            </w14:solidFill>
          </w14:textFill>
        </w:rPr>
        <w:t>5</w:t>
      </w:r>
    </w:p>
    <w:p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¹ Universidade Federal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Rural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Pernambuco 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UFRPE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eastAsia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Campus </w:t>
      </w:r>
      <w:r>
        <w:rPr>
          <w:rFonts w:eastAsia="Times New Roman"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Recife</w:t>
      </w:r>
      <w:r>
        <w:rPr>
          <w:rFonts w:eastAsia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E-mail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: leticiamachadoal12@gmail.com (LM); geraldojbm@gmail.com (GJBM)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² Universidade Federal de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Pernambuco 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UFPE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eastAsia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Campus </w:t>
      </w:r>
      <w:r>
        <w:rPr>
          <w:rFonts w:eastAsia="Times New Roman"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Recife</w:t>
      </w:r>
      <w:r>
        <w:rPr>
          <w:rFonts w:eastAsia="Times New Roman"/>
          <w:i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E-mai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l: miguel1799@hotmail.com (JMRC); vini.buregio@gmail.com (VBP)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vertAlign w:val="superscript"/>
          <w:lang w:val="pt-BR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Departamento de Zoologia, Universidade de Tartu (UT), Tartu, Estônia. E-mail: stenio.foerster@ut.ee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vertAlign w:val="superscript"/>
          <w:lang w:val="pt-BR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Universidade Estadual de Goiás, Campus Anápolis. E-mail: tizopedroso@ueg.com.br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vertAlign w:val="superscript"/>
          <w:lang w:val="pt-BR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Universidade Federal de Campina Grande, Campus Cuité. E-mail: andref.lira@gmail.com</w:t>
      </w:r>
    </w:p>
    <w:p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INTRODUÇÃO</w:t>
      </w:r>
    </w:p>
    <w:p>
      <w:pPr>
        <w:spacing w:line="240" w:lineRule="auto"/>
        <w:ind w:firstLine="720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As áreas verdes em cidades contribuem para mitigar os impactos ambientais causados pelo avanço da urbanização (Cavalheiro et al.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1999). A vegetação nessas áreas aumentam o armazenamento de carbono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captura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ndo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gases poluentes como dióxido de carbono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(Xiao et al. 2018).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Em adição,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 áreas verdes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também são importantes para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fauna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urbana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pois muitas espécies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que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sobrevivem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nas cidades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apresenta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distribuição reduzida, causada, por exemplo, pela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in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disponibilidade de recursos (Mckinney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2002).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Além disso,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as áreas verdes são de extrema importância para artrópodes arborícolas,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visto que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vegetação d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locais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pode ser utilizada como abrigos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(Guénard et al.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2015</w:t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Ossola et al.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2015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Vonshak e Gordon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2015).</w:t>
      </w:r>
    </w:p>
    <w:p>
      <w:pPr>
        <w:spacing w:line="240" w:lineRule="auto"/>
        <w:ind w:firstLine="720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pseudoescorpiões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arborícolas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também são beneficiados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pelas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áreas verdes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urbanas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pois os mesmos realizam interações com outros artrópodes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atraídos por esses ambientes, por exemplo, se alimentando de espécies de formigas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que transitam pelos troncos das árvores (Moura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2017).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Insetos voadores, por forésia, podem ajudar na dispersão dos pseudoescorpiões entre as árvores da área verde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(Lira e Tizo-Pedroso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2017).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Compreender a dinâmica da comunidade de pseudoescorpiões nas áreas verdes urbanas, e suas interações, é fundamental para promover adequada conservação desses animais.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Portanto, o presente trabalho teve como objetivo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responder as seguintes questões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: I)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 abundância de artrópodes nos troncos influencia na presença dos pseudoescorpiões? II) 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sses aracnídeos apresenta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preferências em relação à altura nas árvores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?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II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Qual o padrão de distribuição (vertical ou espacial) dos pseudoescorpiões?</w:t>
      </w: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MATERIAL E MÉTODOS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 coleta dos animais foi realizada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em julho de 2021 em uma área verde inserida em uma matriz urbana, 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campus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da Universidade Federal de Pernambuco (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8°03’01’’ S e 34°57’03’’ O), no município de Recife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 clima da região é o tropical litorâneo ou tropical úmido, com um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elevado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índice pluviométrico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(média de ca.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074,7 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por ano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),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com uma temperatura que varia de 21 a 29°C (APAC, 2021).</w:t>
      </w:r>
    </w:p>
    <w:p>
      <w:pPr>
        <w:pStyle w:val="2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Foram realizadas buscas ativas em 50 árvores de tronco suberoso, distribuídas ao longo do 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campus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Cada arvore foi vistoriada durante um período de 15 minutos por uma dupla de coletores em três estratos (10 cm, 90 cm e 180 cm) a altura do solo. Por fim, para a obtenção do padrão de distribuição, cada árvore foi georreferenciada com uso de dispositivo GPS digital. Todos os artrópodes encontrados nas arvores foram coletados com pinças e armazenados em frascos de eppendorf contendo 1 ml de álcool 70%. Após a coleta, os animais foram levados ao </w:t>
      </w:r>
      <w:bookmarkStart w:id="1" w:name="_Hlk115693033"/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Laboratório de Estudos Herpetológicos e Paleoherpetológicos da Universidade Federal Rural de Pernambuco</w:t>
      </w:r>
      <w:bookmarkEnd w:id="1"/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para posterior identificação ao menor nível taxonômico possível com o auxílio de chaves de identificação. A influência da abundância dos artrópodes sobre a ocorrência de pseudoescorpiões em arvores foi investigada por meio de um modelo linear generalizado misto. A relação entre a abundância de pseudoescorpiões e a altura onde os animais foram amostrados foi analisada por meio do teste de Kruskal-Wallis. Por fim, o padrão de distribuição espacial dos pseudoescorpiões foi analisado por meio do índice de agregação de Cox (Neumann e Starlinger, 2001). De acordo com esse índice, valores = 1 representam uma distribuição aleatória, menores do que 1 uma distribuição uniforme e maiores uma distribuição agregada. Todas as análises foram feitas no software R (R Core Team, 2022).</w:t>
      </w:r>
    </w:p>
    <w:p>
      <w:pPr>
        <w:spacing w:line="240" w:lineRule="auto"/>
        <w:jc w:val="both"/>
        <w:rPr>
          <w:b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RESULTADOS E DISCUSSÃO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o total foram coletados 690 artrópodes, dos quais 81% foram representados por 14 morfoespécies de formigas e 19% por pseudoescorpiões da espécie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Paratemnoides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(Balzan, 1888).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As formigas mais abundantes nos troncos analisados foram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Azteca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sp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aratrechina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longicornis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(Latreille, 1802)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Formigas do gênero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Azteca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demonstram comportamento agressivo com outros artrópodes (Oliveira e Silva, 2007). De modo similar,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longicornis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considerada a espécie de formiga mais amplamente dispersa por todo o mundo (Wetterer, 2008)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com grande potencial de competição com outros artrópodes (Baccaro et al., 2015).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Foi encontrada uma relação antagônica entre a ocorrência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 abundância de formigas. A probabilidade de encontrar pseudoescorpiões foi afetada negativamente pela abundância de formigas (z = -2,953; p = 0,003).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relaç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ão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antagônica ent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a abundância de formigas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foi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 principal fator para 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presença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dessa espécie de pseudoescorpião associado às árvores no ambiente urbano. Estudos prévios apontam que com outros grupos de aracnídeos as formigas se mostram como potenciais competidoras e predadoras mútuas (Hölldobler e Wilson, 1990; Sanders e Platner, 2007). 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A abundância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entre as árvores variou de 0 a 31 indivíduos (2,60 ± 5,99 indivíduos). O número de pseudoescorpiões encontrados no estrato de altura intermediária (90 cm) foi ligeiramente maior (n = 46) do que o número de espécimes coletados nos estratos mais baixo (10 cm) e mais alto (180 cm) (n = 44 e 41, respectivamente). Contudo, não foram encontradas diferenças estatísticas na abundância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entre os estratos de altura (χ</w:t>
      </w:r>
      <w:r>
        <w:rPr>
          <w:color w:val="000000" w:themeColor="text1"/>
          <w:sz w:val="20"/>
          <w:szCs w:val="20"/>
          <w:vertAlign w:val="super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= 0,520, df = 2, p = 0,771).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 falta de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relação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entre os estratos verticais e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ocorrência de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pode estar relacionad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com a atividade de forrageio das formigas.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 presença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de formigas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Azteca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sp. 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longicornis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nas árvores pode afugentar possíveis presas utilizadas pelos pseudoescorpiões, bem como, pode resultar na predação destes aracnídeos. Em relações entre predadores intraguilda, o predador dominante utiliza os melhores sítios de forrageio, deslocando os demais predadores para os sítios desocupados (Lima et al., 2013; Iemma, 2015). Deste modo, os indivíduos de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são confinados a condições sub-ótimas dada a presença de um competidor superior no ambiente.</w:t>
      </w:r>
      <w:r>
        <w:rPr>
          <w:rFonts w:hint="eastAsia"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Finalmente, o índice de aglomeração de Cox indicou uma distribuição espacial agregado (CCI = 9.491)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na área estudada. Esse tipo de distribuição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apresentad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pelas colônias de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pode ser resultado conjunto da biologia dos pseudoescorpiões com a interação com as formigas.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nimais que apresentam um padrão de distribuição agregado, são tipicamente encontrados em ‘manchas’ na paisagem (Elliott,1979; </w:t>
      </w:r>
      <w:bookmarkStart w:id="2" w:name="_Hlk143436549"/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Perecin </w:t>
      </w:r>
      <w:bookmarkEnd w:id="2"/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 Barbosa, 1992). Isso é um reflexo de que os recursos não estão disponíveis de modo uniforme no ambiente (Schumann e Tood, 1982).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Considerando que os pseudoescorpiões se dispersam através de forésia e que esse modo de dispersão é altamente dependente de outros animais. A presença de formigas pode afugentar potenciais vetores bem como impedir a colonização de novas árvores pelos pseudoescorpiões. De modo que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 relação antagônica encontrada entre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as formigas sugere que os pseudoescorpiões são limitados a árvores sem a presença dos insetos por exclusão competitiva.</w:t>
      </w:r>
    </w:p>
    <w:p>
      <w:pPr>
        <w:spacing w:line="240" w:lineRule="auto"/>
        <w:ind w:firstLine="567"/>
        <w:jc w:val="center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CONCLUSÕES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/>
        </w:rPr>
        <w:t>Os</w:t>
      </w:r>
      <w:r>
        <w:rPr>
          <w:sz w:val="20"/>
          <w:szCs w:val="20"/>
        </w:rPr>
        <w:t xml:space="preserve"> nossos resultados indicaram </w:t>
      </w:r>
      <w:r>
        <w:rPr>
          <w:sz w:val="20"/>
          <w:szCs w:val="20"/>
          <w:lang w:val="pt-BR"/>
        </w:rPr>
        <w:t>que a</w:t>
      </w:r>
      <w:r>
        <w:rPr>
          <w:sz w:val="20"/>
          <w:szCs w:val="20"/>
        </w:rPr>
        <w:t xml:space="preserve">s interações bióticas, particularmente com as formigas constitui um fator chave para a ocorrência e o padrão de distribuição de </w:t>
      </w:r>
      <w:r>
        <w:rPr>
          <w:i/>
          <w:iCs/>
          <w:sz w:val="20"/>
          <w:szCs w:val="20"/>
        </w:rPr>
        <w:t>P. nidificator</w:t>
      </w:r>
      <w:r>
        <w:rPr>
          <w:sz w:val="20"/>
          <w:szCs w:val="20"/>
        </w:rPr>
        <w:t xml:space="preserve"> em árvores inseridas no contexto urbano.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>
      <w:pPr>
        <w:spacing w:line="240" w:lineRule="auto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accaro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F. et al.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2015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 Guia para os gêneros de Formigas do Brasil</w:t>
      </w: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Manaus: Editora INPA. P. 178.</w:t>
      </w:r>
    </w:p>
    <w:p>
      <w:pPr>
        <w:spacing w:line="24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avalheiro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 et al. (1999)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Proposição de Terminologia para o Verde Urbano.Boletim Informativo da Sociedade Brasileira de Arborização Urbana. SBAU: 7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Rio de Janeiro, RJ.</w:t>
      </w:r>
    </w:p>
    <w:p>
      <w:pPr>
        <w:spacing w:line="24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Elliott, J.M. (1979). Some methods for the statistical analysis of sample benthic invertebrates. 2. Ed. Ambleside: freshwater biological association. p. 157.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Guenard, B.; Cardinal-De Casas, A.; Dunn, R.R. (2015).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High diversity in an urban habitat: are some animal assemblages resilient to long-term anthropogenic change? Urban Ecosyst. 18: 449– 463.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Holldobler, B.; Wilson, E.O. (1990). The Ants. Cambridge, Mass., Belknap Ed.</w:t>
      </w:r>
    </w:p>
    <w:p>
      <w:pPr>
        <w:spacing w:line="240" w:lineRule="auto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LIMA, JS. et al (2013) Interações tritróficas nos agrossistemas. 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Centro Científico Conhecer – Goiânia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9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16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):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1347.</w:t>
      </w:r>
    </w:p>
    <w:p>
      <w:pPr>
        <w:spacing w:line="240" w:lineRule="auto"/>
        <w:rPr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Lira, A.F.A.; Tizo-Pedroso, E. (2017). </w:t>
      </w:r>
      <w:r>
        <w:rPr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Report of Sphenochernes camponoti (Beier, 1970) (Pseudoscorpiones, Chernetidae) in phoresy on Fanniidae (Diptera).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Acta Scientiarum Biological Sciences. 39(4): 449-454.</w:t>
      </w:r>
    </w:p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Mckinney, M.L. (2002). Urbanization, Biodiversity, and Conservation: The impacts of urbanization on native species are poorly studied, but educating a highly urbanized human population about these impacts can greatly improve species conservation in all ecosystems.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Bioscience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52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):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883-890.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oura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(2017)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Estrutura de Habitat e Tamanho da Presa Modulam a Ecologia da Predação de um Pseudoescorpião Social Neotropical.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Universidade Federal de Uberlândia.</w:t>
      </w:r>
    </w:p>
    <w:p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Neumann, M.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Starlinger, F. (2001). The Significance of Different Indices for Stand Structure and Diversity in Forests. Forest Ecology and Management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145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191-196.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liveira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B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Silva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(2007)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Formigas do gênero azteca que nidificam em árvores reduzem os níveis de herbivoria? Anais do VIII Congresso de Ecologia do Brasil, Caxambu – MG.</w:t>
      </w:r>
    </w:p>
    <w:p>
      <w:pPr>
        <w:spacing w:line="240" w:lineRule="auto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Ossola, A. et al. (2015). Urban habitat complexity affects species richness but not environmental filtering of morphologically-diverse ants.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PeerJ 3:e1356.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erecin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D.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B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arbosa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J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(1992)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Amostragem e análise estatística de dados de distribuição de contágio. Revista matemática e estatística, jaboticabal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207- 216.</w:t>
      </w:r>
    </w:p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R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core team.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(2021). R: A language and environment for statistical computing. R Foundation for Statistical Computing, Vienna, Austria.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Sanders, D.; Plantner, C. (2007). Intraguild interactions between spiders and ants and top-down control in a grassland food web.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Oecologia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150: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611-624.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Schumann, F.W.; Todd, J.W. (1982). Population dynamics of the southern green stink bug (heteroptera: pentatomidae) in relation to soybean phenology.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Journal of economic entomology, lanham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75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):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748-753.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Vonshak, M.; Gordon, D.M. (2015). Intermediate disturbance promotes invasive ant abundance. Biol. Conserv</w:t>
      </w:r>
      <w:r>
        <w:rPr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186: 359–367.</w:t>
      </w:r>
    </w:p>
    <w:p>
      <w:pPr>
        <w:spacing w:line="240" w:lineRule="auto"/>
        <w:jc w:val="both"/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Wetterer, J.K. (2008). Worldwide spread of the longhorn crazy ant, </w:t>
      </w:r>
      <w:r>
        <w:rPr>
          <w:i/>
          <w:i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Paratrechina longicornis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(Hymenoptera: Formicidae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).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Myrmecol. News. 11: 137-149.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Xiao, X.D et al. (2018). The influence of the spatial characteristics of urban green space on the urban heat island effect in Suzhou Industrial Park. Sustainable Cities and Society. 40: 428-439.</w:t>
      </w:r>
    </w:p>
    <w:p>
      <w:pPr>
        <w:spacing w:line="240" w:lineRule="auto"/>
        <w:rPr>
          <w:sz w:val="24"/>
          <w:szCs w:val="24"/>
          <w:lang w:val="en-US"/>
        </w:rPr>
      </w:pPr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8"/>
    <w:rsid w:val="00013C96"/>
    <w:rsid w:val="00057C86"/>
    <w:rsid w:val="00063B1D"/>
    <w:rsid w:val="000B0D99"/>
    <w:rsid w:val="000B518C"/>
    <w:rsid w:val="000B5A4E"/>
    <w:rsid w:val="000B6B22"/>
    <w:rsid w:val="000B7657"/>
    <w:rsid w:val="000D27B8"/>
    <w:rsid w:val="000E5A99"/>
    <w:rsid w:val="00105A8D"/>
    <w:rsid w:val="00111FB5"/>
    <w:rsid w:val="00117743"/>
    <w:rsid w:val="00135B08"/>
    <w:rsid w:val="001455CD"/>
    <w:rsid w:val="00153254"/>
    <w:rsid w:val="00175AAA"/>
    <w:rsid w:val="00182950"/>
    <w:rsid w:val="001A2750"/>
    <w:rsid w:val="001A50C0"/>
    <w:rsid w:val="001C184A"/>
    <w:rsid w:val="001C57A9"/>
    <w:rsid w:val="0021374E"/>
    <w:rsid w:val="00233B4C"/>
    <w:rsid w:val="002423CB"/>
    <w:rsid w:val="00284B2D"/>
    <w:rsid w:val="00295FF0"/>
    <w:rsid w:val="002C5A59"/>
    <w:rsid w:val="002E1143"/>
    <w:rsid w:val="002E2D3D"/>
    <w:rsid w:val="003276A4"/>
    <w:rsid w:val="00345E04"/>
    <w:rsid w:val="003647FF"/>
    <w:rsid w:val="00377483"/>
    <w:rsid w:val="003844CE"/>
    <w:rsid w:val="003911EA"/>
    <w:rsid w:val="00394DED"/>
    <w:rsid w:val="003A2FA7"/>
    <w:rsid w:val="003A4A8C"/>
    <w:rsid w:val="003D5B0F"/>
    <w:rsid w:val="003F432D"/>
    <w:rsid w:val="00407F4A"/>
    <w:rsid w:val="00421B3A"/>
    <w:rsid w:val="00450108"/>
    <w:rsid w:val="00451580"/>
    <w:rsid w:val="004534BF"/>
    <w:rsid w:val="00456070"/>
    <w:rsid w:val="00456133"/>
    <w:rsid w:val="0045710D"/>
    <w:rsid w:val="00493B71"/>
    <w:rsid w:val="00497BF7"/>
    <w:rsid w:val="004A2B7C"/>
    <w:rsid w:val="004D6A61"/>
    <w:rsid w:val="004E0CE8"/>
    <w:rsid w:val="004E7A07"/>
    <w:rsid w:val="004F1226"/>
    <w:rsid w:val="004F2300"/>
    <w:rsid w:val="005142A2"/>
    <w:rsid w:val="00520A6B"/>
    <w:rsid w:val="005211B4"/>
    <w:rsid w:val="00526157"/>
    <w:rsid w:val="00535E13"/>
    <w:rsid w:val="00535E88"/>
    <w:rsid w:val="005430A4"/>
    <w:rsid w:val="005518AB"/>
    <w:rsid w:val="005565EF"/>
    <w:rsid w:val="0056711A"/>
    <w:rsid w:val="005723D8"/>
    <w:rsid w:val="005824B0"/>
    <w:rsid w:val="00597C18"/>
    <w:rsid w:val="005B08F6"/>
    <w:rsid w:val="005B281E"/>
    <w:rsid w:val="005D7F5D"/>
    <w:rsid w:val="005E5950"/>
    <w:rsid w:val="005E7DFA"/>
    <w:rsid w:val="005E7E29"/>
    <w:rsid w:val="00637972"/>
    <w:rsid w:val="0066710F"/>
    <w:rsid w:val="00683486"/>
    <w:rsid w:val="006A4341"/>
    <w:rsid w:val="006D41C5"/>
    <w:rsid w:val="006D6FAF"/>
    <w:rsid w:val="006E353A"/>
    <w:rsid w:val="006E6436"/>
    <w:rsid w:val="006F4E71"/>
    <w:rsid w:val="007501ED"/>
    <w:rsid w:val="00761935"/>
    <w:rsid w:val="007749E2"/>
    <w:rsid w:val="007771D1"/>
    <w:rsid w:val="00781AD8"/>
    <w:rsid w:val="007A6EDB"/>
    <w:rsid w:val="007C3B1C"/>
    <w:rsid w:val="007D1796"/>
    <w:rsid w:val="007D34A3"/>
    <w:rsid w:val="007D4374"/>
    <w:rsid w:val="007E0EE4"/>
    <w:rsid w:val="00812A1C"/>
    <w:rsid w:val="008332FC"/>
    <w:rsid w:val="008A5F51"/>
    <w:rsid w:val="00917588"/>
    <w:rsid w:val="00931F66"/>
    <w:rsid w:val="00934ECE"/>
    <w:rsid w:val="009542FB"/>
    <w:rsid w:val="009660D3"/>
    <w:rsid w:val="009936D9"/>
    <w:rsid w:val="00994AEB"/>
    <w:rsid w:val="009D3627"/>
    <w:rsid w:val="00A03FCE"/>
    <w:rsid w:val="00A32ABD"/>
    <w:rsid w:val="00A36E6E"/>
    <w:rsid w:val="00A92E53"/>
    <w:rsid w:val="00A960F6"/>
    <w:rsid w:val="00AA775F"/>
    <w:rsid w:val="00AB791C"/>
    <w:rsid w:val="00AC0366"/>
    <w:rsid w:val="00AC26DE"/>
    <w:rsid w:val="00AD0153"/>
    <w:rsid w:val="00B140DE"/>
    <w:rsid w:val="00B3583F"/>
    <w:rsid w:val="00B555C8"/>
    <w:rsid w:val="00B63374"/>
    <w:rsid w:val="00B859DD"/>
    <w:rsid w:val="00BA037A"/>
    <w:rsid w:val="00BA3DEB"/>
    <w:rsid w:val="00BB0176"/>
    <w:rsid w:val="00BB3DC0"/>
    <w:rsid w:val="00BC366D"/>
    <w:rsid w:val="00BC464E"/>
    <w:rsid w:val="00BE1E17"/>
    <w:rsid w:val="00C00DB4"/>
    <w:rsid w:val="00C23871"/>
    <w:rsid w:val="00C379B3"/>
    <w:rsid w:val="00C50B30"/>
    <w:rsid w:val="00C66BAE"/>
    <w:rsid w:val="00C876C5"/>
    <w:rsid w:val="00C956A9"/>
    <w:rsid w:val="00CB608A"/>
    <w:rsid w:val="00CE16AA"/>
    <w:rsid w:val="00CE4583"/>
    <w:rsid w:val="00CE5298"/>
    <w:rsid w:val="00D005FC"/>
    <w:rsid w:val="00D024C9"/>
    <w:rsid w:val="00D54F61"/>
    <w:rsid w:val="00D631EC"/>
    <w:rsid w:val="00D76034"/>
    <w:rsid w:val="00D86E52"/>
    <w:rsid w:val="00D87F80"/>
    <w:rsid w:val="00DB3F72"/>
    <w:rsid w:val="00DB5691"/>
    <w:rsid w:val="00DF1136"/>
    <w:rsid w:val="00E053E9"/>
    <w:rsid w:val="00E1011C"/>
    <w:rsid w:val="00E22D68"/>
    <w:rsid w:val="00E260CC"/>
    <w:rsid w:val="00E276DB"/>
    <w:rsid w:val="00EA3927"/>
    <w:rsid w:val="00ED6D70"/>
    <w:rsid w:val="00F00959"/>
    <w:rsid w:val="00F03C8E"/>
    <w:rsid w:val="00F2378B"/>
    <w:rsid w:val="00F27854"/>
    <w:rsid w:val="00F800AC"/>
    <w:rsid w:val="00F8625F"/>
    <w:rsid w:val="00FA46B5"/>
    <w:rsid w:val="00FA5CDD"/>
    <w:rsid w:val="00FB5C41"/>
    <w:rsid w:val="00FC04A6"/>
    <w:rsid w:val="00FC0CF0"/>
    <w:rsid w:val="00FC6916"/>
    <w:rsid w:val="00FD516E"/>
    <w:rsid w:val="06AB2D99"/>
    <w:rsid w:val="0A2F1F5A"/>
    <w:rsid w:val="0CA41AA9"/>
    <w:rsid w:val="0CB662BA"/>
    <w:rsid w:val="0CD99C2E"/>
    <w:rsid w:val="167B494E"/>
    <w:rsid w:val="17191773"/>
    <w:rsid w:val="1CA26503"/>
    <w:rsid w:val="1F2C3C5E"/>
    <w:rsid w:val="1F6DE5A4"/>
    <w:rsid w:val="251A3BA0"/>
    <w:rsid w:val="29FC4B57"/>
    <w:rsid w:val="30B874AF"/>
    <w:rsid w:val="34C11F07"/>
    <w:rsid w:val="3533180D"/>
    <w:rsid w:val="371A057C"/>
    <w:rsid w:val="3CF24186"/>
    <w:rsid w:val="3E300685"/>
    <w:rsid w:val="459D3CC2"/>
    <w:rsid w:val="499E328F"/>
    <w:rsid w:val="4A3868DE"/>
    <w:rsid w:val="4AE65A17"/>
    <w:rsid w:val="4E55B8EA"/>
    <w:rsid w:val="527C4B7E"/>
    <w:rsid w:val="541B8B3F"/>
    <w:rsid w:val="565F9BDF"/>
    <w:rsid w:val="5ABF5100"/>
    <w:rsid w:val="5BF777B8"/>
    <w:rsid w:val="5ED57EF8"/>
    <w:rsid w:val="5F7A5AA0"/>
    <w:rsid w:val="663764A0"/>
    <w:rsid w:val="6F814935"/>
    <w:rsid w:val="75DE663D"/>
    <w:rsid w:val="790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uiPriority w:val="99"/>
    <w:rPr>
      <w:sz w:val="16"/>
      <w:szCs w:val="16"/>
    </w:rPr>
  </w:style>
  <w:style w:type="character" w:styleId="11">
    <w:name w:val="Hyperlink"/>
    <w:basedOn w:val="8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annotation text"/>
    <w:basedOn w:val="1"/>
    <w:link w:val="22"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header"/>
    <w:basedOn w:val="1"/>
    <w:link w:val="26"/>
    <w:qFormat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5">
    <w:name w:val="annotation subject"/>
    <w:basedOn w:val="12"/>
    <w:next w:val="12"/>
    <w:link w:val="23"/>
    <w:qFormat/>
    <w:uiPriority w:val="0"/>
    <w:rPr>
      <w:b/>
      <w:bCs/>
    </w:rPr>
  </w:style>
  <w:style w:type="paragraph" w:styleId="1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7">
    <w:name w:val="Balloon Text"/>
    <w:basedOn w:val="1"/>
    <w:link w:val="27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9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1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customStyle="1" w:styleId="21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Texto de comentário Char"/>
    <w:basedOn w:val="8"/>
    <w:link w:val="12"/>
    <w:qFormat/>
    <w:uiPriority w:val="99"/>
    <w:rPr>
      <w:lang w:val="zh-CN"/>
    </w:rPr>
  </w:style>
  <w:style w:type="character" w:customStyle="1" w:styleId="23">
    <w:name w:val="Assunto do comentário Char"/>
    <w:basedOn w:val="22"/>
    <w:link w:val="15"/>
    <w:uiPriority w:val="0"/>
    <w:rPr>
      <w:b/>
      <w:bCs/>
      <w:lang w:val="zh-CN"/>
    </w:rPr>
  </w:style>
  <w:style w:type="paragraph" w:customStyle="1" w:styleId="24">
    <w:name w:val="Revision"/>
    <w:hidden/>
    <w:unhideWhenUsed/>
    <w:qFormat/>
    <w:uiPriority w:val="99"/>
    <w:rPr>
      <w:rFonts w:ascii="Arial" w:hAnsi="Arial" w:cs="Arial" w:eastAsiaTheme="minorEastAsia"/>
      <w:sz w:val="22"/>
      <w:szCs w:val="22"/>
      <w:lang w:val="zh-CN" w:eastAsia="pt-BR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Cabeçalho Char"/>
    <w:basedOn w:val="8"/>
    <w:link w:val="14"/>
    <w:qFormat/>
    <w:uiPriority w:val="0"/>
    <w:rPr>
      <w:sz w:val="22"/>
      <w:szCs w:val="22"/>
      <w:lang w:val="zh-CN"/>
    </w:rPr>
  </w:style>
  <w:style w:type="character" w:customStyle="1" w:styleId="27">
    <w:name w:val="Texto de balão Char"/>
    <w:basedOn w:val="8"/>
    <w:link w:val="17"/>
    <w:qFormat/>
    <w:uiPriority w:val="0"/>
    <w:rPr>
      <w:rFonts w:ascii="Tahoma" w:hAnsi="Tahoma" w:cs="Tahoma"/>
      <w:sz w:val="16"/>
      <w:szCs w:val="16"/>
      <w:lang w:val="zh-CN"/>
    </w:rPr>
  </w:style>
  <w:style w:type="paragraph" w:customStyle="1" w:styleId="28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/>
    </w:rPr>
  </w:style>
  <w:style w:type="character" w:customStyle="1" w:styleId="29">
    <w:name w:val="normaltextrun"/>
    <w:basedOn w:val="8"/>
    <w:qFormat/>
    <w:uiPriority w:val="0"/>
  </w:style>
  <w:style w:type="character" w:customStyle="1" w:styleId="30">
    <w:name w:val="eo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1737</Words>
  <Characters>9381</Characters>
  <Lines>78</Lines>
  <Paragraphs>22</Paragraphs>
  <TotalTime>1</TotalTime>
  <ScaleCrop>false</ScaleCrop>
  <LinksUpToDate>false</LinksUpToDate>
  <CharactersWithSpaces>11096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2023-09-15T15:20:00Z</dcterms:created>
  <dc:creator>jesse</dc:creator>
  <cp:lastModifiedBy>Lenovo</cp:lastModifiedBy>
  <dcterms:modified xsi:type="dcterms:W3CDTF">2023-10-03T18:53:48Z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