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B946" w14:textId="77777777" w:rsidR="00F441D9" w:rsidRDefault="00F441D9" w:rsidP="00F44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FE3D3A" w14:textId="26FF096B" w:rsidR="00F441D9" w:rsidRPr="007A5D25" w:rsidRDefault="00F441D9" w:rsidP="00F44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Mostra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Monitoria</w:t>
      </w:r>
    </w:p>
    <w:p w14:paraId="35758E6C" w14:textId="77777777" w:rsidR="00F14C0D" w:rsidRDefault="00F14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E5A73D" w14:textId="77777777" w:rsidR="00F14C0D" w:rsidRDefault="00021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MONITORANDO A UMIDADE: RELATO DE EXPERIÊNCIA</w:t>
      </w:r>
    </w:p>
    <w:p w14:paraId="7A4DBF79" w14:textId="77777777" w:rsidR="00F14C0D" w:rsidRDefault="00F14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64443" w14:textId="77777777" w:rsidR="00530C9B" w:rsidRPr="00C576A3" w:rsidRDefault="00530C9B" w:rsidP="00530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6A3">
        <w:rPr>
          <w:rFonts w:ascii="Times New Roman" w:eastAsia="Times New Roman" w:hAnsi="Times New Roman" w:cs="Times New Roman"/>
          <w:b/>
          <w:sz w:val="24"/>
          <w:szCs w:val="24"/>
        </w:rPr>
        <w:t>Sabrynna Rodrigues Soares de Lima</w:t>
      </w:r>
    </w:p>
    <w:p w14:paraId="0EC9647E" w14:textId="2467A315" w:rsidR="002C07E0" w:rsidRPr="00530C9B" w:rsidRDefault="00530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0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Itapipoca-CE. </w:t>
      </w:r>
      <w:hyperlink r:id="rId8" w:history="1">
        <w:r w:rsidRPr="005776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soaresbrynna@gmail.com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20F995" w14:textId="77777777" w:rsidR="002C07E0" w:rsidRPr="00530C9B" w:rsidRDefault="002C07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C9B">
        <w:rPr>
          <w:rFonts w:ascii="Times New Roman" w:eastAsia="Times New Roman" w:hAnsi="Times New Roman" w:cs="Times New Roman"/>
          <w:b/>
          <w:bCs/>
          <w:sz w:val="24"/>
          <w:szCs w:val="24"/>
        </w:rPr>
        <w:t>Rafaela de Lima Gomes Soares</w:t>
      </w:r>
    </w:p>
    <w:p w14:paraId="2B7CBA01" w14:textId="64D5C442" w:rsidR="00530C9B" w:rsidRDefault="00530C9B" w:rsidP="00530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0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Itapipoca-CE. </w:t>
      </w:r>
      <w:hyperlink r:id="rId9" w:history="1">
        <w:r w:rsidRPr="00533B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rafaela.lima.itapipoca@uninta.edu.br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*Orientadora</w:t>
      </w:r>
    </w:p>
    <w:p w14:paraId="76C8160D" w14:textId="77777777" w:rsidR="00F14C0D" w:rsidRDefault="00F14C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2E5B7" w14:textId="77777777" w:rsidR="008B2BC7" w:rsidRDefault="008B2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5665270"/>
      <w:bookmarkStart w:id="1" w:name="_Hlk16566561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ciência que estuda os alimentos e desempenha um papel fundamental na garantia da segurança e qualidade dos alimentos. A análise centesimal é uma ferramenta essencial nesse contexto, permitindo a determinação precisa dos componentes dos alimentos, incluindo proteínas, lipídios, carboidratos, fibras, cinzas e umidade. Dentre essas diversas análises bromatológicas, a determinação do teor de umidade é essencial para avaliar a estabilidade, qualidade e composição dos alimentos. A umidade c</w:t>
      </w:r>
      <w:r w:rsidRPr="007B79CD">
        <w:rPr>
          <w:rFonts w:ascii="Times New Roman" w:eastAsia="Times New Roman" w:hAnsi="Times New Roman" w:cs="Times New Roman"/>
          <w:sz w:val="24"/>
          <w:szCs w:val="24"/>
        </w:rPr>
        <w:t>orresponde à perda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9CD">
        <w:rPr>
          <w:rFonts w:ascii="Times New Roman" w:eastAsia="Times New Roman" w:hAnsi="Times New Roman" w:cs="Times New Roman"/>
          <w:sz w:val="24"/>
          <w:szCs w:val="24"/>
        </w:rPr>
        <w:t xml:space="preserve">em massa do produto, quando aquecido em condições em que a água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volatiliza.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Relatar a experiência de monitoria em aula prática de umidade na disciplina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conduzida uma atividade prática aos acadêmicos do 3º período do curso de Nutrição, centrada na análise do teor de umidade em diferentes alimentos. Realizada no Laboratório de Biologia Molecular e Bioquímica do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Itapipoca(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CE), com 2 horas de duração. Inicialmente, os alunos foram instruídos sobre os princípios teóricos e os procedimentos práticos envolvidos nessa análise. Foi utilizada a técnica de secagem em estufa para análise da umidade dos alimentos. As amostras e cadinhos foram cuidadosamente preparados, pesados e submetidos ao processo de secagem em estufa, em seguida resfriados com o auxílio de um dessecador e, posteriormente, pesados novamente para o cálculo do teor de umidade. Paralelamente, os alunos foram incentivados a consultar a Tabela Brasileira de Composição de Alimentos (TACO), uma importante ferramenta de referência sobre a composição centesimal de alimentos consumidos no Brasil com objetivo de relacionar os resultados da análise de umidade com os dados disponíveis na tabela.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806">
        <w:rPr>
          <w:rFonts w:ascii="Times New Roman" w:eastAsia="Times New Roman" w:hAnsi="Times New Roman" w:cs="Times New Roman"/>
          <w:sz w:val="24"/>
          <w:szCs w:val="24"/>
        </w:rPr>
        <w:t>A experiência de análise possibilitou aos alunos vivenciarem a aplicação dos conceitos aprendidos em sala de aula permitindo a maior fixação do conteúdo. A consulta à TACO permitiu relacionar os resultados da análise com a composição centesimal dos alimentos. Essa conexão evidenciou a relevância da determinação do teor de umidade que influencia não apenas a suscetibilidade à deterioração, mas também aspectos sensoriais, como textura e sabor dos produtos alimentícios.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C07E0">
        <w:rPr>
          <w:rFonts w:ascii="Times New Roman" w:eastAsia="Times New Roman" w:hAnsi="Times New Roman" w:cs="Times New Roman"/>
          <w:sz w:val="24"/>
          <w:szCs w:val="24"/>
        </w:rPr>
        <w:t>Observou-se que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 alunos puderam compreender como essa informação é essencial para futuras disciplinas no curso e no próprio trabalho como nutricionista, tanto na avaliação da qualidade dos alimentos quanto na elaboração de planos alimentares personalizados, além de inte</w:t>
      </w:r>
      <w:r w:rsidRPr="00AD392E">
        <w:rPr>
          <w:rFonts w:ascii="Times New Roman" w:eastAsia="Times New Roman" w:hAnsi="Times New Roman" w:cs="Times New Roman"/>
          <w:sz w:val="24"/>
          <w:szCs w:val="24"/>
        </w:rPr>
        <w:t>rpretar melho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AD392E">
        <w:rPr>
          <w:rFonts w:ascii="Times New Roman" w:eastAsia="Times New Roman" w:hAnsi="Times New Roman" w:cs="Times New Roman"/>
          <w:sz w:val="24"/>
          <w:szCs w:val="24"/>
        </w:rPr>
        <w:t xml:space="preserve">tabelas de composição, </w:t>
      </w:r>
      <w:r w:rsidRPr="00AD392E">
        <w:rPr>
          <w:rFonts w:ascii="Times New Roman" w:eastAsia="Times New Roman" w:hAnsi="Times New Roman" w:cs="Times New Roman"/>
          <w:sz w:val="24"/>
          <w:szCs w:val="24"/>
        </w:rPr>
        <w:lastRenderedPageBreak/>
        <w:t>artigos científicos na área e facilidade ao trabalhar em laboratório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92E">
        <w:rPr>
          <w:rFonts w:ascii="Times New Roman" w:eastAsia="Times New Roman" w:hAnsi="Times New Roman" w:cs="Times New Roman"/>
          <w:sz w:val="24"/>
          <w:szCs w:val="24"/>
        </w:rPr>
        <w:t xml:space="preserve">análises </w:t>
      </w:r>
      <w:r>
        <w:rPr>
          <w:rFonts w:ascii="Times New Roman" w:eastAsia="Times New Roman" w:hAnsi="Times New Roman" w:cs="Times New Roman"/>
          <w:sz w:val="24"/>
          <w:szCs w:val="24"/>
        </w:rPr>
        <w:t>de alimentos</w:t>
      </w:r>
      <w:r w:rsidRPr="00AD39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experiência como monitora proporcionou um aprofundamento do conhecimento na disciplina, além de estimular o desenvolvimento de habilidades de comunicação, liderança e didática, representando um grande estímulo ao exercício da docência como um futuro caminho profissional. Para os alunos monitorados, minha presença criou um ambiente de aprendizagem mais personalizado e acolhedor, fornecendo apoio extra à compreensão dos conteúdos. Do ponto de vista do professor, a monitoria representou uma importante ferramenta de apoio ao processo de ensino-aprendizagem na condução do conteúdo.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Realizar atividade de monitoria em aulas na disciplina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oportunizou uma experiência prática enriquecedora da docência, além de incentivar a pesquisa e produção científica, contribuindo para a formação pessoal e acadêmica.</w:t>
      </w:r>
    </w:p>
    <w:bookmarkEnd w:id="0"/>
    <w:p w14:paraId="0C6A9D58" w14:textId="2438C5D7" w:rsidR="008B2BC7" w:rsidRDefault="000212F8" w:rsidP="008B2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selectable-tex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proofErr w:type="spellStart"/>
      <w:r w:rsidR="008B2BC7" w:rsidRPr="008B2BC7">
        <w:rPr>
          <w:rStyle w:val="selectable-text"/>
          <w:rFonts w:ascii="Times New Roman" w:hAnsi="Times New Roman" w:cs="Times New Roman"/>
          <w:sz w:val="24"/>
          <w:szCs w:val="24"/>
        </w:rPr>
        <w:t>Bromatologia</w:t>
      </w:r>
      <w:proofErr w:type="spellEnd"/>
      <w:r w:rsidR="008B2BC7" w:rsidRPr="008B2BC7">
        <w:rPr>
          <w:rStyle w:val="selectable-text"/>
          <w:rFonts w:ascii="Times New Roman" w:hAnsi="Times New Roman" w:cs="Times New Roman"/>
          <w:sz w:val="24"/>
          <w:szCs w:val="24"/>
        </w:rPr>
        <w:t xml:space="preserve">; 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>M</w:t>
      </w:r>
      <w:r w:rsidR="00F441D9" w:rsidRPr="008B2BC7">
        <w:rPr>
          <w:rStyle w:val="selectable-text"/>
          <w:rFonts w:ascii="Times New Roman" w:hAnsi="Times New Roman" w:cs="Times New Roman"/>
          <w:sz w:val="24"/>
          <w:szCs w:val="24"/>
        </w:rPr>
        <w:t>onitoria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 xml:space="preserve">; 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>Re</w:t>
      </w:r>
      <w:r w:rsidR="00F441D9" w:rsidRPr="008B2BC7">
        <w:rPr>
          <w:rStyle w:val="selectable-text"/>
          <w:rFonts w:ascii="Times New Roman" w:hAnsi="Times New Roman" w:cs="Times New Roman"/>
          <w:sz w:val="24"/>
          <w:szCs w:val="24"/>
        </w:rPr>
        <w:t xml:space="preserve">lato de 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>E</w:t>
      </w:r>
      <w:r w:rsidR="00F441D9" w:rsidRPr="008B2BC7">
        <w:rPr>
          <w:rStyle w:val="selectable-text"/>
          <w:rFonts w:ascii="Times New Roman" w:hAnsi="Times New Roman" w:cs="Times New Roman"/>
          <w:sz w:val="24"/>
          <w:szCs w:val="24"/>
        </w:rPr>
        <w:t xml:space="preserve">xperiência; 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>U</w:t>
      </w:r>
      <w:r w:rsidR="008B2BC7" w:rsidRPr="008B2BC7">
        <w:rPr>
          <w:rStyle w:val="selectable-text"/>
          <w:rFonts w:ascii="Times New Roman" w:hAnsi="Times New Roman" w:cs="Times New Roman"/>
          <w:sz w:val="24"/>
          <w:szCs w:val="24"/>
        </w:rPr>
        <w:t>midade</w:t>
      </w:r>
      <w:r w:rsidR="00F441D9">
        <w:rPr>
          <w:rStyle w:val="selectable-text"/>
          <w:rFonts w:ascii="Times New Roman" w:hAnsi="Times New Roman" w:cs="Times New Roman"/>
          <w:sz w:val="24"/>
          <w:szCs w:val="24"/>
        </w:rPr>
        <w:t>.</w:t>
      </w:r>
    </w:p>
    <w:p w14:paraId="3336FD33" w14:textId="53194B4D" w:rsidR="00F14C0D" w:rsidRDefault="000212F8" w:rsidP="008B2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F9C4DD0" w14:textId="77777777" w:rsidR="00F14C0D" w:rsidRDefault="00021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BOLZAN, R. C. </w:t>
      </w:r>
      <w:proofErr w:type="spellStart"/>
      <w:r w:rsidR="002C07E0">
        <w:rPr>
          <w:rFonts w:ascii="Times New Roman" w:eastAsia="Times New Roman" w:hAnsi="Times New Roman" w:cs="Times New Roman"/>
          <w:sz w:val="24"/>
          <w:szCs w:val="24"/>
        </w:rPr>
        <w:t>Bromatologia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Universidade Federal de Santa Maria, Colégio Agrícola de Frederico Westphalen. p. 81.2013</w:t>
      </w:r>
    </w:p>
    <w:p w14:paraId="0A621EED" w14:textId="77777777" w:rsidR="00F14C0D" w:rsidRDefault="00021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INSTITUTO ADOLFO LUTZ. Normas Analíticas do Instituto Adolfo Lutz. v. 1: Métodos químicos e físicos para análise de alimentos, 3. ed. São Paulo: IMESP, 1985. p. 21-22.</w:t>
      </w:r>
    </w:p>
    <w:p w14:paraId="71490EF6" w14:textId="77777777" w:rsidR="00F14C0D" w:rsidRDefault="000212F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UNICAMP. Tabela Brasileira de Composição de Alimentos (TACO). 4. ed. rev.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Campinas: UNICAMP/NEPA, 2011. Disponível em: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https://www.cfn.org.br/wp-content/uploads/2017/03/taco_4_edicao_ampliada_e_revisada.pdf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26 abr. 2024.</w:t>
      </w:r>
    </w:p>
    <w:p w14:paraId="1ACFDB4C" w14:textId="77777777" w:rsidR="00F14C0D" w:rsidRDefault="00021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VICENZI, R. Apostila de </w:t>
      </w:r>
      <w:proofErr w:type="spellStart"/>
      <w:r w:rsidR="002C07E0">
        <w:rPr>
          <w:rFonts w:ascii="Times New Roman" w:eastAsia="Times New Roman" w:hAnsi="Times New Roman" w:cs="Times New Roman"/>
          <w:sz w:val="24"/>
          <w:szCs w:val="24"/>
        </w:rPr>
        <w:t>Bromatologia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DCSA – Departamento de Ciências da Saúde UNIJUI - Universidade Regional do Noroeste do Estado do RS, 2015.</w:t>
      </w:r>
      <w:bookmarkEnd w:id="1"/>
    </w:p>
    <w:sectPr w:rsidR="00F14C0D" w:rsidSect="00F14C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DD44" w14:textId="77777777" w:rsidR="008B4DA1" w:rsidRDefault="008B4DA1" w:rsidP="00F14C0D">
      <w:pPr>
        <w:spacing w:after="0" w:line="240" w:lineRule="auto"/>
      </w:pPr>
      <w:r>
        <w:separator/>
      </w:r>
    </w:p>
  </w:endnote>
  <w:endnote w:type="continuationSeparator" w:id="0">
    <w:p w14:paraId="3E8F6BDC" w14:textId="77777777" w:rsidR="008B4DA1" w:rsidRDefault="008B4DA1" w:rsidP="00F1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A09F" w14:textId="77777777" w:rsidR="00F14C0D" w:rsidRDefault="00F14C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F6E0" w14:textId="77777777" w:rsidR="00F14C0D" w:rsidRDefault="00F14C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B447" w14:textId="77777777" w:rsidR="00F14C0D" w:rsidRDefault="00F14C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A32B" w14:textId="77777777" w:rsidR="008B4DA1" w:rsidRDefault="008B4DA1" w:rsidP="00F14C0D">
      <w:pPr>
        <w:spacing w:after="0" w:line="240" w:lineRule="auto"/>
      </w:pPr>
      <w:r>
        <w:separator/>
      </w:r>
    </w:p>
  </w:footnote>
  <w:footnote w:type="continuationSeparator" w:id="0">
    <w:p w14:paraId="081FE419" w14:textId="77777777" w:rsidR="008B4DA1" w:rsidRDefault="008B4DA1" w:rsidP="00F1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BB87" w14:textId="77777777" w:rsidR="00F14C0D" w:rsidRDefault="00F14C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AFF5" w14:textId="77777777" w:rsidR="00F14C0D" w:rsidRDefault="00021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allowOverlap="1" wp14:anchorId="6C128838" wp14:editId="1E00B612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4768" w14:textId="77777777" w:rsidR="00F14C0D" w:rsidRDefault="00F14C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7BBE"/>
    <w:multiLevelType w:val="multilevel"/>
    <w:tmpl w:val="DD7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0D"/>
    <w:rsid w:val="000212F8"/>
    <w:rsid w:val="002A7A9B"/>
    <w:rsid w:val="002C07E0"/>
    <w:rsid w:val="00530C9B"/>
    <w:rsid w:val="00631B01"/>
    <w:rsid w:val="007B79CD"/>
    <w:rsid w:val="008B2BC7"/>
    <w:rsid w:val="008B4DA1"/>
    <w:rsid w:val="009164EB"/>
    <w:rsid w:val="00AD392E"/>
    <w:rsid w:val="00BA7806"/>
    <w:rsid w:val="00DA6D18"/>
    <w:rsid w:val="00F14C0D"/>
    <w:rsid w:val="00F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4B78"/>
  <w15:docId w15:val="{FDD6604F-5904-4765-8640-8B391DF3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1"/>
    <w:next w:val="Normal1"/>
    <w:rsid w:val="00F14C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14C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14C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14C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14C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14C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14C0D"/>
  </w:style>
  <w:style w:type="table" w:customStyle="1" w:styleId="TableNormal">
    <w:name w:val="Table Normal"/>
    <w:rsid w:val="00F14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14C0D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rsid w:val="00F14C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C07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0C9B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8B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resbrynn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fn.org.br/wp-content/uploads/2017/03/taco_4_edicao_ampliada_e_revisad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ela.lima.itapipoca@uninta.edu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de9DPmLw4ykK+py3ikYZMaPEw==">CgMxLjAyCGguZ2pkZ3hzOAByITFkSnZrUmFST1pOaGJTdm90cUNWRWxVMHhzRnpQSmxTcQ==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Sabrynna Rodrigues Soares de Lima</cp:lastModifiedBy>
  <cp:revision>2</cp:revision>
  <dcterms:created xsi:type="dcterms:W3CDTF">2024-05-04T01:16:00Z</dcterms:created>
  <dcterms:modified xsi:type="dcterms:W3CDTF">2024-05-04T01:16:00Z</dcterms:modified>
</cp:coreProperties>
</file>