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0CCA06" w14:textId="77777777" w:rsidR="009B4014" w:rsidRDefault="00E64BAF">
      <w:r>
        <w:rPr>
          <w:noProof/>
          <w:lang w:eastAsia="pt-BR"/>
        </w:rPr>
        <w:drawing>
          <wp:inline distT="0" distB="0" distL="0" distR="0" wp14:anchorId="5CFF94FF" wp14:editId="5403ECC0">
            <wp:extent cx="5400040" cy="1350010"/>
            <wp:effectExtent l="0" t="0" r="0" b="254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 ENSINO RELIGIOSO EM MINAS GERAIS E O CURRÍCULO DE REFERÊNCIA RECEPÇÃO, ANÁLISE E PROPOSIÇÕES (11)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46AF9" w14:textId="73DAA6CD" w:rsidR="00342DF4" w:rsidRDefault="00F82972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F82972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DIAGNÓSTICO DE NEURODIVERGÊNCIAS ENTRE ESTUDANTES QUILOMBOLAS NO TERRITÓRIO DO SERTÃO PRODUTIVO (BA): DESIGUALDADES, INVISIBILIDADES E INCLUSÃO</w:t>
      </w:r>
    </w:p>
    <w:p w14:paraId="28489B5E" w14:textId="58A5B87D" w:rsidR="00342DF4" w:rsidRDefault="00D76CCE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Roberto Harrysson Braga Tolentino</w:t>
      </w:r>
    </w:p>
    <w:p w14:paraId="047D2584" w14:textId="0ED48D23" w:rsidR="00342DF4" w:rsidRDefault="00D76CCE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UVIGO- Universidade de Vigo/Espanha</w:t>
      </w:r>
    </w:p>
    <w:p w14:paraId="5014ED8D" w14:textId="787E50EF" w:rsidR="00342DF4" w:rsidRDefault="0000000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5" w:history="1">
        <w:r w:rsidR="002F40AA" w:rsidRPr="00031E49">
          <w:rPr>
            <w:rStyle w:val="Hiperligao"/>
            <w:rFonts w:ascii="Times New Roman" w:eastAsia="Times New Roman" w:hAnsi="Times New Roman" w:cs="Times New Roman"/>
            <w:sz w:val="24"/>
            <w:szCs w:val="24"/>
            <w:lang w:eastAsia="pt-BR"/>
          </w:rPr>
          <w:t>rbtolentino@gmail.com</w:t>
        </w:r>
      </w:hyperlink>
    </w:p>
    <w:p w14:paraId="2AD03C75" w14:textId="77777777" w:rsidR="002F40AA" w:rsidRDefault="002F40AA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4DEA27B1" w14:textId="04E8559E" w:rsidR="00342DF4" w:rsidRDefault="00D76CCE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Elmara Verneque Durães Tolentino</w:t>
      </w:r>
    </w:p>
    <w:p w14:paraId="2B01999A" w14:textId="4562FDD9" w:rsidR="00342DF4" w:rsidRDefault="00FE70A4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UNEB- Universidade do Estado da Bahia</w:t>
      </w:r>
    </w:p>
    <w:p w14:paraId="776E7CC9" w14:textId="59A9235A" w:rsidR="00342DF4" w:rsidRDefault="00000000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hyperlink r:id="rId6" w:history="1">
        <w:r w:rsidR="002F40AA" w:rsidRPr="00031E49">
          <w:rPr>
            <w:rStyle w:val="Hiperligao"/>
            <w:rFonts w:ascii="Times New Roman" w:eastAsia="Times New Roman" w:hAnsi="Times New Roman" w:cs="Times New Roman"/>
            <w:sz w:val="24"/>
            <w:szCs w:val="24"/>
            <w:lang w:eastAsia="pt-BR"/>
          </w:rPr>
          <w:t>elmaraverneque@gmail.com</w:t>
        </w:r>
      </w:hyperlink>
    </w:p>
    <w:p w14:paraId="4A4F4705" w14:textId="77777777" w:rsidR="002F40AA" w:rsidRDefault="002F40AA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4B63509" w14:textId="102771BA" w:rsidR="00342DF4" w:rsidRDefault="00AB63DE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AB63DE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Eixo 2 – Educação e Justiça Social: Identidades, Gênero e Relações Étnico-Raciais</w:t>
      </w:r>
    </w:p>
    <w:p w14:paraId="3D1D8A96" w14:textId="0C180EC2" w:rsidR="00342DF4" w:rsidRDefault="00AB63DE" w:rsidP="00342DF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AB63DE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Quilombolas; Neurodiversidade; TDAH; TEA; Educação Inclusiva</w:t>
      </w:r>
    </w:p>
    <w:p w14:paraId="315A810C" w14:textId="77777777" w:rsidR="00342DF4" w:rsidRDefault="00342DF4"/>
    <w:p w14:paraId="5513C041" w14:textId="77777777" w:rsidR="00342DF4" w:rsidRPr="002F40AA" w:rsidRDefault="00342DF4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6646EF17" w14:textId="2554EDD6" w:rsidR="00292396" w:rsidRPr="002F40AA" w:rsidRDefault="00842B50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42B50">
        <w:rPr>
          <w:rFonts w:ascii="Times New Roman" w:hAnsi="Times New Roman" w:cs="Times New Roman"/>
          <w:sz w:val="24"/>
          <w:szCs w:val="24"/>
        </w:rPr>
        <w:t>Propõe-se analisar disparidades no diagnóstico de TDAH, dislexia e TEA entre estudantes quilombolas e não quilombolas no Território do Sertão Produtivo (BA). Levantamento da UNEB, com base na Fundação Cultural Palmares, indica que, entre 20 municípios, apenas 10 possuem comunidades certificadas; Guanambi figura com uma comunidade. À luz de evidências históricas e socioculturais, parte-se da hipótese de subdiagnóstico decorrente de barreiras estruturais e racismo institucional que invisibilizam crianças quilombolas neurodivergentes. A pesquisa integra o Grupo de Estudos e Pesquisa em Políticas Educacionais, Avaliação e Gestão – GEPEAG da UNEB. Este grupo analisa a relação entre políticas educacionais, direitos humanos e inclusão, examinando marcos legais e práticas pedagógicas para promover educação equitativa.</w:t>
      </w:r>
    </w:p>
    <w:p w14:paraId="70EA2D2F" w14:textId="77777777" w:rsidR="00342DF4" w:rsidRPr="002F40AA" w:rsidRDefault="00342DF4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533807BC" w14:textId="016C6EC8" w:rsidR="002F40AA" w:rsidRDefault="00842B50" w:rsidP="002F40AA">
      <w:pPr>
        <w:jc w:val="both"/>
        <w:rPr>
          <w:rFonts w:ascii="Times New Roman" w:hAnsi="Times New Roman" w:cs="Times New Roman"/>
          <w:sz w:val="24"/>
          <w:szCs w:val="24"/>
        </w:rPr>
      </w:pPr>
      <w:r w:rsidRPr="00842B50">
        <w:rPr>
          <w:rFonts w:ascii="Times New Roman" w:hAnsi="Times New Roman" w:cs="Times New Roman"/>
          <w:sz w:val="24"/>
          <w:szCs w:val="24"/>
        </w:rPr>
        <w:t>Articulam-se: (i) educação inclusiva e direito à diferença com recorte étnico-racial; (ii) neurodiversidade e identificação precoce mediada por avaliação multiprofissional e AEE; (iii) políticas antirracistas e implementação curricular das Leis 10.639/03 e 11.645/08; (iv) territorialidade quilombola como marcador de acesso/pertencimento. Considera-se o papel das escolas na construção identitária e na resistência (Sousa; Macêdo, 2019), bem como a certificação quilombola como primeiro passo para efetivar direitos sociais.</w:t>
      </w:r>
    </w:p>
    <w:p w14:paraId="0973C568" w14:textId="72A230D3" w:rsidR="00342DF4" w:rsidRPr="002F40AA" w:rsidRDefault="00342DF4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Metodologia</w:t>
      </w:r>
    </w:p>
    <w:p w14:paraId="6DFCE1A4" w14:textId="1583BDA3" w:rsidR="00292396" w:rsidRPr="002F40AA" w:rsidRDefault="00842B50" w:rsidP="002F40AA">
      <w:pPr>
        <w:jc w:val="both"/>
        <w:rPr>
          <w:rFonts w:ascii="Times New Roman" w:hAnsi="Times New Roman" w:cs="Times New Roman"/>
          <w:sz w:val="24"/>
          <w:szCs w:val="24"/>
        </w:rPr>
      </w:pPr>
      <w:r w:rsidRPr="00842B50">
        <w:rPr>
          <w:rFonts w:ascii="Times New Roman" w:hAnsi="Times New Roman" w:cs="Times New Roman"/>
          <w:sz w:val="24"/>
          <w:szCs w:val="24"/>
        </w:rPr>
        <w:t xml:space="preserve">Estudo transversal analítico, com amostragem por conglomerados em dois estágios (escolas→turmas), superamostrando unidades que atendem comunidades quilombolas certificadas no Território de Identidade Sertão Produtivo (BA). Fontes: registros escolares (AEE, PDI, encaminhamentos), secretarias de educação e, quando autorizado, bases do </w:t>
      </w:r>
      <w:r w:rsidRPr="00842B50">
        <w:rPr>
          <w:rFonts w:ascii="Times New Roman" w:hAnsi="Times New Roman" w:cs="Times New Roman"/>
          <w:sz w:val="24"/>
          <w:szCs w:val="24"/>
        </w:rPr>
        <w:lastRenderedPageBreak/>
        <w:t>SUS (laudos/consultas). Variáveis: desfechos (diagnóstico formal de TDAH, dislexia, TEA); exposições (pertencimento quilombola; raça/cor IBGE; zona rural/urbana); covariáveis (idade, sexo, nível socioeconômico, defasagem idade-série, sala de recursos, formação docente). Triagens para estimar subdiagnóstico: SNAP IV (TDAH), tarefas de consciência fonológica/fluência (dislexia) e M CHAT R/F (TEA). Análises: comparação de proporções (qui quadrado) e regressão logística com erro robusto por escola; componente qualitativo (entrevistas com famílias, docentes, gestores e lideranças quilombolas). Ética: CEP/Plataforma Brasil, LGPD e consulta livre, prévia e informada às comunidades.</w:t>
      </w:r>
    </w:p>
    <w:p w14:paraId="0500195F" w14:textId="77777777" w:rsidR="00342DF4" w:rsidRPr="002F40AA" w:rsidRDefault="00342DF4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Análise </w:t>
      </w:r>
      <w:r w:rsidR="00BD0C00"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parcial dos resultados</w:t>
      </w:r>
    </w:p>
    <w:p w14:paraId="507C1844" w14:textId="751EC7F1" w:rsidR="00292396" w:rsidRPr="002F40AA" w:rsidRDefault="00842B50" w:rsidP="002F40AA">
      <w:pPr>
        <w:jc w:val="both"/>
        <w:rPr>
          <w:rFonts w:ascii="Times New Roman" w:hAnsi="Times New Roman" w:cs="Times New Roman"/>
          <w:sz w:val="24"/>
          <w:szCs w:val="24"/>
        </w:rPr>
      </w:pPr>
      <w:r w:rsidRPr="00842B50">
        <w:rPr>
          <w:rFonts w:ascii="Times New Roman" w:hAnsi="Times New Roman" w:cs="Times New Roman"/>
          <w:sz w:val="24"/>
          <w:szCs w:val="24"/>
        </w:rPr>
        <w:t>Até o momento, não há dados primários coletados. Com base no referencial e na linha de base documental certificadas em 10 municípios, esperam-se: (i) menor proporção de diagnósticos formais entre estudantes quilombolas; (ii) maior razão “triagem positiva sem laudo” nas escolas que atendem comunidades quilombolas; (iii) maior tempo entre suspeita escolar e diagnóstico; (iv) efeito da zona rural e da distância a serviços especializados reduzindo a probabilidade de laudo; (v) efeito protetivo do AEE e da formação docente em neurodiversidade, aumentando a chance de identificação e acompanhamento. Tais hipóteses orientarão comparações de proporções e modelagem multivariada ajustada por confundidores (idade, sexo, nível socioeconômico, raça/cor, zona, AEE e formação docente). A etapa qualitativa deverá evidenciar barreiras logísticas, estigma e racismo institucional. Esses resultados esperados estão alinhados ao GEPEAG, ao priorizar determinantes sociais, marcos legais e práticas pedagógicas para inclusão equitativa.</w:t>
      </w:r>
    </w:p>
    <w:p w14:paraId="184C231D" w14:textId="77777777" w:rsidR="00342DF4" w:rsidRPr="002F40AA" w:rsidRDefault="00342DF4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Conclusões</w:t>
      </w:r>
      <w:r w:rsidR="00BD0C00" w:rsidRPr="002F40AA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parciais</w:t>
      </w:r>
    </w:p>
    <w:p w14:paraId="2931395C" w14:textId="0EEE5AB1" w:rsidR="00292396" w:rsidRPr="002F40AA" w:rsidRDefault="00842B50" w:rsidP="002F40AA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842B50">
        <w:rPr>
          <w:rFonts w:ascii="Times New Roman" w:hAnsi="Times New Roman" w:cs="Times New Roman"/>
          <w:sz w:val="24"/>
          <w:szCs w:val="24"/>
        </w:rPr>
        <w:t>A pesquisa tende a antecipar um quadro de invisibilidade diagnóstica e sub-registro entre estudantes quilombolas, explicável por barreiras institucionais e territoriais. Como implicações, recomenda-se: triagem ativa nas escolas do território; pactuação de referência/contrarreferência com o SUS; ampliação do AEE e PDIs; formação docente com recorte étnico-racial e de neurodiversidade; e monitoramento de indicadores desagregados por pertencimento quilombola.</w:t>
      </w:r>
    </w:p>
    <w:p w14:paraId="75CD388E" w14:textId="77777777" w:rsidR="00342DF4" w:rsidRDefault="00342DF4" w:rsidP="00BD0C00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Referências</w:t>
      </w:r>
    </w:p>
    <w:p w14:paraId="1293136D" w14:textId="77777777" w:rsidR="00F45231" w:rsidRPr="00F45231" w:rsidRDefault="00F45231" w:rsidP="00F45231">
      <w:pPr>
        <w:jc w:val="both"/>
        <w:rPr>
          <w:rFonts w:ascii="Times New Roman" w:hAnsi="Times New Roman" w:cs="Times New Roman"/>
          <w:sz w:val="24"/>
          <w:szCs w:val="24"/>
        </w:rPr>
      </w:pPr>
      <w:r w:rsidRPr="00F45231">
        <w:rPr>
          <w:rFonts w:ascii="Times New Roman" w:hAnsi="Times New Roman" w:cs="Times New Roman"/>
          <w:sz w:val="24"/>
          <w:szCs w:val="24"/>
        </w:rPr>
        <w:t xml:space="preserve">Bahia. </w:t>
      </w:r>
      <w:r w:rsidRPr="00F45231">
        <w:rPr>
          <w:rFonts w:ascii="Times New Roman" w:hAnsi="Times New Roman" w:cs="Times New Roman"/>
          <w:b/>
          <w:bCs/>
          <w:sz w:val="24"/>
          <w:szCs w:val="24"/>
        </w:rPr>
        <w:t>SEPLAN/SEI</w:t>
      </w:r>
      <w:r w:rsidRPr="00F45231">
        <w:rPr>
          <w:rFonts w:ascii="Times New Roman" w:hAnsi="Times New Roman" w:cs="Times New Roman"/>
          <w:sz w:val="24"/>
          <w:szCs w:val="24"/>
        </w:rPr>
        <w:t>. Territórios de identidade da Bahia. Salvador, 2016.</w:t>
      </w:r>
    </w:p>
    <w:p w14:paraId="2F5D092D" w14:textId="77777777" w:rsidR="00F45231" w:rsidRPr="00F45231" w:rsidRDefault="00F45231" w:rsidP="00F45231">
      <w:pPr>
        <w:jc w:val="both"/>
        <w:rPr>
          <w:rFonts w:ascii="Times New Roman" w:hAnsi="Times New Roman" w:cs="Times New Roman"/>
          <w:sz w:val="24"/>
          <w:szCs w:val="24"/>
        </w:rPr>
      </w:pPr>
      <w:r w:rsidRPr="00F45231">
        <w:rPr>
          <w:rFonts w:ascii="Times New Roman" w:hAnsi="Times New Roman" w:cs="Times New Roman"/>
          <w:sz w:val="24"/>
          <w:szCs w:val="24"/>
        </w:rPr>
        <w:t xml:space="preserve">Brasil. </w:t>
      </w:r>
      <w:r w:rsidRPr="00F45231">
        <w:rPr>
          <w:rFonts w:ascii="Times New Roman" w:hAnsi="Times New Roman" w:cs="Times New Roman"/>
          <w:b/>
          <w:bCs/>
          <w:sz w:val="24"/>
          <w:szCs w:val="24"/>
        </w:rPr>
        <w:t>Fundação Cultural Palmares.</w:t>
      </w:r>
      <w:r w:rsidRPr="00F45231">
        <w:rPr>
          <w:rFonts w:ascii="Times New Roman" w:hAnsi="Times New Roman" w:cs="Times New Roman"/>
          <w:sz w:val="24"/>
          <w:szCs w:val="24"/>
        </w:rPr>
        <w:t xml:space="preserve"> Portaria nº 138, 02 ago. 2019.</w:t>
      </w:r>
    </w:p>
    <w:p w14:paraId="15B14C0B" w14:textId="1F35CF41" w:rsidR="002F40AA" w:rsidRDefault="00F45231" w:rsidP="00F45231">
      <w:pPr>
        <w:jc w:val="both"/>
      </w:pPr>
      <w:r w:rsidRPr="00F45231">
        <w:rPr>
          <w:rFonts w:ascii="Times New Roman" w:hAnsi="Times New Roman" w:cs="Times New Roman"/>
          <w:sz w:val="24"/>
          <w:szCs w:val="24"/>
        </w:rPr>
        <w:t xml:space="preserve">Sousa, R. J. P. de; Macêdo, D. J. S. Quilombos: significações, lutas e resistências. In: </w:t>
      </w:r>
      <w:r w:rsidRPr="00F45231">
        <w:rPr>
          <w:rFonts w:ascii="Times New Roman" w:hAnsi="Times New Roman" w:cs="Times New Roman"/>
          <w:b/>
          <w:bCs/>
          <w:sz w:val="24"/>
          <w:szCs w:val="24"/>
        </w:rPr>
        <w:t>IV Seminário de Educação e III Seminário da Consciência Negra, UESB/UNEB</w:t>
      </w:r>
      <w:r w:rsidRPr="00F45231">
        <w:rPr>
          <w:rFonts w:ascii="Times New Roman" w:hAnsi="Times New Roman" w:cs="Times New Roman"/>
          <w:sz w:val="24"/>
          <w:szCs w:val="24"/>
        </w:rPr>
        <w:t>, 2019.</w:t>
      </w:r>
    </w:p>
    <w:sectPr w:rsidR="002F40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BAF"/>
    <w:rsid w:val="000048A9"/>
    <w:rsid w:val="00252493"/>
    <w:rsid w:val="002676DD"/>
    <w:rsid w:val="00292396"/>
    <w:rsid w:val="002C29DB"/>
    <w:rsid w:val="002E16E4"/>
    <w:rsid w:val="002F40AA"/>
    <w:rsid w:val="00342DF4"/>
    <w:rsid w:val="003B3E13"/>
    <w:rsid w:val="003C038D"/>
    <w:rsid w:val="004F04D0"/>
    <w:rsid w:val="00660186"/>
    <w:rsid w:val="006D36CB"/>
    <w:rsid w:val="00773D54"/>
    <w:rsid w:val="00806044"/>
    <w:rsid w:val="00842B50"/>
    <w:rsid w:val="00850BC3"/>
    <w:rsid w:val="0085627F"/>
    <w:rsid w:val="00941F25"/>
    <w:rsid w:val="009B4014"/>
    <w:rsid w:val="009B5F59"/>
    <w:rsid w:val="00AB63DE"/>
    <w:rsid w:val="00B27229"/>
    <w:rsid w:val="00BD0C00"/>
    <w:rsid w:val="00BE1E8E"/>
    <w:rsid w:val="00C537B6"/>
    <w:rsid w:val="00D76CCE"/>
    <w:rsid w:val="00DA48D2"/>
    <w:rsid w:val="00DC79A8"/>
    <w:rsid w:val="00E64BAF"/>
    <w:rsid w:val="00F45231"/>
    <w:rsid w:val="00F82972"/>
    <w:rsid w:val="00FA4CB5"/>
    <w:rsid w:val="00FE7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6333AD"/>
  <w15:chartTrackingRefBased/>
  <w15:docId w15:val="{96E2E6D5-3C50-48DF-A7F0-FE140B7AA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dice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Hiperligao">
    <w:name w:val="Hyperlink"/>
    <w:basedOn w:val="Tipodeletrapredefinidodopargrafo"/>
    <w:uiPriority w:val="99"/>
    <w:unhideWhenUsed/>
    <w:rsid w:val="002F40AA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2F40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maraverneque@gmail.com" TargetMode="External"/><Relationship Id="rId5" Type="http://schemas.openxmlformats.org/officeDocument/2006/relationships/hyperlink" Target="mailto:rbtolentino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756</Words>
  <Characters>4084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Roberto e Mara Tolentino</cp:lastModifiedBy>
  <cp:revision>4</cp:revision>
  <dcterms:created xsi:type="dcterms:W3CDTF">2025-09-26T21:17:00Z</dcterms:created>
  <dcterms:modified xsi:type="dcterms:W3CDTF">2025-09-26T22:32:00Z</dcterms:modified>
</cp:coreProperties>
</file>