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5" w:after="0" w:line="240"/>
        <w:ind w:right="1170" w:left="1164" w:firstLine="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Intervenções Cirúrgicas de Urgência em Pacientes Pediátricos com Cardiopatias Congênitas e Infecções Associadas</w:t>
      </w:r>
    </w:p>
    <w:p>
      <w:pPr>
        <w:spacing w:before="0" w:after="0" w:line="240"/>
        <w:ind w:right="0" w:left="319" w:firstLine="0"/>
        <w:jc w:val="left"/>
        <w:rPr>
          <w:rFonts w:ascii="Times New Roman" w:hAnsi="Times New Roman" w:cs="Times New Roman" w:eastAsia="Times New Roman"/>
          <w:color w:val="auto"/>
          <w:spacing w:val="0"/>
          <w:position w:val="0"/>
          <w:sz w:val="20"/>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Neife jorge francis neto</w:t>
      </w: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vertAlign w:val="superscript"/>
        </w:rPr>
        <w:br/>
      </w:r>
      <w:r>
        <w:rPr>
          <w:rFonts w:ascii="Times New Roman" w:hAnsi="Times New Roman" w:cs="Times New Roman" w:eastAsia="Times New Roman"/>
          <w:color w:val="auto"/>
          <w:spacing w:val="0"/>
          <w:position w:val="0"/>
          <w:sz w:val="20"/>
          <w:shd w:fill="auto" w:val="clear"/>
        </w:rPr>
        <w:t xml:space="preserve">Neiffe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@hotmail.com </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Gean Almeida Valeriano</w:t>
      </w: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vertAlign w:val="superscript"/>
        </w:rPr>
        <w:br/>
        <w:br/>
      </w:r>
      <w:r>
        <w:rPr>
          <w:rFonts w:ascii="Times New Roman" w:hAnsi="Times New Roman" w:cs="Times New Roman" w:eastAsia="Times New Roman"/>
          <w:color w:val="auto"/>
          <w:spacing w:val="0"/>
          <w:position w:val="0"/>
          <w:sz w:val="20"/>
          <w:shd w:fill="auto" w:val="clear"/>
        </w:rPr>
        <w:t xml:space="preserve">Nicoli Schmidt Moreira</w:t>
      </w: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Rafaela Vieira Campos</w:t>
      </w: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Isabella Pereira Barbosa Scharf</w:t>
      </w:r>
      <w:r>
        <w:rPr>
          <w:rFonts w:ascii="Times New Roman" w:hAnsi="Times New Roman" w:cs="Times New Roman" w:eastAsia="Times New Roman"/>
          <w:color w:val="auto"/>
          <w:spacing w:val="0"/>
          <w:position w:val="0"/>
          <w:sz w:val="20"/>
          <w:shd w:fill="auto" w:val="clear"/>
          <w:vertAlign w:val="superscript"/>
        </w:rPr>
        <w:t xml:space="preserve">5</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Kauã Rafael Lorenzatto Baptista</w:t>
      </w:r>
      <w:r>
        <w:rPr>
          <w:rFonts w:ascii="Times New Roman" w:hAnsi="Times New Roman" w:cs="Times New Roman" w:eastAsia="Times New Roman"/>
          <w:color w:val="auto"/>
          <w:spacing w:val="0"/>
          <w:position w:val="0"/>
          <w:sz w:val="20"/>
          <w:shd w:fill="auto" w:val="clear"/>
          <w:vertAlign w:val="superscript"/>
        </w:rPr>
        <w:t xml:space="preserve">6</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Bárbara Prudente Cançado</w:t>
      </w:r>
      <w:r>
        <w:rPr>
          <w:rFonts w:ascii="Times New Roman" w:hAnsi="Times New Roman" w:cs="Times New Roman" w:eastAsia="Times New Roman"/>
          <w:color w:val="auto"/>
          <w:spacing w:val="0"/>
          <w:position w:val="0"/>
          <w:sz w:val="20"/>
          <w:shd w:fill="auto" w:val="clear"/>
          <w:vertAlign w:val="superscript"/>
        </w:rPr>
        <w:t xml:space="preserve">7</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Hannah Sousa di Camargo</w:t>
      </w:r>
      <w:r>
        <w:rPr>
          <w:rFonts w:ascii="Times New Roman" w:hAnsi="Times New Roman" w:cs="Times New Roman" w:eastAsia="Times New Roman"/>
          <w:color w:val="auto"/>
          <w:spacing w:val="0"/>
          <w:position w:val="0"/>
          <w:sz w:val="20"/>
          <w:shd w:fill="auto" w:val="clear"/>
          <w:vertAlign w:val="superscript"/>
        </w:rPr>
        <w:t xml:space="preserve">8</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Bruno Rafael Gomes Francisco</w:t>
      </w:r>
      <w:r>
        <w:rPr>
          <w:rFonts w:ascii="Times New Roman" w:hAnsi="Times New Roman" w:cs="Times New Roman" w:eastAsia="Times New Roman"/>
          <w:color w:val="auto"/>
          <w:spacing w:val="0"/>
          <w:position w:val="0"/>
          <w:sz w:val="20"/>
          <w:shd w:fill="auto" w:val="clear"/>
          <w:vertAlign w:val="superscript"/>
        </w:rPr>
        <w:t xml:space="preserve">9</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Gabriella Martins Candido</w:t>
      </w:r>
      <w:r>
        <w:rPr>
          <w:rFonts w:ascii="Times New Roman" w:hAnsi="Times New Roman" w:cs="Times New Roman" w:eastAsia="Times New Roman"/>
          <w:color w:val="auto"/>
          <w:spacing w:val="0"/>
          <w:position w:val="0"/>
          <w:sz w:val="20"/>
          <w:shd w:fill="auto" w:val="clear"/>
          <w:vertAlign w:val="superscript"/>
        </w:rPr>
        <w:t xml:space="preserve">10</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Valentina Arantes Dantas</w:t>
      </w:r>
      <w:r>
        <w:rPr>
          <w:rFonts w:ascii="Times New Roman" w:hAnsi="Times New Roman" w:cs="Times New Roman" w:eastAsia="Times New Roman"/>
          <w:color w:val="auto"/>
          <w:spacing w:val="0"/>
          <w:position w:val="0"/>
          <w:sz w:val="20"/>
          <w:shd w:fill="auto" w:val="clear"/>
          <w:vertAlign w:val="superscript"/>
        </w:rPr>
        <w:t xml:space="preserve">11</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Thayane Beatriz Ignacio Ramos</w:t>
      </w:r>
      <w:r>
        <w:rPr>
          <w:rFonts w:ascii="Times New Roman" w:hAnsi="Times New Roman" w:cs="Times New Roman" w:eastAsia="Times New Roman"/>
          <w:color w:val="auto"/>
          <w:spacing w:val="0"/>
          <w:position w:val="0"/>
          <w:sz w:val="20"/>
          <w:shd w:fill="auto" w:val="clear"/>
          <w:vertAlign w:val="superscript"/>
        </w:rPr>
        <w:t xml:space="preserve">12</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Anderson Ferreira de Almeida</w:t>
      </w:r>
      <w:r>
        <w:rPr>
          <w:rFonts w:ascii="Times New Roman" w:hAnsi="Times New Roman" w:cs="Times New Roman" w:eastAsia="Times New Roman"/>
          <w:color w:val="auto"/>
          <w:spacing w:val="0"/>
          <w:position w:val="0"/>
          <w:sz w:val="20"/>
          <w:shd w:fill="auto" w:val="clear"/>
          <w:vertAlign w:val="superscript"/>
        </w:rPr>
        <w:t xml:space="preserve">13</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Victor Hugo Silva Martini</w:t>
      </w:r>
      <w:r>
        <w:rPr>
          <w:rFonts w:ascii="Times New Roman" w:hAnsi="Times New Roman" w:cs="Times New Roman" w:eastAsia="Times New Roman"/>
          <w:color w:val="auto"/>
          <w:spacing w:val="0"/>
          <w:position w:val="0"/>
          <w:sz w:val="20"/>
          <w:shd w:fill="auto" w:val="clear"/>
          <w:vertAlign w:val="superscript"/>
        </w:rPr>
        <w:t xml:space="preserve">14</w:t>
      </w:r>
      <w:r>
        <w:rPr>
          <w:rFonts w:ascii="Times New Roman" w:hAnsi="Times New Roman" w:cs="Times New Roman" w:eastAsia="Times New Roman"/>
          <w:color w:val="auto"/>
          <w:spacing w:val="0"/>
          <w:position w:val="0"/>
          <w:sz w:val="20"/>
          <w:shd w:fill="auto" w:val="clear"/>
        </w:rPr>
        <w:br/>
        <w:br/>
      </w:r>
      <w:r>
        <w:rPr>
          <w:rFonts w:ascii="Times New Roman" w:hAnsi="Times New Roman" w:cs="Times New Roman" w:eastAsia="Times New Roman"/>
          <w:color w:val="auto"/>
          <w:spacing w:val="0"/>
          <w:position w:val="0"/>
          <w:sz w:val="20"/>
          <w:shd w:fill="auto" w:val="clear"/>
        </w:rPr>
        <w:t xml:space="preserve">Jenivaldo Araújo Tavares</w:t>
      </w:r>
      <w:r>
        <w:rPr>
          <w:rFonts w:ascii="Times New Roman" w:hAnsi="Times New Roman" w:cs="Times New Roman" w:eastAsia="Times New Roman"/>
          <w:color w:val="auto"/>
          <w:spacing w:val="0"/>
          <w:position w:val="0"/>
          <w:sz w:val="20"/>
          <w:shd w:fill="auto" w:val="clear"/>
          <w:vertAlign w:val="superscript"/>
        </w:rPr>
        <w:t xml:space="preserve">15</w:t>
      </w:r>
    </w:p>
    <w:p>
      <w:pPr>
        <w:spacing w:before="133"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br/>
        <w:br/>
        <w:br/>
      </w: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74"/>
        <w:ind w:right="0" w:left="3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RESUMO</w:t>
      </w:r>
    </w:p>
    <w:p>
      <w:pPr>
        <w:spacing w:before="0" w:after="0" w:line="240"/>
        <w:ind w:right="0"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Introdução: Alterações no sistema de condução elétrica do coração, doenças cardíacas congênitas ou lesões cirúrgicas do sistema condutor são as principais causas de distúrbios do ritmo cardíaco. Esses eventos, que podem variar de bradiarritmias a taquiarritmias, podem causar problemas significativos para os pacientes pediátricos. METODOLOGIA: O presente estudo é uma revisão histórica da classificação e tratamento de arritmias em crianças. </w:t>
      </w: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artigos foram selecionados em janeiro de </w:t>
      </w:r>
      <w:r>
        <w:rPr>
          <w:rFonts w:ascii="Times New Roman" w:hAnsi="Times New Roman" w:cs="Times New Roman" w:eastAsia="Times New Roman"/>
          <w:color w:val="auto"/>
          <w:spacing w:val="0"/>
          <w:position w:val="0"/>
          <w:sz w:val="24"/>
          <w:shd w:fill="auto" w:val="clear"/>
        </w:rPr>
        <w:t xml:space="preserve">2021 </w:t>
      </w:r>
      <w:r>
        <w:rPr>
          <w:rFonts w:ascii="Times New Roman" w:hAnsi="Times New Roman" w:cs="Times New Roman" w:eastAsia="Times New Roman"/>
          <w:color w:val="auto"/>
          <w:spacing w:val="0"/>
          <w:position w:val="0"/>
          <w:sz w:val="24"/>
          <w:shd w:fill="auto" w:val="clear"/>
        </w:rPr>
        <w:t xml:space="preserve">dos bancos de dados PubMed, Scielo e Google Scholar. Os descritores usados ​​foram crianças, arritmia cardíaca, tratamento e diagnóstico. Resultando disso, os artigos escolhidos foram selecionados de acordo com o ano de publicação e a metodologia utilizada. DISCUSSÃO: O diagnóstico é o primeiro passo no tratamento da arritmia. A abordagem dependerá de muito uma vez que isso para o exercício.Após isso, a abordagem dependerá de vários elementos, como a aprovação de recorrência, os efeitos hemodinâmicos e o impacto da arritmia na criança. Os pacientes com cardiopatia congênita e sem cardiopatia deverão ser submetidos a avaliação e estratificação não invasiva. Conclusão: Após o reconhecimento do tipo de arritmia, medicamentos como amiodarona, digoxina, bloqueadores de canais de cálcio, bem como manobras vagais e cardioversão elétrica devem ser usados ​​para reduzir a morbimortalidade infantil causada por esse distúrbio.</w:t>
      </w:r>
    </w:p>
    <w:p>
      <w:pPr>
        <w:spacing w:before="0" w:after="0" w:line="240"/>
        <w:ind w:right="0" w:left="31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Palavras-chaves:</w:t>
      </w:r>
      <w:r>
        <w:rPr>
          <w:rFonts w:ascii="Times New Roman" w:hAnsi="Times New Roman" w:cs="Times New Roman" w:eastAsia="Times New Roman"/>
          <w:b/>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Intervenções</w:t>
      </w:r>
      <w:r>
        <w:rPr>
          <w:rFonts w:ascii="Times New Roman" w:hAnsi="Times New Roman" w:cs="Times New Roman" w:eastAsia="Times New Roman"/>
          <w:b/>
          <w:color w:val="auto"/>
          <w:spacing w:val="-15"/>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cardíacas,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2"/>
          <w:position w:val="0"/>
          <w:sz w:val="24"/>
          <w:shd w:fill="auto" w:val="clear"/>
        </w:rPr>
        <w:t xml:space="preserve"> diagnóstico.</w:t>
      </w: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2"/>
          <w:position w:val="0"/>
          <w:sz w:val="24"/>
          <w:shd w:fill="auto" w:val="clear"/>
        </w:rPr>
        <w:t xml:space="preserve">Eixo Trasnversal </w:t>
      </w: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2"/>
          <w:position w:val="0"/>
          <w:sz w:val="24"/>
          <w:shd w:fill="auto" w:val="clear"/>
        </w:rPr>
        <w:br/>
      </w:r>
      <w:r>
        <w:rPr>
          <w:rFonts w:ascii="Times New Roman" w:hAnsi="Times New Roman" w:cs="Times New Roman" w:eastAsia="Times New Roman"/>
          <w:color w:val="auto"/>
          <w:spacing w:val="-2"/>
          <w:position w:val="0"/>
          <w:sz w:val="24"/>
          <w:shd w:fill="auto" w:val="clear"/>
        </w:rPr>
        <w:t xml:space="preserve">E-mail Autor:</w:t>
      </w:r>
      <w:r>
        <w:rPr>
          <w:rFonts w:ascii="Times New Roman" w:hAnsi="Times New Roman" w:cs="Times New Roman" w:eastAsia="Times New Roman"/>
          <w:color w:val="auto"/>
          <w:spacing w:val="0"/>
          <w:position w:val="0"/>
          <w:sz w:val="20"/>
          <w:shd w:fill="auto" w:val="clear"/>
        </w:rPr>
        <w:t xml:space="preserve">Neiffe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@hotmail.com </w:t>
      </w: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p>
    <w:p>
      <w:pPr>
        <w:spacing w:before="0" w:after="0" w:line="240"/>
        <w:ind w:right="0" w:left="31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2"/>
          <w:shd w:fill="auto" w:val="clear"/>
        </w:rPr>
        <w:t xml:space="preserve">Unig</w:t>
      </w:r>
      <w:r>
        <w:rPr>
          <w:rFonts w:ascii="Times New Roman" w:hAnsi="Times New Roman" w:cs="Times New Roman" w:eastAsia="Times New Roman"/>
          <w:color w:val="auto"/>
          <w:spacing w:val="-2"/>
          <w:position w:val="0"/>
          <w:sz w:val="22"/>
          <w:shd w:fill="auto" w:val="clear"/>
          <w:vertAlign w:val="superscript"/>
        </w:rPr>
        <w:t xml:space="preserve">1</w:t>
      </w:r>
      <w:r>
        <w:rPr>
          <w:rFonts w:ascii="Times New Roman" w:hAnsi="Times New Roman" w:cs="Times New Roman" w:eastAsia="Times New Roman"/>
          <w:color w:val="auto"/>
          <w:spacing w:val="-2"/>
          <w:position w:val="0"/>
          <w:sz w:val="22"/>
          <w:shd w:fill="auto" w:val="clear"/>
        </w:rPr>
        <w:br/>
      </w:r>
      <w:r>
        <w:rPr>
          <w:rFonts w:ascii="Times New Roman" w:hAnsi="Times New Roman" w:cs="Times New Roman" w:eastAsia="Times New Roman"/>
          <w:color w:val="auto"/>
          <w:spacing w:val="0"/>
          <w:position w:val="0"/>
          <w:sz w:val="20"/>
          <w:shd w:fill="auto" w:val="clear"/>
        </w:rPr>
        <w:t xml:space="preserve">Neiffe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@hotmail.com </w:t>
      </w:r>
    </w:p>
    <w:p>
      <w:pPr>
        <w:spacing w:before="0" w:after="0" w:line="240"/>
        <w:ind w:right="0" w:left="31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Universidade Nove de Julho</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UNIC</w:t>
      </w: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0"/>
          <w:shd w:fill="auto" w:val="clear"/>
        </w:rPr>
        <w:t xml:space="preserve">Pontifícia Universidade Católica de Goiás</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faculdade zarns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unic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UNIRG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Uniceplac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 Unifenas</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Unirv-campus Goianésia </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IMEPAC</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Unifimes (Mineiros GO)</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Ebserh HU-UFS</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PUC-GO</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AGES - jacobina</w:t>
      </w:r>
      <w:r>
        <w:rPr>
          <w:rFonts w:ascii="Times New Roman" w:hAnsi="Times New Roman" w:cs="Times New Roman" w:eastAsia="Times New Roman"/>
          <w:color w:val="auto"/>
          <w:spacing w:val="-2"/>
          <w:position w:val="0"/>
          <w:sz w:val="22"/>
          <w:shd w:fill="auto" w:val="clear"/>
        </w:rPr>
        <w:br/>
      </w: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p>
    <w:p>
      <w:pPr>
        <w:spacing w:before="0" w:after="0" w:line="240"/>
        <w:ind w:right="0" w:left="319" w:firstLine="0"/>
        <w:jc w:val="both"/>
        <w:rPr>
          <w:rFonts w:ascii="Times New Roman" w:hAnsi="Times New Roman" w:cs="Times New Roman" w:eastAsia="Times New Roman"/>
          <w:color w:val="auto"/>
          <w:spacing w:val="-2"/>
          <w:position w:val="0"/>
          <w:sz w:val="24"/>
          <w:shd w:fill="auto" w:val="clear"/>
        </w:rPr>
      </w:pPr>
    </w:p>
    <w:p>
      <w:pPr>
        <w:spacing w:before="0" w:after="0" w:line="240"/>
        <w:ind w:right="0" w:left="319" w:firstLine="0"/>
        <w:jc w:val="both"/>
        <w:rPr>
          <w:rFonts w:ascii="Times New Roman" w:hAnsi="Times New Roman" w:cs="Times New Roman" w:eastAsia="Times New Roman"/>
          <w:color w:val="auto"/>
          <w:spacing w:val="0"/>
          <w:position w:val="0"/>
          <w:sz w:val="24"/>
          <w:shd w:fill="auto" w:val="clear"/>
        </w:rPr>
      </w:pPr>
    </w:p>
    <w:p>
      <w:pPr>
        <w:numPr>
          <w:ilvl w:val="0"/>
          <w:numId w:val="8"/>
        </w:numPr>
        <w:tabs>
          <w:tab w:val="left" w:pos="501" w:leader="none"/>
        </w:tabs>
        <w:spacing w:before="0" w:after="0" w:line="240"/>
        <w:ind w:right="0" w:left="501" w:hanging="18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40" w:after="0" w:line="360"/>
        <w:ind w:right="304"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arritmias podem ser definidas como um ritmo irregular dos batimentos cardíacos (FU D,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0"/>
          <w:position w:val="0"/>
          <w:sz w:val="24"/>
          <w:shd w:fill="auto" w:val="clear"/>
        </w:rPr>
        <w:t xml:space="preserve">). As causas desse fenômeno são, geralmente, as alterações que ocorrem no sistema de condução cardíaco ou lesões do próprio tecido cardíaco. As arritmias podem ser classificadas como bradiarritmias e taquiarritmias, conforme a frequência cardíaca esperada para cada idade (tabela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e condições clínicas da criança (MATSUNO AK,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 Portanto, a bradiarritmia é definida como uma frequência cardíaca abaixo do limite inferior esperado para aquela faixa etária, já a taquicardia é definida como uma frequência cardíaca acima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 SJ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313"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acordo com a Diretriz de Arritmias Cardíacas em Crianças e Cardiopatias Congênitas SOBRAC e DCC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 a avalia</w:t>
      </w:r>
      <w:r>
        <w:rPr>
          <w:rFonts w:ascii="Times New Roman" w:hAnsi="Times New Roman" w:cs="Times New Roman" w:eastAsia="Times New Roman"/>
          <w:color w:val="auto"/>
          <w:spacing w:val="0"/>
          <w:position w:val="0"/>
          <w:sz w:val="24"/>
          <w:shd w:fill="auto" w:val="clear"/>
        </w:rPr>
        <w:t xml:space="preserve">ção verdadeira da incidência de arritmias em crianças é difícil, visto que é possível que muitas alterações permaneçam sem identificação, pois vários sintomas são vagos e inespecíficos e, em alguns casos, ocorre resolução espontânea da arritmia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6"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contexto, é válido ressaltar a importância de reconhecer as crianças que possuem corações normais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aquelas portadoras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cardiopatias congênitas. Em crianças com corações normais, a incidência, a prevalência e o mecanismo das arritmias variam 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sexo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etnia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 LP,</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grupo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crianças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saudáveis,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distúrbios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ritmo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recém-nascidos é de </w:t>
      </w:r>
      <w:r>
        <w:rPr>
          <w:rFonts w:ascii="Times New Roman" w:hAnsi="Times New Roman" w:cs="Times New Roman" w:eastAsia="Times New Roman"/>
          <w:color w:val="auto"/>
          <w:spacing w:val="0"/>
          <w:position w:val="0"/>
          <w:sz w:val="24"/>
          <w:shd w:fill="auto" w:val="clear"/>
        </w:rPr>
        <w:t xml:space="preserve">24,4 </w:t>
      </w:r>
      <w:r>
        <w:rPr>
          <w:rFonts w:ascii="Times New Roman" w:hAnsi="Times New Roman" w:cs="Times New Roman" w:eastAsia="Times New Roman"/>
          <w:color w:val="auto"/>
          <w:spacing w:val="0"/>
          <w:position w:val="0"/>
          <w:sz w:val="24"/>
          <w:shd w:fill="auto" w:val="clear"/>
        </w:rPr>
        <w:t xml:space="preserve">para cada </w:t>
      </w:r>
      <w:r>
        <w:rPr>
          <w:rFonts w:ascii="Times New Roman" w:hAnsi="Times New Roman" w:cs="Times New Roman" w:eastAsia="Times New Roman"/>
          <w:color w:val="auto"/>
          <w:spacing w:val="0"/>
          <w:position w:val="0"/>
          <w:sz w:val="24"/>
          <w:shd w:fill="auto" w:val="clear"/>
        </w:rPr>
        <w:t xml:space="preserve">100 </w:t>
      </w:r>
      <w:r>
        <w:rPr>
          <w:rFonts w:ascii="Times New Roman" w:hAnsi="Times New Roman" w:cs="Times New Roman" w:eastAsia="Times New Roman"/>
          <w:color w:val="auto"/>
          <w:spacing w:val="0"/>
          <w:position w:val="0"/>
          <w:sz w:val="24"/>
          <w:shd w:fill="auto" w:val="clear"/>
        </w:rPr>
        <w:t xml:space="preserve">mil nascidos vivos (TURNER CJ e WREN C,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 Já nas faixas de cinco a seis anos e de </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anos, a prevalência de arritmias é, respectivamente, de </w:t>
      </w:r>
      <w:r>
        <w:rPr>
          <w:rFonts w:ascii="Times New Roman" w:hAnsi="Times New Roman" w:cs="Times New Roman" w:eastAsia="Times New Roman"/>
          <w:color w:val="auto"/>
          <w:spacing w:val="0"/>
          <w:position w:val="0"/>
          <w:sz w:val="24"/>
          <w:shd w:fill="auto" w:val="clear"/>
        </w:rPr>
        <w:t xml:space="preserve">1,25</w:t>
      </w:r>
      <w:r>
        <w:rPr>
          <w:rFonts w:ascii="Times New Roman" w:hAnsi="Times New Roman" w:cs="Times New Roman" w:eastAsia="Times New Roman"/>
          <w:color w:val="auto"/>
          <w:spacing w:val="0"/>
          <w:position w:val="0"/>
          <w:sz w:val="24"/>
          <w:shd w:fill="auto" w:val="clear"/>
        </w:rPr>
        <w:t xml:space="preserve">% e de </w:t>
      </w:r>
      <w:r>
        <w:rPr>
          <w:rFonts w:ascii="Times New Roman" w:hAnsi="Times New Roman" w:cs="Times New Roman" w:eastAsia="Times New Roman"/>
          <w:color w:val="auto"/>
          <w:spacing w:val="0"/>
          <w:position w:val="0"/>
          <w:sz w:val="24"/>
          <w:shd w:fill="auto" w:val="clear"/>
        </w:rPr>
        <w:t xml:space="preserve">2,32</w:t>
      </w:r>
      <w:r>
        <w:rPr>
          <w:rFonts w:ascii="Times New Roman" w:hAnsi="Times New Roman" w:cs="Times New Roman" w:eastAsia="Times New Roman"/>
          <w:color w:val="auto"/>
          <w:spacing w:val="0"/>
          <w:position w:val="0"/>
          <w:sz w:val="24"/>
          <w:shd w:fill="auto" w:val="clear"/>
        </w:rPr>
        <w:t xml:space="preserve">% (NIWA K, et al., </w:t>
      </w:r>
      <w:r>
        <w:rPr>
          <w:rFonts w:ascii="Times New Roman" w:hAnsi="Times New Roman" w:cs="Times New Roman" w:eastAsia="Times New Roman"/>
          <w:color w:val="auto"/>
          <w:spacing w:val="0"/>
          <w:position w:val="0"/>
          <w:sz w:val="24"/>
          <w:shd w:fill="auto" w:val="clear"/>
        </w:rPr>
        <w:t xml:space="preserve">2004</w:t>
      </w:r>
      <w:r>
        <w:rPr>
          <w:rFonts w:ascii="Times New Roman" w:hAnsi="Times New Roman" w:cs="Times New Roman" w:eastAsia="Times New Roman"/>
          <w:color w:val="auto"/>
          <w:spacing w:val="0"/>
          <w:position w:val="0"/>
          <w:sz w:val="24"/>
          <w:shd w:fill="auto" w:val="clear"/>
        </w:rPr>
        <w:t xml:space="preserve">). Em relação às crianças portadoras de cardiopatias congênitas, sabe-se que estas podem apresentar arritmias secundárias a anormalidades estruturais, à intervenção cirúrgica ou a repercussões hemodinâmicas</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(BRUGADA</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evolução</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7" w:after="0" w:line="360"/>
        <w:ind w:right="308"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cirurgias cardíacas, o pós-operatório desse grupo deve ser acompanhado com atenção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Estudos na literatura mostram que, </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anos após o procedimento de reparação, a prevalência de distúrbios no ritmo cardíaco neste tipo de paciente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chegou</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(IDORN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taquicardias ventriculares e as bradiarritmias são consideradas raras, já a taquicardia supraventricular (TSV) é o principal tipo de arritmia pediátrica que leva a sintomas (VAN HARE, et al., </w:t>
      </w:r>
      <w:r>
        <w:rPr>
          <w:rFonts w:ascii="Times New Roman" w:hAnsi="Times New Roman" w:cs="Times New Roman" w:eastAsia="Times New Roman"/>
          <w:color w:val="auto"/>
          <w:spacing w:val="0"/>
          <w:position w:val="0"/>
          <w:sz w:val="24"/>
          <w:shd w:fill="auto" w:val="clear"/>
        </w:rPr>
        <w:t xml:space="preserve">2004</w:t>
      </w:r>
      <w:r>
        <w:rPr>
          <w:rFonts w:ascii="Times New Roman" w:hAnsi="Times New Roman" w:cs="Times New Roman" w:eastAsia="Times New Roman"/>
          <w:color w:val="auto"/>
          <w:spacing w:val="0"/>
          <w:position w:val="0"/>
          <w:sz w:val="24"/>
          <w:shd w:fill="auto" w:val="clear"/>
        </w:rPr>
        <w:t xml:space="preserve">;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307"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importante destacar, também, que a avaliação das arritmias nas crianças é especialmente desafiadora, devido, sobretudo, à particularidade da apresentação clínica dessas doenças nessa faixa etária, o que as torna de difícil diagnóstico e classificação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Ademais, o manejo desses distúrbios na pediatria também é singular, uma vez que as crianças apresentam uma fisiologia e uma resposta ao tratamento diferentes em comparação ao adulto. Considera-se que, nas crianças, as taquiarritmias são mais bem toleradas e mais rápidas e as bradiarritmias menos toleradas, sobretudo nos recém-nascidos, uma vez que o débito cardíaco é muito mais dependente da frequência cardíaca do que na população adulta (ANDALAFT RB,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 Da mesma forma, também é importante entender que a farmacocinética e a farmacodinâmica varia nas diferentes faixas etárias, assim como a toxicidade, os efeitos adversos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Logo,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requer atenção por parte do profissional da saúde (XAVIER LR,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w:t>
      </w:r>
    </w:p>
    <w:p>
      <w:pPr>
        <w:spacing w:before="3" w:after="0" w:line="360"/>
        <w:ind w:right="312"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dessas dificuldades, essa revisão de literatura tem como objetivo não só esclarecer aspectos relacionados à classificação da doença em questão, como também o manejo das arritmias em crianças, e, dessa forma, mitigar a morbimortalidade causada pelos distúrbios do ritmo cardíaco nessa população.</w:t>
      </w:r>
    </w:p>
    <w:p>
      <w:pPr>
        <w:spacing w:before="275" w:after="5" w:line="240"/>
        <w:ind w:right="0" w:left="1"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:Frequência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idade</w:t>
      </w:r>
    </w:p>
    <w:tbl>
      <w:tblPr>
        <w:tblInd w:w="2334" w:type="dxa"/>
      </w:tblPr>
      <w:tblGrid>
        <w:gridCol w:w="1450"/>
        <w:gridCol w:w="3057"/>
      </w:tblGrid>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13" w:left="43"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Idade</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7" w:left="35"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Frequência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cardíaca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(BPM)</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4"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semana</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90-</w:t>
            </w:r>
            <w:r>
              <w:rPr>
                <w:rFonts w:ascii="Times New Roman" w:hAnsi="Times New Roman" w:cs="Times New Roman" w:eastAsia="Times New Roman"/>
                <w:b/>
                <w:color w:val="auto"/>
                <w:spacing w:val="-5"/>
                <w:position w:val="0"/>
                <w:sz w:val="20"/>
                <w:shd w:fill="auto" w:val="clear"/>
              </w:rPr>
              <w:t xml:space="preserve">160</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3"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semanas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4"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100-</w:t>
            </w:r>
            <w:r>
              <w:rPr>
                <w:rFonts w:ascii="Times New Roman" w:hAnsi="Times New Roman" w:cs="Times New Roman" w:eastAsia="Times New Roman"/>
                <w:b/>
                <w:color w:val="auto"/>
                <w:spacing w:val="-5"/>
                <w:position w:val="0"/>
                <w:sz w:val="20"/>
                <w:shd w:fill="auto" w:val="clear"/>
              </w:rPr>
              <w:t xml:space="preserve">180</w:t>
            </w:r>
          </w:p>
        </w:tc>
      </w:tr>
      <w:tr>
        <w:trPr>
          <w:trHeight w:val="424"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3" w:after="0" w:line="240"/>
              <w:ind w:right="5"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meses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3" w:after="0" w:line="240"/>
              <w:ind w:right="4"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120-</w:t>
            </w:r>
            <w:r>
              <w:rPr>
                <w:rFonts w:ascii="Times New Roman" w:hAnsi="Times New Roman" w:cs="Times New Roman" w:eastAsia="Times New Roman"/>
                <w:b/>
                <w:color w:val="auto"/>
                <w:spacing w:val="-5"/>
                <w:position w:val="0"/>
                <w:sz w:val="20"/>
                <w:shd w:fill="auto" w:val="clear"/>
              </w:rPr>
              <w:t xml:space="preserve">180</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5"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3-5</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meses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4"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105-</w:t>
            </w:r>
            <w:r>
              <w:rPr>
                <w:rFonts w:ascii="Times New Roman" w:hAnsi="Times New Roman" w:cs="Times New Roman" w:eastAsia="Times New Roman"/>
                <w:b/>
                <w:color w:val="auto"/>
                <w:spacing w:val="-5"/>
                <w:position w:val="0"/>
                <w:sz w:val="20"/>
                <w:shd w:fill="auto" w:val="clear"/>
              </w:rPr>
              <w:t xml:space="preserve">185</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10"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6-11</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meses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4"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110-</w:t>
            </w:r>
            <w:r>
              <w:rPr>
                <w:rFonts w:ascii="Times New Roman" w:hAnsi="Times New Roman" w:cs="Times New Roman" w:eastAsia="Times New Roman"/>
                <w:b/>
                <w:color w:val="auto"/>
                <w:spacing w:val="-5"/>
                <w:position w:val="0"/>
                <w:sz w:val="20"/>
                <w:shd w:fill="auto" w:val="clear"/>
              </w:rPr>
              <w:t xml:space="preserve">170</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5"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anos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90-</w:t>
            </w:r>
            <w:r>
              <w:rPr>
                <w:rFonts w:ascii="Times New Roman" w:hAnsi="Times New Roman" w:cs="Times New Roman" w:eastAsia="Times New Roman"/>
                <w:b/>
                <w:color w:val="auto"/>
                <w:spacing w:val="-5"/>
                <w:position w:val="0"/>
                <w:sz w:val="20"/>
                <w:shd w:fill="auto" w:val="clear"/>
              </w:rPr>
              <w:t xml:space="preserve">165</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7"/>
          <w:shd w:fill="auto" w:val="clear"/>
        </w:rPr>
      </w:pPr>
    </w:p>
    <w:tbl>
      <w:tblPr>
        <w:tblInd w:w="2334" w:type="dxa"/>
      </w:tblPr>
      <w:tblGrid>
        <w:gridCol w:w="1450"/>
        <w:gridCol w:w="3057"/>
      </w:tblGrid>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5"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3-4</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anos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70-</w:t>
            </w:r>
            <w:r>
              <w:rPr>
                <w:rFonts w:ascii="Times New Roman" w:hAnsi="Times New Roman" w:cs="Times New Roman" w:eastAsia="Times New Roman"/>
                <w:b/>
                <w:color w:val="auto"/>
                <w:spacing w:val="-5"/>
                <w:position w:val="0"/>
                <w:sz w:val="20"/>
                <w:shd w:fill="auto" w:val="clear"/>
              </w:rPr>
              <w:t xml:space="preserve">140</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5"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5-7</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anos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8"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65-</w:t>
            </w:r>
            <w:r>
              <w:rPr>
                <w:rFonts w:ascii="Times New Roman" w:hAnsi="Times New Roman" w:cs="Times New Roman" w:eastAsia="Times New Roman"/>
                <w:b/>
                <w:color w:val="auto"/>
                <w:spacing w:val="-5"/>
                <w:position w:val="0"/>
                <w:sz w:val="20"/>
                <w:shd w:fill="auto" w:val="clear"/>
              </w:rPr>
              <w:t xml:space="preserve">140</w:t>
            </w:r>
          </w:p>
        </w:tc>
      </w:tr>
      <w:tr>
        <w:trPr>
          <w:trHeight w:val="426"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3" w:after="0" w:line="240"/>
              <w:ind w:right="0"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8-11</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anos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3"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60-</w:t>
            </w:r>
            <w:r>
              <w:rPr>
                <w:rFonts w:ascii="Times New Roman" w:hAnsi="Times New Roman" w:cs="Times New Roman" w:eastAsia="Times New Roman"/>
                <w:b/>
                <w:color w:val="auto"/>
                <w:spacing w:val="-5"/>
                <w:position w:val="0"/>
                <w:sz w:val="20"/>
                <w:shd w:fill="auto" w:val="clear"/>
              </w:rPr>
              <w:t xml:space="preserve">130</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12" w:left="43" w:firstLine="0"/>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12-15</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anos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65-</w:t>
            </w:r>
            <w:r>
              <w:rPr>
                <w:rFonts w:ascii="Times New Roman" w:hAnsi="Times New Roman" w:cs="Times New Roman" w:eastAsia="Times New Roman"/>
                <w:b/>
                <w:color w:val="auto"/>
                <w:spacing w:val="-5"/>
                <w:position w:val="0"/>
                <w:sz w:val="20"/>
                <w:shd w:fill="auto" w:val="clear"/>
              </w:rPr>
              <w:t xml:space="preserve">130</w:t>
            </w:r>
          </w:p>
        </w:tc>
      </w:tr>
      <w:tr>
        <w:trPr>
          <w:trHeight w:val="431" w:hRule="auto"/>
          <w:jc w:val="left"/>
        </w:trPr>
        <w:tc>
          <w:tcPr>
            <w:tcW w:w="1450"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43" w:firstLine="0"/>
              <w:jc w:val="center"/>
              <w:rPr>
                <w:color w:val="auto"/>
                <w:position w:val="0"/>
                <w:shd w:fill="auto" w:val="clear"/>
              </w:rPr>
            </w:pPr>
            <w:r>
              <w:rPr>
                <w:rFonts w:ascii="Cambria Math" w:hAnsi="Cambria Math" w:cs="Cambria Math" w:eastAsia="Cambria Math"/>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anos</w:t>
            </w:r>
          </w:p>
        </w:tc>
        <w:tc>
          <w:tcPr>
            <w:tcW w:w="305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101" w:after="0" w:line="240"/>
              <w:ind w:right="0" w:left="35"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50-</w:t>
            </w:r>
            <w:r>
              <w:rPr>
                <w:rFonts w:ascii="Times New Roman" w:hAnsi="Times New Roman" w:cs="Times New Roman" w:eastAsia="Times New Roman"/>
                <w:b/>
                <w:color w:val="auto"/>
                <w:spacing w:val="-5"/>
                <w:position w:val="0"/>
                <w:sz w:val="20"/>
                <w:shd w:fill="auto" w:val="clear"/>
              </w:rPr>
              <w:t xml:space="preserve">120</w:t>
            </w:r>
          </w:p>
        </w:tc>
      </w:tr>
    </w:tbl>
    <w:p>
      <w:pPr>
        <w:spacing w:before="0" w:after="0" w:line="240"/>
        <w:ind w:right="0" w:left="5"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Doniger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SJ</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Sharieff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GQ</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18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5"/>
        </w:numPr>
        <w:tabs>
          <w:tab w:val="left" w:pos="501" w:leader="none"/>
        </w:tabs>
        <w:spacing w:before="0" w:after="0" w:line="240"/>
        <w:ind w:right="0" w:left="501" w:hanging="18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33" w:after="0" w:line="360"/>
        <w:ind w:right="305"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estudo trata-se de uma revisão narrativa sobre a classificação e o manejo de arritmias nas crianças. Em janeiro de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0"/>
          <w:position w:val="0"/>
          <w:sz w:val="24"/>
          <w:shd w:fill="auto" w:val="clear"/>
        </w:rPr>
        <w:t xml:space="preserve">, foram selecionados, por meio da leitura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sequencial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título,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texto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integral,</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bancos de dados: </w:t>
      </w:r>
      <w:r>
        <w:rPr>
          <w:rFonts w:ascii="Times New Roman" w:hAnsi="Times New Roman" w:cs="Times New Roman" w:eastAsia="Times New Roman"/>
          <w:i/>
          <w:color w:val="auto"/>
          <w:spacing w:val="0"/>
          <w:position w:val="0"/>
          <w:sz w:val="24"/>
          <w:shd w:fill="auto" w:val="clear"/>
        </w:rPr>
        <w:t xml:space="preserve">PubMed, Scielo e Google Scholar</w:t>
      </w:r>
      <w:r>
        <w:rPr>
          <w:rFonts w:ascii="Times New Roman" w:hAnsi="Times New Roman" w:cs="Times New Roman" w:eastAsia="Times New Roman"/>
          <w:color w:val="auto"/>
          <w:spacing w:val="0"/>
          <w:position w:val="0"/>
          <w:sz w:val="24"/>
          <w:shd w:fill="auto" w:val="clear"/>
        </w:rPr>
        <w:t xml:space="preserve">. Os descritores utilizados foram </w:t>
      </w:r>
      <w:r>
        <w:rPr>
          <w:rFonts w:ascii="Times New Roman" w:hAnsi="Times New Roman" w:cs="Times New Roman" w:eastAsia="Times New Roman"/>
          <w:i/>
          <w:color w:val="auto"/>
          <w:spacing w:val="0"/>
          <w:position w:val="0"/>
          <w:sz w:val="24"/>
          <w:shd w:fill="auto" w:val="clear"/>
        </w:rPr>
        <w:t xml:space="preserve">Cardiac Arrhythmias, children, therapy, diagnosis, classification </w:t>
      </w:r>
      <w:r>
        <w:rPr>
          <w:rFonts w:ascii="Times New Roman" w:hAnsi="Times New Roman" w:cs="Times New Roman" w:eastAsia="Times New Roman"/>
          <w:color w:val="auto"/>
          <w:spacing w:val="0"/>
          <w:position w:val="0"/>
          <w:sz w:val="24"/>
          <w:shd w:fill="auto" w:val="clear"/>
        </w:rPr>
        <w:t xml:space="preserve">arritmia cardíaca, crianças, tratamento e diagnóstico. Além disso, também foram utilizadas as seguintes palavras- chave: management e </w:t>
      </w:r>
      <w:r>
        <w:rPr>
          <w:rFonts w:ascii="Times New Roman" w:hAnsi="Times New Roman" w:cs="Times New Roman" w:eastAsia="Times New Roman"/>
          <w:i/>
          <w:color w:val="auto"/>
          <w:spacing w:val="0"/>
          <w:position w:val="0"/>
          <w:sz w:val="24"/>
          <w:shd w:fill="auto" w:val="clear"/>
        </w:rPr>
        <w:t xml:space="preserve">pediatric arrhythmias. </w:t>
      </w:r>
      <w:r>
        <w:rPr>
          <w:rFonts w:ascii="Times New Roman" w:hAnsi="Times New Roman" w:cs="Times New Roman" w:eastAsia="Times New Roman"/>
          <w:color w:val="auto"/>
          <w:spacing w:val="0"/>
          <w:position w:val="0"/>
          <w:sz w:val="24"/>
          <w:shd w:fill="auto" w:val="clear"/>
        </w:rPr>
        <w:t xml:space="preserve">Os critérios de inclusão foram: texto completos, publicados a partir de </w:t>
      </w:r>
      <w:r>
        <w:rPr>
          <w:rFonts w:ascii="Times New Roman" w:hAnsi="Times New Roman" w:cs="Times New Roman" w:eastAsia="Times New Roman"/>
          <w:color w:val="auto"/>
          <w:spacing w:val="0"/>
          <w:position w:val="0"/>
          <w:sz w:val="24"/>
          <w:shd w:fill="auto" w:val="clear"/>
        </w:rPr>
        <w:t xml:space="preserve">2006 </w:t>
      </w:r>
      <w:r>
        <w:rPr>
          <w:rFonts w:ascii="Times New Roman" w:hAnsi="Times New Roman" w:cs="Times New Roman" w:eastAsia="Times New Roman"/>
          <w:color w:val="auto"/>
          <w:spacing w:val="0"/>
          <w:position w:val="0"/>
          <w:sz w:val="24"/>
          <w:shd w:fill="auto" w:val="clear"/>
        </w:rPr>
        <w:t xml:space="preserve">e com idiomas inglês ou portugues. Os critérios de exclusão foram: artigos que não abordassem o tema escolhido ou que não incluíssem a faixa etária pediátrica.</w:t>
      </w:r>
    </w:p>
    <w:p>
      <w:pPr>
        <w:spacing w:before="14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8"/>
        </w:numPr>
        <w:tabs>
          <w:tab w:val="left" w:pos="501" w:leader="none"/>
        </w:tabs>
        <w:spacing w:before="1" w:after="0" w:line="240"/>
        <w:ind w:right="0" w:left="501" w:hanging="18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DISCUSSÃO</w:t>
      </w:r>
    </w:p>
    <w:p>
      <w:pPr>
        <w:spacing w:before="134" w:after="0" w:line="360"/>
        <w:ind w:right="309"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artigos selecionados foram publicados em periódicos nacionais e internacionais. Cinco estudos são artigos de revisão de literatura e uma diretriz. O mais recente foi publicado no ano de </w:t>
      </w:r>
      <w:r>
        <w:rPr>
          <w:rFonts w:ascii="Times New Roman" w:hAnsi="Times New Roman" w:cs="Times New Roman" w:eastAsia="Times New Roman"/>
          <w:color w:val="auto"/>
          <w:spacing w:val="0"/>
          <w:position w:val="0"/>
          <w:sz w:val="24"/>
          <w:shd w:fill="auto" w:val="clear"/>
        </w:rPr>
        <w:t xml:space="preserve">2018 </w:t>
      </w:r>
      <w:r>
        <w:rPr>
          <w:rFonts w:ascii="Times New Roman" w:hAnsi="Times New Roman" w:cs="Times New Roman" w:eastAsia="Times New Roman"/>
          <w:color w:val="auto"/>
          <w:spacing w:val="0"/>
          <w:position w:val="0"/>
          <w:sz w:val="24"/>
          <w:shd w:fill="auto" w:val="clear"/>
        </w:rPr>
        <w:t xml:space="preserve">e o mais antigo em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 Os trabalhos foram separados conforme título, autoria, ano de publicação e método empregado no estudo.</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601" w:leader="none"/>
          <w:tab w:val="left" w:pos="8911" w:leader="none"/>
        </w:tabs>
        <w:spacing w:before="0" w:after="0" w:line="240"/>
        <w:ind w:right="0" w:left="12"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u w:val="thick"/>
          <w:shd w:fill="auto" w:val="clear"/>
        </w:rPr>
        <w:tab/>
      </w:r>
      <w:r>
        <w:rPr>
          <w:rFonts w:ascii="Times New Roman" w:hAnsi="Times New Roman" w:cs="Times New Roman" w:eastAsia="Times New Roman"/>
          <w:color w:val="auto"/>
          <w:spacing w:val="0"/>
          <w:position w:val="0"/>
          <w:sz w:val="20"/>
          <w:u w:val="thick"/>
          <w:shd w:fill="auto" w:val="clear"/>
        </w:rPr>
        <w:t xml:space="preserve">Tabela</w:t>
      </w:r>
      <w:r>
        <w:rPr>
          <w:rFonts w:ascii="Times New Roman" w:hAnsi="Times New Roman" w:cs="Times New Roman" w:eastAsia="Times New Roman"/>
          <w:color w:val="auto"/>
          <w:spacing w:val="-5"/>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2</w:t>
      </w:r>
      <w:r>
        <w:rPr>
          <w:rFonts w:ascii="Times New Roman" w:hAnsi="Times New Roman" w:cs="Times New Roman" w:eastAsia="Times New Roman"/>
          <w:color w:val="auto"/>
          <w:spacing w:val="0"/>
          <w:position w:val="0"/>
          <w:sz w:val="20"/>
          <w:u w:val="thick"/>
          <w:shd w:fill="auto" w:val="clear"/>
        </w:rPr>
        <w:t xml:space="preserve">:Estudos</w:t>
      </w:r>
      <w:r>
        <w:rPr>
          <w:rFonts w:ascii="Times New Roman" w:hAnsi="Times New Roman" w:cs="Times New Roman" w:eastAsia="Times New Roman"/>
          <w:color w:val="auto"/>
          <w:spacing w:val="-9"/>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sobre</w:t>
      </w:r>
      <w:r>
        <w:rPr>
          <w:rFonts w:ascii="Times New Roman" w:hAnsi="Times New Roman" w:cs="Times New Roman" w:eastAsia="Times New Roman"/>
          <w:color w:val="auto"/>
          <w:spacing w:val="-4"/>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classificação</w:t>
      </w:r>
      <w:r>
        <w:rPr>
          <w:rFonts w:ascii="Times New Roman" w:hAnsi="Times New Roman" w:cs="Times New Roman" w:eastAsia="Times New Roman"/>
          <w:color w:val="auto"/>
          <w:spacing w:val="-5"/>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e</w:t>
      </w:r>
      <w:r>
        <w:rPr>
          <w:rFonts w:ascii="Times New Roman" w:hAnsi="Times New Roman" w:cs="Times New Roman" w:eastAsia="Times New Roman"/>
          <w:color w:val="auto"/>
          <w:spacing w:val="-5"/>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manejo</w:t>
      </w:r>
      <w:r>
        <w:rPr>
          <w:rFonts w:ascii="Times New Roman" w:hAnsi="Times New Roman" w:cs="Times New Roman" w:eastAsia="Times New Roman"/>
          <w:color w:val="auto"/>
          <w:spacing w:val="-6"/>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de</w:t>
      </w:r>
      <w:r>
        <w:rPr>
          <w:rFonts w:ascii="Times New Roman" w:hAnsi="Times New Roman" w:cs="Times New Roman" w:eastAsia="Times New Roman"/>
          <w:color w:val="auto"/>
          <w:spacing w:val="-6"/>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arritmias</w:t>
      </w:r>
      <w:r>
        <w:rPr>
          <w:rFonts w:ascii="Times New Roman" w:hAnsi="Times New Roman" w:cs="Times New Roman" w:eastAsia="Times New Roman"/>
          <w:color w:val="auto"/>
          <w:spacing w:val="-9"/>
          <w:position w:val="0"/>
          <w:sz w:val="20"/>
          <w:u w:val="thick"/>
          <w:shd w:fill="auto" w:val="clear"/>
        </w:rPr>
        <w:t xml:space="preserve"> </w:t>
      </w:r>
      <w:r>
        <w:rPr>
          <w:rFonts w:ascii="Times New Roman" w:hAnsi="Times New Roman" w:cs="Times New Roman" w:eastAsia="Times New Roman"/>
          <w:color w:val="auto"/>
          <w:spacing w:val="0"/>
          <w:position w:val="0"/>
          <w:sz w:val="20"/>
          <w:u w:val="thick"/>
          <w:shd w:fill="auto" w:val="clear"/>
        </w:rPr>
        <w:t xml:space="preserve">em</w:t>
      </w:r>
      <w:r>
        <w:rPr>
          <w:rFonts w:ascii="Times New Roman" w:hAnsi="Times New Roman" w:cs="Times New Roman" w:eastAsia="Times New Roman"/>
          <w:color w:val="auto"/>
          <w:spacing w:val="-9"/>
          <w:position w:val="0"/>
          <w:sz w:val="20"/>
          <w:u w:val="thick"/>
          <w:shd w:fill="auto" w:val="clear"/>
        </w:rPr>
        <w:t xml:space="preserve"> </w:t>
      </w:r>
      <w:r>
        <w:rPr>
          <w:rFonts w:ascii="Times New Roman" w:hAnsi="Times New Roman" w:cs="Times New Roman" w:eastAsia="Times New Roman"/>
          <w:color w:val="auto"/>
          <w:spacing w:val="-2"/>
          <w:position w:val="0"/>
          <w:sz w:val="20"/>
          <w:u w:val="thick"/>
          <w:shd w:fill="auto" w:val="clear"/>
        </w:rPr>
        <w:t xml:space="preserve">crianças</w:t>
      </w:r>
      <w:r>
        <w:rPr>
          <w:rFonts w:ascii="Times New Roman" w:hAnsi="Times New Roman" w:cs="Times New Roman" w:eastAsia="Times New Roman"/>
          <w:color w:val="auto"/>
          <w:spacing w:val="0"/>
          <w:position w:val="0"/>
          <w:sz w:val="20"/>
          <w:u w:val="thick"/>
          <w:shd w:fill="auto" w:val="clear"/>
        </w:rPr>
        <w:tab/>
      </w:r>
    </w:p>
    <w:p>
      <w:pPr>
        <w:spacing w:before="4" w:after="0" w:line="240"/>
        <w:ind w:right="0" w:left="0" w:firstLine="0"/>
        <w:jc w:val="left"/>
        <w:rPr>
          <w:rFonts w:ascii="Times New Roman" w:hAnsi="Times New Roman" w:cs="Times New Roman" w:eastAsia="Times New Roman"/>
          <w:color w:val="auto"/>
          <w:spacing w:val="0"/>
          <w:position w:val="0"/>
          <w:sz w:val="12"/>
          <w:shd w:fill="auto" w:val="clear"/>
        </w:rPr>
      </w:pPr>
    </w:p>
    <w:tbl>
      <w:tblPr>
        <w:tblInd w:w="142" w:type="dxa"/>
      </w:tblPr>
      <w:tblGrid>
        <w:gridCol w:w="3105"/>
        <w:gridCol w:w="2327"/>
        <w:gridCol w:w="1590"/>
        <w:gridCol w:w="1880"/>
      </w:tblGrid>
      <w:tr>
        <w:trPr>
          <w:trHeight w:val="548" w:hRule="auto"/>
          <w:jc w:val="left"/>
        </w:trPr>
        <w:tc>
          <w:tcPr>
            <w:tcW w:w="3105"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0" w:after="0" w:line="240"/>
              <w:ind w:right="190" w:left="2"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Titulo</w:t>
            </w:r>
          </w:p>
        </w:tc>
        <w:tc>
          <w:tcPr>
            <w:tcW w:w="2327"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0" w:after="0" w:line="240"/>
              <w:ind w:right="114" w:left="0" w:firstLine="0"/>
              <w:jc w:val="center"/>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Autores</w:t>
            </w:r>
          </w:p>
        </w:tc>
        <w:tc>
          <w:tcPr>
            <w:tcW w:w="1590"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0" w:after="0" w:line="240"/>
              <w:ind w:right="0" w:left="427" w:firstLine="151"/>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Ano da </w:t>
            </w:r>
            <w:r>
              <w:rPr>
                <w:rFonts w:ascii="Times New Roman" w:hAnsi="Times New Roman" w:cs="Times New Roman" w:eastAsia="Times New Roman"/>
                <w:b/>
                <w:color w:val="auto"/>
                <w:spacing w:val="-2"/>
                <w:position w:val="0"/>
                <w:sz w:val="20"/>
                <w:shd w:fill="auto" w:val="clear"/>
              </w:rPr>
              <w:t xml:space="preserve">publicação</w:t>
            </w:r>
          </w:p>
        </w:tc>
        <w:tc>
          <w:tcPr>
            <w:tcW w:w="1880"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0" w:after="0" w:line="240"/>
              <w:ind w:right="570" w:left="0" w:firstLine="0"/>
              <w:jc w:val="righ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Metodologia</w:t>
            </w:r>
          </w:p>
        </w:tc>
      </w:tr>
      <w:tr>
        <w:trPr>
          <w:trHeight w:val="632" w:hRule="auto"/>
          <w:jc w:val="left"/>
        </w:trPr>
        <w:tc>
          <w:tcPr>
            <w:tcW w:w="3105" w:type="dxa"/>
            <w:tcBorders>
              <w:top w:val="single" w:color="000000" w:sz="12"/>
              <w:left w:val="single" w:color="000000" w:sz="0"/>
              <w:bottom w:val="single" w:color="000000" w:sz="0"/>
              <w:right w:val="single" w:color="000000" w:sz="0"/>
            </w:tcBorders>
            <w:shd w:color="000000" w:fill="ffffff" w:val="clear"/>
            <w:tcMar>
              <w:left w:w="0" w:type="dxa"/>
              <w:right w:w="0" w:type="dxa"/>
            </w:tcMar>
            <w:vAlign w:val="top"/>
          </w:tcPr>
          <w:p>
            <w:pPr>
              <w:spacing w:before="67" w:after="0" w:line="240"/>
              <w:ind w:right="190" w:left="8"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Pediatric</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dysrhythmias</w:t>
            </w:r>
          </w:p>
        </w:tc>
        <w:tc>
          <w:tcPr>
            <w:tcW w:w="2327" w:type="dxa"/>
            <w:tcBorders>
              <w:top w:val="single" w:color="000000" w:sz="12"/>
              <w:left w:val="single" w:color="000000" w:sz="0"/>
              <w:bottom w:val="single" w:color="000000" w:sz="0"/>
              <w:right w:val="single" w:color="000000" w:sz="0"/>
            </w:tcBorders>
            <w:shd w:color="000000" w:fill="ffffff" w:val="clear"/>
            <w:tcMar>
              <w:left w:w="0" w:type="dxa"/>
              <w:right w:w="0" w:type="dxa"/>
            </w:tcMar>
            <w:vAlign w:val="top"/>
          </w:tcPr>
          <w:p>
            <w:pPr>
              <w:spacing w:before="67" w:after="0" w:line="240"/>
              <w:ind w:right="0" w:left="363" w:hanging="58"/>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DONIGER,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 SHARIEFF, G. Q.</w:t>
            </w:r>
          </w:p>
        </w:tc>
        <w:tc>
          <w:tcPr>
            <w:tcW w:w="1590" w:type="dxa"/>
            <w:tcBorders>
              <w:top w:val="single" w:color="000000" w:sz="12"/>
              <w:left w:val="single" w:color="000000" w:sz="0"/>
              <w:bottom w:val="single" w:color="000000" w:sz="0"/>
              <w:right w:val="single" w:color="000000" w:sz="0"/>
            </w:tcBorders>
            <w:shd w:color="000000" w:fill="ffffff" w:val="clear"/>
            <w:tcMar>
              <w:left w:w="0" w:type="dxa"/>
              <w:right w:w="0" w:type="dxa"/>
            </w:tcMar>
            <w:vAlign w:val="top"/>
          </w:tcPr>
          <w:p>
            <w:pPr>
              <w:spacing w:before="67" w:after="0" w:line="240"/>
              <w:ind w:right="488" w:left="0" w:firstLine="0"/>
              <w:jc w:val="righ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2006</w:t>
            </w:r>
          </w:p>
        </w:tc>
        <w:tc>
          <w:tcPr>
            <w:tcW w:w="1880" w:type="dxa"/>
            <w:tcBorders>
              <w:top w:val="single" w:color="000000" w:sz="12"/>
              <w:left w:val="single" w:color="000000" w:sz="0"/>
              <w:bottom w:val="single" w:color="000000" w:sz="0"/>
              <w:right w:val="single" w:color="000000" w:sz="0"/>
            </w:tcBorders>
            <w:shd w:color="000000" w:fill="ffffff" w:val="clear"/>
            <w:tcMar>
              <w:left w:w="0" w:type="dxa"/>
              <w:right w:w="0" w:type="dxa"/>
            </w:tcMar>
            <w:vAlign w:val="top"/>
          </w:tcPr>
          <w:p>
            <w:pPr>
              <w:spacing w:before="67" w:after="0" w:line="240"/>
              <w:ind w:right="548" w:left="0" w:firstLine="0"/>
              <w:jc w:val="righ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649" w:hRule="auto"/>
          <w:jc w:val="left"/>
        </w:trPr>
        <w:tc>
          <w:tcPr>
            <w:tcW w:w="31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6" w:after="0" w:line="240"/>
              <w:ind w:right="0" w:left="950" w:hanging="848"/>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Arritmias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w:t>
            </w:r>
            <w:r>
              <w:rPr>
                <w:rFonts w:ascii="Times New Roman" w:hAnsi="Times New Roman" w:cs="Times New Roman" w:eastAsia="Times New Roman"/>
                <w:color w:val="auto"/>
                <w:spacing w:val="0"/>
                <w:position w:val="0"/>
                <w:sz w:val="20"/>
                <w:shd w:fill="auto" w:val="clear"/>
              </w:rPr>
              <w:t xml:space="preserve">acas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2"/>
                <w:position w:val="0"/>
                <w:sz w:val="20"/>
                <w:shd w:fill="auto" w:val="clear"/>
              </w:rPr>
              <w:t xml:space="preserve">adolescentes</w:t>
            </w:r>
          </w:p>
        </w:tc>
        <w:tc>
          <w:tcPr>
            <w:tcW w:w="23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6" w:after="0" w:line="240"/>
              <w:ind w:right="114" w:left="5"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ANDALAFT,</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R.</w:t>
            </w:r>
          </w:p>
        </w:tc>
        <w:tc>
          <w:tcPr>
            <w:tcW w:w="15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6" w:after="0" w:line="240"/>
              <w:ind w:right="488" w:left="0" w:firstLine="0"/>
              <w:jc w:val="righ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2010</w:t>
            </w:r>
          </w:p>
        </w:tc>
        <w:tc>
          <w:tcPr>
            <w:tcW w:w="1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6" w:after="0" w:line="240"/>
              <w:ind w:right="548" w:left="0" w:firstLine="0"/>
              <w:jc w:val="righ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773" w:hRule="auto"/>
          <w:jc w:val="left"/>
        </w:trPr>
        <w:tc>
          <w:tcPr>
            <w:tcW w:w="31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5" w:after="0" w:line="240"/>
              <w:ind w:right="354" w:left="158" w:firstLine="8"/>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Tratamento farmacológico das arritmias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Indicação</w:t>
            </w:r>
          </w:p>
          <w:p>
            <w:pPr>
              <w:spacing w:before="0" w:after="0" w:line="240"/>
              <w:ind w:right="190" w:left="0"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posologias.</w:t>
            </w:r>
          </w:p>
        </w:tc>
        <w:tc>
          <w:tcPr>
            <w:tcW w:w="23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5" w:after="0" w:line="240"/>
              <w:ind w:right="114" w:left="8"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XAVIER,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12"/>
                <w:position w:val="0"/>
                <w:sz w:val="20"/>
                <w:shd w:fill="auto" w:val="clear"/>
              </w:rPr>
              <w:t xml:space="preserve">R</w:t>
            </w:r>
          </w:p>
        </w:tc>
        <w:tc>
          <w:tcPr>
            <w:tcW w:w="15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5" w:after="0" w:line="240"/>
              <w:ind w:right="488" w:left="0" w:firstLine="0"/>
              <w:jc w:val="righ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2012</w:t>
            </w:r>
          </w:p>
        </w:tc>
        <w:tc>
          <w:tcPr>
            <w:tcW w:w="1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5" w:after="0" w:line="240"/>
              <w:ind w:right="548" w:left="0" w:firstLine="0"/>
              <w:jc w:val="righ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bl>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14"/>
          <w:shd w:fill="auto" w:val="clear"/>
        </w:rPr>
      </w:pPr>
    </w:p>
    <w:tbl>
      <w:tblPr>
        <w:tblInd w:w="113" w:type="dxa"/>
      </w:tblPr>
      <w:tblGrid>
        <w:gridCol w:w="2954"/>
        <w:gridCol w:w="2819"/>
        <w:gridCol w:w="1372"/>
        <w:gridCol w:w="1783"/>
      </w:tblGrid>
      <w:tr>
        <w:trPr>
          <w:trHeight w:val="554"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671"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Arritmias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criança</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08" w:firstLine="456"/>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MATSUNO, ALESSANDRA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KIMIE</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2012</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911"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4" w:after="0" w:line="240"/>
              <w:ind w:right="134" w:left="156"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Utilização dos métodos não invasivos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diagnósticos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arritmias na infância</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4" w:after="0" w:line="240"/>
              <w:ind w:right="0" w:left="48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ANDALAFT,</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B.</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4"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2012</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4"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1371"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8" w:after="0" w:line="240"/>
              <w:ind w:right="198" w:left="604" w:hanging="341"/>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practical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approach</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rhythm disorders in pediatrics</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8" w:after="0" w:line="240"/>
              <w:ind w:right="382" w:left="128" w:hanging="3"/>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ROBERTA DA SILVA, D., DE MENEZES MONTEIRO,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 TONELLI, H., &amp; FERREIRA, A. R.</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8"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2013</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8"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1579"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133" w:left="151" w:firstLine="13"/>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Pharmacological and non- pharmacological therapy for arrhythmias in the pediatric population: EHRA and AEPC- Arrhythmia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Working</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Group</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joint consensus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statement.</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387" w:left="137" w:firstLine="3"/>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BRUGADA, 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BLOM, N.; </w:t>
            </w:r>
            <w:r>
              <w:rPr>
                <w:rFonts w:ascii="Times New Roman" w:hAnsi="Times New Roman" w:cs="Times New Roman" w:eastAsia="Times New Roman"/>
                <w:color w:val="auto"/>
                <w:spacing w:val="-2"/>
                <w:position w:val="0"/>
                <w:sz w:val="20"/>
                <w:shd w:fill="auto" w:val="clear"/>
              </w:rPr>
              <w:t xml:space="preserve">SARQUELLA-BRUGADA, </w:t>
            </w:r>
            <w:r>
              <w:rPr>
                <w:rFonts w:ascii="Times New Roman" w:hAnsi="Times New Roman" w:cs="Times New Roman" w:eastAsia="Times New Roman"/>
                <w:color w:val="auto"/>
                <w:spacing w:val="0"/>
                <w:position w:val="0"/>
                <w:sz w:val="20"/>
                <w:shd w:fill="auto" w:val="clear"/>
              </w:rPr>
              <w:t xml:space="preserve">G., BLOMSTROM- LUNDQVIST, C., DEANFIELD, J., JANOUSEK, J., HEBE, J.</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2013</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1120"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123" w:left="153" w:hanging="14"/>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Idiopathic</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ventricular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arrhythmia in</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children</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adolescents: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early effectiveness of radiofrequency current ablation</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254" w:left="4"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MISZCZAK-KNECHT,</w:t>
            </w:r>
          </w:p>
          <w:p>
            <w:pPr>
              <w:spacing w:before="0" w:after="0" w:line="240"/>
              <w:ind w:right="254" w:left="0"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5"/>
                <w:position w:val="0"/>
                <w:sz w:val="20"/>
                <w:shd w:fill="auto" w:val="clear"/>
              </w:rPr>
              <w:t xml:space="preserve"> al.</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2014</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1121"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7" w:after="0" w:line="240"/>
              <w:ind w:right="130" w:left="156"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Diretriz</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Cardíacas em Crianças e Cardiopatias Congênitas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SOBRAC</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DCC</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6"/>
                <w:position w:val="0"/>
                <w:sz w:val="20"/>
                <w:shd w:fill="auto" w:val="clear"/>
              </w:rPr>
              <w:t xml:space="preserve">CP</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7" w:after="0" w:line="240"/>
              <w:ind w:right="415" w:left="166" w:hanging="1"/>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MAGALHÃES LP, GUIMARÃES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ICB,</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MELO SL, MATEO EIP,</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7"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2016</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7" w:after="0" w:line="240"/>
              <w:ind w:right="2"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Diretriz</w:t>
            </w:r>
          </w:p>
        </w:tc>
      </w:tr>
      <w:tr>
        <w:trPr>
          <w:trHeight w:val="889"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133" w:left="156"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Avoiding</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sports-related</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sudden cardiac death in children with congenital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channelopathy</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253" w:left="452" w:hanging="329"/>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LANG,</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STEINFURT, J.; ODENING, K. E.</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2017</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5"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888"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8" w:after="0" w:line="240"/>
              <w:ind w:right="262" w:left="288" w:hanging="7"/>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Neonatal and Pediatric Arrhythmias: Clinical and </w:t>
            </w:r>
            <w:r>
              <w:rPr>
                <w:rFonts w:ascii="Times New Roman" w:hAnsi="Times New Roman" w:cs="Times New Roman" w:eastAsia="Times New Roman"/>
                <w:color w:val="auto"/>
                <w:spacing w:val="-2"/>
                <w:position w:val="0"/>
                <w:sz w:val="20"/>
                <w:shd w:fill="auto" w:val="clear"/>
              </w:rPr>
              <w:t xml:space="preserve">Electrocardiographic Aspects.</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8" w:after="0" w:line="240"/>
              <w:ind w:right="739" w:left="485" w:firstLine="4"/>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DRAGO, F.; BATTIPAGLIA,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 MAMBRO, C. D</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2018</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891" w:hRule="auto"/>
          <w:jc w:val="left"/>
        </w:trPr>
        <w:tc>
          <w:tcPr>
            <w:tcW w:w="295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158" w:left="180" w:firstLine="4"/>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Phenotypic manifestations of arrhythmogenic</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cardiomyopathy in children and adolescents</w:t>
            </w:r>
          </w:p>
        </w:tc>
        <w:tc>
          <w:tcPr>
            <w:tcW w:w="2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254" w:left="4"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DEWITT,</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ELIZABETH</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w:t>
            </w:r>
          </w:p>
          <w:p>
            <w:pPr>
              <w:spacing w:before="0" w:after="0" w:line="240"/>
              <w:ind w:right="254" w:left="7" w:firstLine="0"/>
              <w:jc w:val="center"/>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al.</w:t>
            </w:r>
          </w:p>
        </w:tc>
        <w:tc>
          <w:tcPr>
            <w:tcW w:w="13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2019</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r>
        <w:trPr>
          <w:trHeight w:val="663" w:hRule="auto"/>
          <w:jc w:val="left"/>
        </w:trPr>
        <w:tc>
          <w:tcPr>
            <w:tcW w:w="2954"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95" w:after="0" w:line="240"/>
              <w:ind w:right="0" w:left="647" w:hanging="399"/>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Management</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arrhythmias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 pediatric emergency.</w:t>
            </w:r>
          </w:p>
        </w:tc>
        <w:tc>
          <w:tcPr>
            <w:tcW w:w="2819"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95" w:after="0" w:line="240"/>
              <w:ind w:right="0" w:left="459" w:firstLine="225"/>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ROHIT, M., &amp; </w:t>
            </w:r>
            <w:r>
              <w:rPr>
                <w:rFonts w:ascii="Times New Roman" w:hAnsi="Times New Roman" w:cs="Times New Roman" w:eastAsia="Times New Roman"/>
                <w:color w:val="auto"/>
                <w:spacing w:val="-2"/>
                <w:position w:val="0"/>
                <w:sz w:val="20"/>
                <w:shd w:fill="auto" w:val="clear"/>
              </w:rPr>
              <w:t xml:space="preserve">KASINADHUNI,</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G</w:t>
            </w:r>
          </w:p>
        </w:tc>
        <w:tc>
          <w:tcPr>
            <w:tcW w:w="1372"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95" w:after="0" w:line="240"/>
              <w:ind w:right="0" w:left="379"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2020</w:t>
            </w:r>
          </w:p>
        </w:tc>
        <w:tc>
          <w:tcPr>
            <w:tcW w:w="1783"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95" w:after="0" w:line="240"/>
              <w:ind w:right="0" w:left="37"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Revisão</w:t>
            </w:r>
          </w:p>
        </w:tc>
      </w:tr>
    </w:tbl>
    <w:p>
      <w:pPr>
        <w:spacing w:before="21" w:after="0" w:line="240"/>
        <w:ind w:right="0" w:left="3"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2021</w:t>
      </w:r>
    </w:p>
    <w:p>
      <w:pPr>
        <w:spacing w:before="18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4"/>
        </w:numPr>
        <w:tabs>
          <w:tab w:val="left" w:pos="683" w:leader="none"/>
        </w:tabs>
        <w:spacing w:before="0" w:after="0" w:line="240"/>
        <w:ind w:right="0" w:left="683"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PEDIÁTRICAS</w:t>
      </w:r>
    </w:p>
    <w:p>
      <w:pPr>
        <w:spacing w:before="141" w:after="0" w:line="360"/>
        <w:ind w:right="308"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Diretriz</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Cardiopatias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Congênitas SOBRAC e DCC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 a avalia</w:t>
      </w:r>
      <w:r>
        <w:rPr>
          <w:rFonts w:ascii="Times New Roman" w:hAnsi="Times New Roman" w:cs="Times New Roman" w:eastAsia="Times New Roman"/>
          <w:color w:val="auto"/>
          <w:spacing w:val="0"/>
          <w:position w:val="0"/>
          <w:sz w:val="24"/>
          <w:shd w:fill="auto" w:val="clear"/>
        </w:rPr>
        <w:t xml:space="preserve">ção e estratificação não invasiva deve ser dividida entre aqueles pacientes sem cardiopatia e com cardiopatia congênita, tendo em vista aspectos como história clínica e documentação eletrocardiográfica, bem como a avaliação diagnóstica por meio de Holter e Teste Ergométrico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estruturalmente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 são representados, em sua maioria, por vias acessórias, por focos atriais ectópicos e por</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7" w:after="0" w:line="360"/>
        <w:ind w:right="309"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reentrada atrioventricular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 Já no caso dos corações malformados, as patologias de maior risco são a transposição de grandes artérias e ventrículo direito sistêmico após correção cirúrgica, obstruções ao ventrículo esquerdo (estenose aórtica ou coarctação aórtica) e tetralogia de Fallot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Entretanto, vale ressaltar que a avaliação exata do tipo de arritmia na população pediátrica é difícil, principalmente devido às mudanças anatômicas e fisiológicas do sistema de condução elétrico ao longo do crescimento, sendo que arritmia sinusal, ritmo ectópico atrial, marcapasso errante e ritmo juncional podem ser características normais em cerca de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 de crianças saudáveis (DRAGO, F.; BATTIPAGLIA, I.; MAMBRO, C. D.,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0"/>
          <w:position w:val="0"/>
          <w:sz w:val="24"/>
          <w:shd w:fill="auto" w:val="clear"/>
        </w:rPr>
        <w:t xml:space="preserve">).</w:t>
      </w:r>
    </w:p>
    <w:p>
      <w:pPr>
        <w:spacing w:before="5" w:after="0" w:line="360"/>
        <w:ind w:right="304"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sentido, a partir da avaliação sistemática e estratificação, destacam-se algumas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faixa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etária,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manobras vagais, uso de fármacos e ablação de vias ectópicas (DRAGO, F.; BATTIPAGLIA, I.; MAMBRO, C. D.,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0"/>
          <w:position w:val="0"/>
          <w:sz w:val="24"/>
          <w:shd w:fill="auto" w:val="clear"/>
        </w:rPr>
        <w:t xml:space="preserve">). Essa última apresenta-se como uma importante área de eletrofisiologia intervencionista, sendo que o atual desenvolvimento de mapeamento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D eletroanatômico permite maior acurácia no diagnóstico e manejo, bem como redução da exposição pediátrica a radiação durante o procedimento, tendo em vista que o risco cumulativo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malignidade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faixa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etária,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princípio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 acrônimo ALARA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As low as reasonably achievable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(CASALE M., et al,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0"/>
          <w:position w:val="0"/>
          <w:sz w:val="24"/>
          <w:shd w:fill="auto" w:val="clear"/>
        </w:rPr>
        <w:t xml:space="preserve">). O primeiro passo para o controle da arritmia é fazer o diagnóstico. Uma vez este obtido, a abordagem dependerá de muitos fatores, incluindo a probabilidade de recorrência, o efeito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hemodinâmico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 tratamento conservador, tratamento não farmacológico, procedimentos intervencionistas e terapia farmacológica (ESCUDERO C, et al.,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 As decisões relativas ao manejo devem levar em conta a etiologia subjacente de uma arritmia, o mecanismo e a repercussão hemodinâmica associada com os potenciais efeitos adversos da terapia (SMITH AH,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13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70"/>
        </w:numPr>
        <w:tabs>
          <w:tab w:val="left" w:pos="683" w:leader="none"/>
        </w:tabs>
        <w:spacing w:before="0" w:after="0" w:line="240"/>
        <w:ind w:right="0" w:left="683" w:hanging="3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CARDIOPATIA</w:t>
      </w:r>
    </w:p>
    <w:p>
      <w:pPr>
        <w:numPr>
          <w:ilvl w:val="0"/>
          <w:numId w:val="170"/>
        </w:numPr>
        <w:tabs>
          <w:tab w:val="left" w:pos="861" w:leader="none"/>
        </w:tabs>
        <w:spacing w:before="144" w:after="0" w:line="240"/>
        <w:ind w:right="0" w:left="861" w:hanging="54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Tratamento</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Medicamentoso</w:t>
      </w:r>
    </w:p>
    <w:p>
      <w:pPr>
        <w:spacing w:before="132" w:after="0" w:line="360"/>
        <w:ind w:right="310"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farmacológica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arrítmicos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infância.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indicação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fármaco antiarrítmico deve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 baseada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 somente em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eficácia, mas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ponderação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fisiopatologia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arrítmico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 da medicação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74"/>
        </w:numPr>
        <w:tabs>
          <w:tab w:val="left" w:pos="1028" w:leader="none"/>
        </w:tabs>
        <w:spacing w:before="87" w:after="0" w:line="360"/>
        <w:ind w:right="306"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antiarrítmica</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qrs</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estreito</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documentada Taquicardias de complexo QRS estreito possuem duração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0,09 </w:t>
      </w:r>
      <w:r>
        <w:rPr>
          <w:rFonts w:ascii="Times New Roman" w:hAnsi="Times New Roman" w:cs="Times New Roman" w:eastAsia="Times New Roman"/>
          <w:color w:val="auto"/>
          <w:spacing w:val="0"/>
          <w:position w:val="0"/>
          <w:sz w:val="24"/>
          <w:shd w:fill="auto" w:val="clear"/>
        </w:rPr>
        <w:t xml:space="preserve">s. Elas são mais comumente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causadas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circuitos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reentrantes,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 taquicardia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ectópica,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fibrilação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vezes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(TOPJIAN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sinusal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supraventricular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(TSV)</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(MATSUNO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2012</w:t>
      </w:r>
      <w:r>
        <w:rPr>
          <w:rFonts w:ascii="Times New Roman" w:hAnsi="Times New Roman" w:cs="Times New Roman" w:eastAsia="Times New Roman"/>
          <w:color w:val="auto"/>
          <w:spacing w:val="-2"/>
          <w:position w:val="0"/>
          <w:sz w:val="24"/>
          <w:shd w:fill="auto" w:val="clear"/>
        </w:rPr>
        <w:t xml:space="preserve">).</w:t>
      </w:r>
    </w:p>
    <w:p>
      <w:pPr>
        <w:spacing w:before="137" w:after="0" w:line="360"/>
        <w:ind w:right="304"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Taquicardias supraventriculares: dentre as taquicardias supraventriculares estritamente regulares na infância, a maioria é mediada por vias acessórias aparentes ou ocultas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repouso,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primeira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 LP,</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primeiro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fazer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reconhecer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situação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emergência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monitorizar.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supraventricular, dê o suporte ABC (Airway, Breathing, Circulation), posicione as vias aéreas e forneça oxigênio. Na avaliação da circulação, verifique se há sinais de má perfusão ou choque (MATSUNO AK,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 Se for estável, recomendam-se utilizar manobras vagais prioritariamente em relação ao antiarrítmico. Em caso de insucesso da manobra vagal, a adenosina deve ser considerada primeira escolha no tratamento do evento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A administração de adenosina na infância é eficaz na supressão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TSV</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(DIAZ-PARRA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lembrar que a eficiência da adenosina depende não só da dose como também da forma de administração. Idealmente, a adenosina deve ser administrada em torneira de tripla via, seguida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flush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soro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fisiológico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elevação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membro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Devido à sua meia-vida curta, a adenosina pode causar apenas uma curta interrupção da taquicardia com rápido retorno, nesse caso, a adenosina pode ser repetida ou deve ser usado um medicamento antiarrítmico com meia-vida mais longa. Drogas intravenosas alternativas à adenosina para a interrupção imediata da taquicardia são flecainida,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propafenona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procainamida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(BRUGADA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refratários ou naqueles com repercussão hemodinâmica, o profissional de saúde deve avaliar clinicamente os sinais de gravidade e proceder ao tratamento com cardioversão elétrica após sedação adequada.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312"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terapia para profilaxia deve se basear no mecanismo subjacente ao evento arrítmico ou ao quadro específico de base, e ser individualizado. A TV fascicular é sensível à reversão com bloqueadores de canais de cálcio, principalmente o verapamil. As taquicardias do VD, em especial as de via de saída do VD, são habitualmente responsivas à adenosina. Nos casos de arritmia idiopática, a resposta ao betabloqueador, ou mesmo aos bloqueadores de canais de cálcio, é mais efetiva que o uso de fármacos como amiodarona, sotalol ou propafenona.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5"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Cardioversão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elétrica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sincronizada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fornecida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urgência para o tratamento de crianças com taquicardia de complexo largo de qualquer origem atrial ou ventricular que está hemodinamicamente instável com pulso. Comprometimento cardiovascular é um fator chave para determinar o uso de terapia elétrica em vez de manejo farmacológico primário. (TOPJIAN AA, et al.,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0"/>
          <w:position w:val="0"/>
          <w:sz w:val="24"/>
          <w:shd w:fill="auto" w:val="clear"/>
        </w:rPr>
        <w:t xml:space="preserve">) Neste caso,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cardioversão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elétrica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sempre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primeira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energia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 de </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J/kg de peso corporal. A energia deve ser dobrada para cada tentativa se a cardioversão elétrica não for bem-sucedida.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306"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Não há evidências suficientes descrevendo a incidência de taquicardias de complexo largo com pulso e estabilidade hemodinâmica, e não há suporte a favor ou contra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drogas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antiarrítmicas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(TOPJIAN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0"/>
          <w:position w:val="0"/>
          <w:sz w:val="24"/>
          <w:shd w:fill="auto" w:val="clear"/>
        </w:rPr>
        <w:t xml:space="preserve">). Se o paciente estiver estável, o tratamento farmacológico pode ser tentado, começando com uma injeção em bolus de lidocaína seguida por uma infusão. Se ineficaz, principalmente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TVs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reentrantes,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próxima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etapa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ataque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amiodarona, seguida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infusão.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alternativa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amiodarona,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tentar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esmolol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bolus junto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sulfato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magnésio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condução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antidrômica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 acessória for excluída. Cardioversão elétrica deve sempre ser considerada, mesmo em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estáveis.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14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80"/>
        </w:numPr>
        <w:tabs>
          <w:tab w:val="left" w:pos="861" w:leader="none"/>
        </w:tabs>
        <w:spacing w:before="0" w:after="0" w:line="240"/>
        <w:ind w:right="0" w:left="861" w:hanging="54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Tratamento</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não</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medicamentoso</w:t>
      </w:r>
    </w:p>
    <w:p>
      <w:pPr>
        <w:spacing w:before="132" w:after="0" w:line="362"/>
        <w:ind w:right="314"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Muitas vezes, os riscos dos procedimentos invasivos, principalmente entre os jovens, a complexidade da cardiopatia, ou mesmo a impossibilidade de tratamento por cateter prolongam o tratamento farmacológico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9"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ventriculares,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ablação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sucesso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95</w:t>
      </w:r>
      <w:r>
        <w:rPr>
          <w:rFonts w:ascii="Times New Roman" w:hAnsi="Times New Roman" w:cs="Times New Roman" w:eastAsia="Times New Roman"/>
          <w:color w:val="auto"/>
          <w:spacing w:val="0"/>
          <w:position w:val="0"/>
          <w:sz w:val="24"/>
          <w:shd w:fill="auto" w:val="clear"/>
        </w:rPr>
        <w:t xml:space="preserve">% dos pacientes com TV idiopática originada do VE. As TV originadas no trato de saída também são mapeadas com maior sucesso, usando modernas técnicas de mapeamento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84"/>
        </w:numPr>
        <w:tabs>
          <w:tab w:val="left" w:pos="683" w:leader="none"/>
        </w:tabs>
        <w:spacing w:before="0" w:after="0" w:line="240"/>
        <w:ind w:right="0" w:left="683"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CARDIOPATIA</w:t>
      </w:r>
      <w:r>
        <w:rPr>
          <w:rFonts w:ascii="Times New Roman" w:hAnsi="Times New Roman" w:cs="Times New Roman" w:eastAsia="Times New Roman"/>
          <w:color w:val="auto"/>
          <w:spacing w:val="-2"/>
          <w:position w:val="0"/>
          <w:sz w:val="24"/>
          <w:shd w:fill="auto" w:val="clear"/>
        </w:rPr>
        <w:t xml:space="preserve"> CONGÊNITA</w:t>
      </w:r>
    </w:p>
    <w:p>
      <w:pPr>
        <w:spacing w:before="139" w:after="0" w:line="360"/>
        <w:ind w:right="310"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Tetralogia de Fallot, TV com risco de vida é rara entre pacientes com cardiopatia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congênita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(CC)</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reparo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tetralogia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Fallot implica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incisões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mudanças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hemodinâmicas,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substrato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criado. Taquicardia ventricular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monomórfica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polimórficos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frequentemente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vistos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308"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últimas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décadas,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ablação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cateter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radiofrequência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progressivamente usada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curativa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taquiarritmias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CC.</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 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taxas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sucesso e baixas taxas de complicações como mostrado por vários estudos multicêntricos retrospectivos e prospectivos pediátricos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8"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principal desafio da estimulação cardíaca pediátrica com dispositivos implantáveis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fato de não existirem dispositivos especialmente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desenvolvidos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tal população. Além disso, anormalidades anatômicas presentes em cardiopatias congênitas coexistentes podem aumentar ainda mais o grau de dificuldade cirúrgica, especialmente na presença de shunts e lesões valvares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numPr>
          <w:ilvl w:val="0"/>
          <w:numId w:val="188"/>
        </w:numPr>
        <w:tabs>
          <w:tab w:val="left" w:pos="861" w:leader="none"/>
        </w:tabs>
        <w:spacing w:before="0" w:after="0" w:line="240"/>
        <w:ind w:right="0" w:left="861" w:hanging="54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Tratamento</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medicamentoso</w:t>
      </w:r>
    </w:p>
    <w:p>
      <w:pPr>
        <w:spacing w:before="139" w:after="0" w:line="360"/>
        <w:ind w:right="307"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Tetralogia de Fallot: batimentos ventriculares extras minimamente sintomáticos devem ser tratados com beta-bloqueadores. Pacientes sintomáticos graves e/ou TV induzível são considerados para ablação com bons resultados. Medicamentos antiarrítmicos com baixo risco de pró-arritmias (amiodarona) pode ser indicado para a prevenção da recorrência de arritmia após ablação por cateter ou como tratamento adjuvante ao cardioversor desfibrilador implantável (CDI)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14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1"/>
        </w:numPr>
        <w:tabs>
          <w:tab w:val="left" w:pos="861" w:leader="none"/>
        </w:tabs>
        <w:spacing w:before="0" w:after="0" w:line="240"/>
        <w:ind w:right="0" w:left="861" w:hanging="54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Tratamento</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não</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medicamentoso</w:t>
      </w:r>
    </w:p>
    <w:p>
      <w:pPr>
        <w:numPr>
          <w:ilvl w:val="0"/>
          <w:numId w:val="191"/>
        </w:numPr>
        <w:tabs>
          <w:tab w:val="left" w:pos="1042" w:leader="none"/>
        </w:tabs>
        <w:spacing w:before="134" w:after="0" w:line="240"/>
        <w:ind w:right="0" w:left="1042" w:hanging="72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Ablação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cateter</w:t>
      </w:r>
    </w:p>
    <w:p>
      <w:pPr>
        <w:spacing w:before="142" w:after="0" w:line="360"/>
        <w:ind w:right="308" w:left="319" w:firstLine="71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 ablação por cateter tem sido uma ferramenta importante no controle das arritmias cardíacas em pacientes com CC. O estudo detalhado da cardiopatia deve ser realizado antes da ablação, para avaliar a segurança do procedimento e estabelecer a melhor estratégia para abordar a arritmia. A avaliação prévia do acesso vascular é recomendável nos pacientes com doença cardíaca congênita, com ou sem tratamento cirúrgico.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 aspecto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obrigatório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antecedente 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Senning, Mustard e de Fontan. O relatório da técnica cirúrgica utilizada para corrigir o defeito também é importante para dirigir o mapeamento eletrofisiológico para as cicatrizes e as linhas de sutura, substratos comuns dos circuitos de reentrada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87" w:after="0" w:line="360"/>
        <w:ind w:right="307"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Cardioversor desfibrilador implantável (CDI): Não há ensaios clínicos randomizados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implantação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CDI</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semelhantes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 realizados em grandes estudos com adultos com centenas de pacientes com acompanhamento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sustentado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(BRUGADA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implante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CDI</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 com CC é bastante controverso, apesar do prognóstico e das raras publicações sobre o assunto.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conferem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súbita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neste grupo é fundamental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a 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Tetralogia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Fallot,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recente estudo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multicêntrico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comprovou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CDI</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profilaxia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súbita 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CDI</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confiável,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detecção, quanto na interrupção de taquiarritmias ventriculares. Em relação à Transposição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(TGA),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CDI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TGA é limitada e geralmente indicada ao se documentar TV sustentada ou morte súbita abortada, ou diante de perfil clínico considerado de alto risco na ausência de um evento potencialmente fatal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306" w:left="319" w:firstLine="77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O implante de CDI em crianças com CC é bastante controverso, apesar do prognóstico e das raras publicações sobre o assunto. A identificação das condições que conferem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súbita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grupo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 seja útil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Na Tetralogia de Fallot, um recente estudo multicêntrico comprovou o papel da terapia com CDI na profilaxia da morte súbita em pacientes de alto risco. Nesta condição, o CDI também se mostrou confiável, tanto na detecção, quanto na interrupção de taquiarritmias ventriculares. (MAGALHÃES LP, et 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 à Transposição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grandes artérias (TGA),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acompanhamento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pós-operatório a longo prazo de crianças com essa cardiopatia operadas mostrou maior incidência de morte súbita dentre todas as cardiopatias congênitas com indicação de correção cirúrgica. A experiência com CDI em pacientes com TGA é limitada e geralmente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TV</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sustentada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súbita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abortada,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diante 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perfil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potencialmente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fatal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87" w:after="0" w:line="360"/>
        <w:ind w:right="311"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Atualmente,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discutido,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benefício de cirurgias profiláticas para o desenvolvimento de arritmias, conjuntamente à correção 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Taquicardia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juncional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ectópica é uma taquiarritmia maligna que ocorre mais comumente após qualquer correção cirúrgica de CC (BRUGADA J,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8"/>
        </w:numPr>
        <w:tabs>
          <w:tab w:val="left" w:pos="683" w:leader="none"/>
        </w:tabs>
        <w:spacing w:before="0" w:after="0" w:line="240"/>
        <w:ind w:right="0" w:left="683"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PEDIÁTRICAS</w:t>
      </w:r>
    </w:p>
    <w:p>
      <w:pPr>
        <w:spacing w:before="139" w:after="0" w:line="360"/>
        <w:ind w:right="307"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Taquicardia sinusal (TS): padrão identificado por Complexo QRS estreito precedido por Onda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ritmo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acima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w:t>
      </w:r>
      <w:r>
        <w:rPr>
          <w:rFonts w:ascii="Times New Roman" w:hAnsi="Times New Roman" w:cs="Times New Roman" w:eastAsia="Times New Roman"/>
          <w:color w:val="auto"/>
          <w:spacing w:val="0"/>
          <w:position w:val="0"/>
          <w:sz w:val="24"/>
          <w:shd w:fill="auto" w:val="clear"/>
        </w:rPr>
        <w:t xml:space="preserve">140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bpm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crianças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anos, e </w:t>
      </w:r>
      <w:r>
        <w:rPr>
          <w:rFonts w:ascii="Times New Roman" w:hAnsi="Times New Roman" w:cs="Times New Roman" w:eastAsia="Times New Roman"/>
          <w:color w:val="auto"/>
          <w:spacing w:val="0"/>
          <w:position w:val="0"/>
          <w:sz w:val="24"/>
          <w:shd w:fill="auto" w:val="clear"/>
        </w:rPr>
        <w:t xml:space="preserve">160</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bpm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SJ</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SHARIEFF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GQ,</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 LP,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 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Há ainda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associação entre elevação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linear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temperatura corporal com a elevação do pulso, sendo que a cada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grau celsius estima-se que há uma elevação de </w:t>
      </w:r>
      <w:r>
        <w:rPr>
          <w:rFonts w:ascii="Times New Roman" w:hAnsi="Times New Roman" w:cs="Times New Roman" w:eastAsia="Times New Roman"/>
          <w:color w:val="auto"/>
          <w:spacing w:val="0"/>
          <w:position w:val="0"/>
          <w:sz w:val="24"/>
          <w:shd w:fill="auto" w:val="clear"/>
        </w:rPr>
        <w:t xml:space="preserve">9,6 </w:t>
      </w:r>
      <w:r>
        <w:rPr>
          <w:rFonts w:ascii="Times New Roman" w:hAnsi="Times New Roman" w:cs="Times New Roman" w:eastAsia="Times New Roman"/>
          <w:color w:val="auto"/>
          <w:spacing w:val="0"/>
          <w:position w:val="0"/>
          <w:sz w:val="24"/>
          <w:shd w:fill="auto" w:val="clear"/>
        </w:rPr>
        <w:t xml:space="preserve">bpm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Dessa forma, além da hipertermia, a TS também pode ser causada por desidratação, hipovolemia, hipóxia, anemia, hipotireoidismo e drogas. O tratamento se dá pela resolução do fator causador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303"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Taquicardia supraventricular (TSV): é a arritmia mais comum na pediatria, dividida em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tipos (por reentrada, juncional e taqui atrial ectópica), sendo que o Complexo QRS é estreito, mas também pode apresentar aberrâncias, como é o caso da presença de onda Delta com redução do intervalo PR na TSV por reentrada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As causas em ordem de importância são idiopática, Síndrome de Wolff-Parkinson-White, cardiopatias congênitas, drogas, febres, anemia, ansiedade, desidratação, acidose, hipoxemia, hipoglicemia e dor, sendo que a sintomatologia nos infantes é marcada por confusão mental, letargia, inapetência, palidez e sudorese, enquanto que em crianças maiores há palpitação, dor torácica, dispneia e tontura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O manejo desses pacientes se dá por meio de monitorização e oxigênio, com uso de adenosina ou cardioversão elétrica na TSV instável e manobra vagal na TSV estável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É válido ressaltar que no tratamento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prolongado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otimizar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farmacológico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beta- bloqueadores,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procainamida,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sotalol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amiodarona,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insucesso,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ablação por radiofrequência pode ser utilizada.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7" w:after="0" w:line="360"/>
        <w:ind w:right="302"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Taquicardia ventricular (TV): padrão caracterizado por Complexo QRS largo, dissociação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atrioventricular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(frequência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ventricular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retrógrada 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ausente,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QRS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monomórfico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polimórfico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SJ</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SHARIEFF</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TV</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ritmo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PCR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degenerar para uma fibrilação ventricular (FV), um ritmo de não perfusão (DONIGER SJ e SHARIEFF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GQ,</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 LP,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cardiopatias congênitas, distúrbios eletrolíticos, drogas, QT longo e causas idiopáticas (MAGALHÃES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TV,</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na TV sem pulso deve-se realizar a sequência de ressuscitação cardiopulmonar, na TV instável utiliza-se cardioversão elétrica sincronizada ou cardioversão química com amiodarona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 lidocaína,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polimórfica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considerar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infusão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magnésio e implantação de marcapasso atrial ou ventricular temporário, tendo como objetivo frequência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bpm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bpm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303"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Flutter atrial: padrão de ondas F típicas, com frequência atrial acima de </w:t>
      </w:r>
      <w:r>
        <w:rPr>
          <w:rFonts w:ascii="Times New Roman" w:hAnsi="Times New Roman" w:cs="Times New Roman" w:eastAsia="Times New Roman"/>
          <w:color w:val="auto"/>
          <w:spacing w:val="0"/>
          <w:position w:val="0"/>
          <w:sz w:val="24"/>
          <w:shd w:fill="auto" w:val="clear"/>
        </w:rPr>
        <w:t xml:space="preserve">250 </w:t>
      </w:r>
      <w:r>
        <w:rPr>
          <w:rFonts w:ascii="Times New Roman" w:hAnsi="Times New Roman" w:cs="Times New Roman" w:eastAsia="Times New Roman"/>
          <w:color w:val="auto"/>
          <w:spacing w:val="0"/>
          <w:position w:val="0"/>
          <w:sz w:val="24"/>
          <w:shd w:fill="auto" w:val="clear"/>
        </w:rPr>
        <w:t xml:space="preserve">bpm e QRS normal, podendo apresentar configuração </w:t>
      </w: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ou </w:t>
      </w: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É um importante fator de morbimortalidade em crianças com cardiopatias congênitas,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marcada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débito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com dilatação atrial, miocardite, distrofia muscular de Duchenne e lesões no SNC (DONIGER SJ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Em pacientes</w:t>
      </w:r>
    </w:p>
    <w:p>
      <w:pPr>
        <w:spacing w:before="3" w:after="0" w:line="360"/>
        <w:ind w:right="312"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instáveis, deve-se realizar cardioversão elétrica e avaliar a administração de heparina (buscando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prevenção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tromboembolismo),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estáveis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digoxina e propranolol, enquanto que o uso de quinidina está presente na prevenção de futuros episódios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6"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Fibrilação atrial (FA): padrão de atividade atrial rápida e desordenada, com ausência de ondas P e intervalo RR irregular, com QRS normal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As principais causas são as operações intra-atriais, hipertireoidismo e anomalias congênitas da valva mitral, marcadas por débito cardíaco reduzido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Em pacientes instáveis, utiliza-se a cardioversão elétrica e amiodarona para manter o ritmo sinusal, já em pacientes estáveis usa-se digoxina e, em caso de insucesso, esmolol, propranolol ou procainamida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207"/>
        </w:numPr>
        <w:tabs>
          <w:tab w:val="left" w:pos="683" w:leader="none"/>
        </w:tabs>
        <w:spacing w:before="87" w:after="0" w:line="240"/>
        <w:ind w:right="0" w:left="683"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ARRITMIAS</w:t>
      </w:r>
    </w:p>
    <w:p>
      <w:pPr>
        <w:spacing w:before="137" w:after="0" w:line="362"/>
        <w:ind w:right="305"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destacam-se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bradiarritmias,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abaixo do limite inferior esperado pela faixa etária, causadas, principalmente, por hipoxemia (DON 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11"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Bradicardia nodal: padrão marcado por ausência de onda P ou onda P invertida após QRS, apresentando como causas intoxicação digitálica, idiopática ou aumento do tônus vagal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Em pacientes assintomáticos não está indicado o tratamento, enquanto que nos sintomáticos (sinais e sintomas de redução do débito cardíaco) utiliza-se atropina ou marcapasso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5"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Bloqueio Atrioventricular de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o grau (BAV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marcado pelo aumento do intervalo PR, tendo como causas principais infecções, cardiopatias congênitas e miocardite</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SJ</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SHARIEFF</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GQ,</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10"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Bloqueio Atrioventricular de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o grau (BAV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há completa dissociação entre contração atrial e ventricular, com ondas P, causada por miocardite, cirurgia cardíaca atrial, doença de Kawasaki, lúpus, tumores cardíacos, distrofia muscular e distúrbios eletrolíticos (DONIGER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2"/>
        <w:ind w:right="307"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Pode-se apresentar como IC congestiva e morte súbita, com sintomas como fadiga, tontura, intolerância ao esforço, síncope e confusão mental, trata-se com o uso de marcapasso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309"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Síndrome do QT longo: há atraso na repolarização ventricular, com aumento do intervalo QT (MAGALHÃES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Pode ser hereditário ou adquirido, com incidência de </w:t>
      </w:r>
      <w:r>
        <w:rPr>
          <w:rFonts w:ascii="Times New Roman" w:hAnsi="Times New Roman" w:cs="Times New Roman" w:eastAsia="Times New Roman"/>
          <w:color w:val="auto"/>
          <w:spacing w:val="0"/>
          <w:position w:val="0"/>
          <w:sz w:val="24"/>
          <w:shd w:fill="auto" w:val="clear"/>
        </w:rPr>
        <w:t xml:space="preserve">1:10000 </w:t>
      </w: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1:15000 </w:t>
      </w:r>
      <w:r>
        <w:rPr>
          <w:rFonts w:ascii="Times New Roman" w:hAnsi="Times New Roman" w:cs="Times New Roman" w:eastAsia="Times New Roman"/>
          <w:color w:val="auto"/>
          <w:spacing w:val="0"/>
          <w:position w:val="0"/>
          <w:sz w:val="24"/>
          <w:shd w:fill="auto" w:val="clear"/>
        </w:rPr>
        <w:t xml:space="preserve">nos EUA, marcado por sintomas como lipotímia, síncope,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palpitações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sudorese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SJ 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SHARIEFF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GQ,</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MAGALHÃES LP,</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Facilmente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evolui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Torsades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fibrilação ventricular, com cerca de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de crianças apresentando morte súbita, sendo as mais novas mais vulneráveis (DONIGER SJ 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O tratamento é instituído com o uso de betabloqueadores e marcapasso, buscando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evitar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gatilhos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emoções.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barulhos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desidratação)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(DONIGER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SJ</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SHARIEFF GQ,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 MAGALHÃES LP,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14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5"/>
        </w:numPr>
        <w:tabs>
          <w:tab w:val="left" w:pos="501" w:leader="none"/>
        </w:tabs>
        <w:spacing w:before="0" w:after="0" w:line="240"/>
        <w:ind w:right="0" w:left="501" w:hanging="18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FINAIS</w:t>
      </w:r>
    </w:p>
    <w:p>
      <w:pPr>
        <w:spacing w:before="139" w:after="0" w:line="360"/>
        <w:ind w:right="307" w:left="319"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ocorrência de arritmias em crianças deve ser investigada, sobretudo, sobre raciocínios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inespecíficos.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especialistas em clínica médica devem estar preparados para uma abordagem assertiva dessas condições. O comprometimento cardiovascular é essencial na determinação do uso de terapia elétrica em vez de manejo farmacológico primário. O reconhecimento da preexistência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cardiopatias congênitas 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auxiliar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entendimento dessas arritmias, bem como prever o prognóstico. Tratamentos medicamentosos aliados à cardioversão elétrica podem ser considerados de acordo com o reconhecimento do tipo de arritmia, procedimentos cirúrgicos e dispositivos implantáveis também são uma opção de intervenção. Fármacos como a amiodarona, digoxina, bloqueadores de canais de cálcio bem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manobras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vagais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morbimortalidade infantil por esse distúrbio.</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4" w:after="0" w:line="240"/>
        <w:ind w:right="930" w:left="929"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272" w:after="0" w:line="242"/>
        <w:ind w:right="189"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ANDALAFT,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 na infância. Journal of Cardiac Arrhythmias, v.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20-31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w:t>
      </w:r>
    </w:p>
    <w:p>
      <w:pPr>
        <w:spacing w:before="272" w:after="0" w:line="240"/>
        <w:ind w:right="312"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BRUGADA J., et al. European Heart Rhythm Association; Association for European Paediatric and Congenital Cardiology. Pharmacological and non-pharmacological therapy for arrhythmias in the pediatric population: EHRA and AEPC-Arrhythmia Working Group joint consensus statement. Europace, v.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1337-1382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CASALE 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 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Therapy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Cardiac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Arrhythmias In Children: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Role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Electroanatomical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Mapping</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Current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Pharmacology.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528</w:t>
      </w:r>
      <w:r>
        <w:rPr>
          <w:rFonts w:ascii="Times New Roman" w:hAnsi="Times New Roman" w:cs="Times New Roman" w:eastAsia="Times New Roman"/>
          <w:color w:val="auto"/>
          <w:spacing w:val="-4"/>
          <w:position w:val="0"/>
          <w:sz w:val="24"/>
          <w:shd w:fill="auto" w:val="clear"/>
        </w:rPr>
        <w:t xml:space="preserve">-</w:t>
      </w:r>
    </w:p>
    <w:p>
      <w:pPr>
        <w:spacing w:before="1"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2"/>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CLAUSEN,</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Henning</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Paediatric</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arrhythmias</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emergency</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department. Emergency medicine journal, v. </w:t>
      </w: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732-737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DÍAZ-PARRA,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Sandra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adenosine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treatment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supraventricular tachycardia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pediatric</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emergency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department.</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Pediatric</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emergency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6</w:t>
      </w:r>
      <w:r>
        <w:rPr>
          <w:rFonts w:ascii="Times New Roman" w:hAnsi="Times New Roman" w:cs="Times New Roman" w:eastAsia="Times New Roman"/>
          <w:color w:val="auto"/>
          <w:spacing w:val="-5"/>
          <w:position w:val="0"/>
          <w:sz w:val="24"/>
          <w:shd w:fill="auto" w:val="clear"/>
        </w:rPr>
        <w:t xml:space="preserve">,</w:t>
      </w:r>
    </w:p>
    <w:p>
      <w:pPr>
        <w:spacing w:before="0" w:after="0" w:line="275"/>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388-393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2014</w:t>
      </w:r>
      <w:r>
        <w:rPr>
          <w:rFonts w:ascii="Times New Roman" w:hAnsi="Times New Roman" w:cs="Times New Roman" w:eastAsia="Times New Roman"/>
          <w:color w:val="auto"/>
          <w:spacing w:val="-2"/>
          <w:position w:val="0"/>
          <w:sz w:val="24"/>
          <w:shd w:fill="auto" w:val="clear"/>
        </w:rPr>
        <w:t xml:space="preserve">.</w:t>
      </w:r>
    </w:p>
    <w:p>
      <w:pPr>
        <w:spacing w:before="2" w:after="0" w:line="240"/>
        <w:ind w:right="321"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DONIGER, S. J.; SHARIEFF, G. Q. Pediatric dysrhythmias. Pediatric clinics of North America, v. </w:t>
      </w:r>
      <w:r>
        <w:rPr>
          <w:rFonts w:ascii="Times New Roman" w:hAnsi="Times New Roman" w:cs="Times New Roman" w:eastAsia="Times New Roman"/>
          <w:color w:val="auto"/>
          <w:spacing w:val="0"/>
          <w:position w:val="0"/>
          <w:sz w:val="24"/>
          <w:shd w:fill="auto" w:val="clear"/>
        </w:rPr>
        <w:t xml:space="preserve">53</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85-105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r>
        <w:rPr>
          <w:rFonts w:ascii="Times New Roman" w:hAnsi="Times New Roman" w:cs="Times New Roman" w:eastAsia="Times New Roman"/>
          <w:color w:val="auto"/>
          <w:spacing w:val="0"/>
          <w:position w:val="0"/>
          <w:sz w:val="24"/>
          <w:shd w:fill="auto" w:val="clear"/>
        </w:rPr>
        <w:t xml:space="preserve">.</w:t>
      </w:r>
    </w:p>
    <w:p>
      <w:pPr>
        <w:spacing w:before="274"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BATTIPAGLIA,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MAMBRO,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Neonatal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Pediatric</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Arrhythmias: Clinical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Electrocardiographic</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Aspects.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Cardiac</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Electrophysiology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n.</w:t>
      </w:r>
    </w:p>
    <w:p>
      <w:pPr>
        <w:spacing w:before="0"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397-412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2018</w:t>
      </w:r>
      <w:r>
        <w:rPr>
          <w:rFonts w:ascii="Times New Roman" w:hAnsi="Times New Roman" w:cs="Times New Roman" w:eastAsia="Times New Roman"/>
          <w:color w:val="auto"/>
          <w:spacing w:val="-2"/>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315"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ESCUDERO, Carolina; CARR, Roxane; SANATANI, Shubhayan. The medical management of pediatric arrhythmias. Current treatment options in cardiovascular medicine, v.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455-472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2"/>
        <w:ind w:right="189"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 D. Cardiac Arrhythmias: Diagnosis, Symptoms, and Treatments. Cell Biochemistry and Biophysics, v. </w:t>
      </w:r>
      <w:r>
        <w:rPr>
          <w:rFonts w:ascii="Times New Roman" w:hAnsi="Times New Roman" w:cs="Times New Roman" w:eastAsia="Times New Roman"/>
          <w:color w:val="auto"/>
          <w:spacing w:val="0"/>
          <w:position w:val="0"/>
          <w:sz w:val="24"/>
          <w:shd w:fill="auto" w:val="clear"/>
        </w:rPr>
        <w:t xml:space="preserve">73</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291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0"/>
          <w:position w:val="0"/>
          <w:sz w:val="24"/>
          <w:shd w:fill="auto" w:val="clear"/>
        </w:rPr>
        <w:t xml:space="preserve">.</w:t>
      </w:r>
    </w:p>
    <w:p>
      <w:pPr>
        <w:spacing w:before="276" w:after="0" w:line="240"/>
        <w:ind w:right="189"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IDORN L., et al. Arrhythmia and exercise intolerance in Fontan patients: current status and future burden. International Journal of Cardiology, v. </w:t>
      </w:r>
      <w:r>
        <w:rPr>
          <w:rFonts w:ascii="Times New Roman" w:hAnsi="Times New Roman" w:cs="Times New Roman" w:eastAsia="Times New Roman"/>
          <w:color w:val="auto"/>
          <w:spacing w:val="0"/>
          <w:position w:val="0"/>
          <w:sz w:val="24"/>
          <w:shd w:fill="auto" w:val="clear"/>
        </w:rPr>
        <w:t xml:space="preserve">168</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1458-65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7"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LEWIS,</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Jonathan</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Acute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refractory</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unstable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pediatric supraventricular tachycardia. The Journal of pediatrics, v. </w:t>
      </w:r>
      <w:r>
        <w:rPr>
          <w:rFonts w:ascii="Times New Roman" w:hAnsi="Times New Roman" w:cs="Times New Roman" w:eastAsia="Times New Roman"/>
          <w:color w:val="auto"/>
          <w:spacing w:val="0"/>
          <w:position w:val="0"/>
          <w:sz w:val="24"/>
          <w:shd w:fill="auto" w:val="clear"/>
        </w:rPr>
        <w:t xml:space="preserve">181</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177-182</w:t>
      </w:r>
      <w:r>
        <w:rPr>
          <w:rFonts w:ascii="Times New Roman" w:hAnsi="Times New Roman" w:cs="Times New Roman" w:eastAsia="Times New Roman"/>
          <w:color w:val="auto"/>
          <w:spacing w:val="0"/>
          <w:position w:val="0"/>
          <w:sz w:val="24"/>
          <w:shd w:fill="auto" w:val="clear"/>
        </w:rPr>
        <w:t xml:space="preserve">. 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313"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MAGALHÃES, L. P., et al. Diretriz de Arritmias Cardíacas em Crianças e Cardiopatias Congênitas SOBRAC e DCC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 Arquivos Brasileiros de Cardiologia, v. </w:t>
      </w:r>
      <w:r>
        <w:rPr>
          <w:rFonts w:ascii="Times New Roman" w:hAnsi="Times New Roman" w:cs="Times New Roman" w:eastAsia="Times New Roman"/>
          <w:color w:val="auto"/>
          <w:spacing w:val="0"/>
          <w:position w:val="0"/>
          <w:sz w:val="24"/>
          <w:shd w:fill="auto" w:val="clear"/>
        </w:rPr>
        <w:t xml:space="preserve">107</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1-58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2"/>
        <w:ind w:right="189"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MATSUNO, A. K. Arritmias na criança. Medicina (Ribeirão Preto), v. </w:t>
      </w:r>
      <w:r>
        <w:rPr>
          <w:rFonts w:ascii="Times New Roman" w:hAnsi="Times New Roman" w:cs="Times New Roman" w:eastAsia="Times New Roman"/>
          <w:color w:val="auto"/>
          <w:spacing w:val="0"/>
          <w:position w:val="0"/>
          <w:sz w:val="24"/>
          <w:shd w:fill="auto" w:val="clear"/>
        </w:rPr>
        <w:t xml:space="preserve">45</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214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w:t>
      </w:r>
    </w:p>
    <w:p>
      <w:pPr>
        <w:spacing w:before="273" w:after="0" w:line="240"/>
        <w:ind w:right="314"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NIWA K., et al. Prevalence of arrhythmias and conduction disturbances in large population-based samples of children. Cardiology in the Young, v.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68-74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2004</w:t>
      </w:r>
      <w:r>
        <w:rPr>
          <w:rFonts w:ascii="Times New Roman" w:hAnsi="Times New Roman" w:cs="Times New Roman" w:eastAsia="Times New Roman"/>
          <w:color w:val="auto"/>
          <w:spacing w:val="-2"/>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2"/>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ROHIT,</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Manojkumar;</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KASINADHUNI,</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Ganesh.</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arrhythmias</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pediatric emergency. The Indian Journal of Pediatrics, v. </w:t>
      </w:r>
      <w:r>
        <w:rPr>
          <w:rFonts w:ascii="Times New Roman" w:hAnsi="Times New Roman" w:cs="Times New Roman" w:eastAsia="Times New Roman"/>
          <w:color w:val="auto"/>
          <w:spacing w:val="0"/>
          <w:position w:val="0"/>
          <w:sz w:val="24"/>
          <w:shd w:fill="auto" w:val="clear"/>
        </w:rPr>
        <w:t xml:space="preserve">87</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295-304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0"/>
          <w:position w:val="0"/>
          <w:sz w:val="24"/>
          <w:shd w:fill="auto" w:val="clear"/>
        </w:rPr>
        <w:t xml:space="preserve">.</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SMITH,</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Andrew</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Arrhythmias</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cardiac</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critical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Pediatric</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Critical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 Medicine, v. </w:t>
      </w: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_suppl, p. S</w:t>
      </w:r>
      <w:r>
        <w:rPr>
          <w:rFonts w:ascii="Times New Roman" w:hAnsi="Times New Roman" w:cs="Times New Roman" w:eastAsia="Times New Roman"/>
          <w:color w:val="auto"/>
          <w:spacing w:val="0"/>
          <w:position w:val="0"/>
          <w:sz w:val="24"/>
          <w:shd w:fill="auto" w:val="clear"/>
        </w:rPr>
        <w:t xml:space="preserve">146</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154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304"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TOPJIAN, Alexis A. et al. Part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pediatric basic and advanced life support: </w:t>
      </w: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American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Heart</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Association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guidelines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cardiopulmonary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resuscitation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emergency cardiovascular care. Circulation, v. </w:t>
      </w:r>
      <w:r>
        <w:rPr>
          <w:rFonts w:ascii="Times New Roman" w:hAnsi="Times New Roman" w:cs="Times New Roman" w:eastAsia="Times New Roman"/>
          <w:color w:val="auto"/>
          <w:spacing w:val="0"/>
          <w:position w:val="0"/>
          <w:sz w:val="24"/>
          <w:shd w:fill="auto" w:val="clear"/>
        </w:rPr>
        <w:t xml:space="preserve">142</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_Suppl_</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p. S</w:t>
      </w:r>
      <w:r>
        <w:rPr>
          <w:rFonts w:ascii="Times New Roman" w:hAnsi="Times New Roman" w:cs="Times New Roman" w:eastAsia="Times New Roman"/>
          <w:color w:val="auto"/>
          <w:spacing w:val="0"/>
          <w:position w:val="0"/>
          <w:sz w:val="24"/>
          <w:shd w:fill="auto" w:val="clear"/>
        </w:rPr>
        <w:t xml:space="preserve">469</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523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0"/>
          <w:position w:val="0"/>
          <w:sz w:val="24"/>
          <w:shd w:fill="auto" w:val="clear"/>
        </w:rPr>
        <w:t xml:space="preserve">.</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2"/>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WREN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epidemiology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arrhythmia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infants: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population-based study. Journal of Paediatrics and Child Health, v. </w:t>
      </w:r>
      <w:r>
        <w:rPr>
          <w:rFonts w:ascii="Times New Roman" w:hAnsi="Times New Roman" w:cs="Times New Roman" w:eastAsia="Times New Roman"/>
          <w:color w:val="auto"/>
          <w:spacing w:val="0"/>
          <w:position w:val="0"/>
          <w:sz w:val="24"/>
          <w:shd w:fill="auto" w:val="clear"/>
        </w:rPr>
        <w:t xml:space="preserve">49</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278-81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w:t>
      </w:r>
    </w:p>
    <w:p>
      <w:pPr>
        <w:spacing w:before="271" w:after="0" w:line="240"/>
        <w:ind w:right="317" w:left="3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 HARE G. F., et al. Pediatric Electrophysiology Society. Prospective assessment after pediatric cardiac ablation: demographics, medical profiles, and initial outcomes. Journal of Cardiovascular Electrophysiology, v.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759-70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2004</w:t>
      </w:r>
      <w:r>
        <w:rPr>
          <w:rFonts w:ascii="Times New Roman" w:hAnsi="Times New Roman" w:cs="Times New Roman" w:eastAsia="Times New Roman"/>
          <w:color w:val="auto"/>
          <w:spacing w:val="0"/>
          <w:position w:val="0"/>
          <w:sz w:val="24"/>
          <w:shd w:fill="auto" w:val="clear"/>
        </w:rPr>
        <w:t xml:space="preserve">.</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XAVIER,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farmacológico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Indicação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posologias. Journal of Cardiac Arrhythmia, v.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 n.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p. </w:t>
      </w:r>
      <w:r>
        <w:rPr>
          <w:rFonts w:ascii="Times New Roman" w:hAnsi="Times New Roman" w:cs="Times New Roman" w:eastAsia="Times New Roman"/>
          <w:color w:val="auto"/>
          <w:spacing w:val="0"/>
          <w:position w:val="0"/>
          <w:sz w:val="24"/>
          <w:shd w:fill="auto" w:val="clear"/>
        </w:rPr>
        <w:t xml:space="preserve">55-60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w:t>
      </w:r>
      <w:r>
        <w:rPr>
          <w:rFonts w:ascii="Times New Roman" w:hAnsi="Times New Roman" w:cs="Times New Roman" w:eastAsia="Times New Roman"/>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8">
    <w:abstractNumId w:val="72"/>
  </w:num>
  <w:num w:numId="65">
    <w:abstractNumId w:val="66"/>
  </w:num>
  <w:num w:numId="68">
    <w:abstractNumId w:val="60"/>
  </w:num>
  <w:num w:numId="164">
    <w:abstractNumId w:val="54"/>
  </w:num>
  <w:num w:numId="170">
    <w:abstractNumId w:val="48"/>
  </w:num>
  <w:num w:numId="174">
    <w:abstractNumId w:val="42"/>
  </w:num>
  <w:num w:numId="180">
    <w:abstractNumId w:val="36"/>
  </w:num>
  <w:num w:numId="184">
    <w:abstractNumId w:val="30"/>
  </w:num>
  <w:num w:numId="188">
    <w:abstractNumId w:val="24"/>
  </w:num>
  <w:num w:numId="191">
    <w:abstractNumId w:val="18"/>
  </w:num>
  <w:num w:numId="198">
    <w:abstractNumId w:val="12"/>
  </w:num>
  <w:num w:numId="207">
    <w:abstractNumId w:val="6"/>
  </w:num>
  <w:num w:numId="2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