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1B52901F" w:rsidR="00442A47" w:rsidRPr="008B3108" w:rsidRDefault="00407BF2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07BF2">
        <w:rPr>
          <w:rFonts w:ascii="Arial" w:hAnsi="Arial" w:cs="Arial"/>
          <w:b/>
          <w:bCs/>
          <w:sz w:val="28"/>
          <w:szCs w:val="28"/>
        </w:rPr>
        <w:t xml:space="preserve">EDUCAÇÃO DIGITAL: Aproximações e diferenças entre a PNED (Lei 14.533) de 2023 e o Marco Europeu para a Competência Digital dos Educadores (DIGCOMPEDU) </w:t>
      </w:r>
    </w:p>
    <w:p w14:paraId="172E5BA3" w14:textId="77777777" w:rsidR="00407BF2" w:rsidRPr="00407BF2" w:rsidRDefault="00407BF2" w:rsidP="00407BF2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76CFB4E" w14:textId="27FC8408" w:rsidR="000D34B8" w:rsidRPr="00905EB5" w:rsidRDefault="00407BF2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Natasha Latorre da Silva Netto</w:t>
      </w:r>
    </w:p>
    <w:p w14:paraId="09110AFD" w14:textId="1A6BA439" w:rsidR="00114785" w:rsidRPr="00AC463E" w:rsidRDefault="00407BF2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Universidade de Brasília – Faculdade de Educação</w:t>
      </w:r>
    </w:p>
    <w:p w14:paraId="5CE972A0" w14:textId="2D5E6549" w:rsidR="002F5FE4" w:rsidRDefault="002F5FE4" w:rsidP="002F5FE4">
      <w:pPr>
        <w:spacing w:after="0" w:line="240" w:lineRule="auto"/>
        <w:jc w:val="right"/>
      </w:pPr>
      <w:hyperlink r:id="rId7" w:history="1">
        <w:r w:rsidRPr="001E1136">
          <w:rPr>
            <w:rStyle w:val="Hyperlink"/>
            <w:rFonts w:ascii="Arial" w:hAnsi="Arial" w:cs="Arial"/>
          </w:rPr>
          <w:t>nathlatorre02@gmail.com</w:t>
        </w:r>
      </w:hyperlink>
    </w:p>
    <w:p w14:paraId="739FCA80" w14:textId="77777777" w:rsidR="00724AA8" w:rsidRDefault="00724AA8" w:rsidP="002F5FE4">
      <w:pPr>
        <w:spacing w:after="0" w:line="240" w:lineRule="auto"/>
        <w:jc w:val="right"/>
      </w:pPr>
    </w:p>
    <w:p w14:paraId="3D764E61" w14:textId="77777777" w:rsidR="00724AA8" w:rsidRDefault="00724AA8" w:rsidP="00724AA8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407BF2">
        <w:rPr>
          <w:rFonts w:ascii="Arial" w:hAnsi="Arial" w:cs="Arial"/>
          <w:b/>
          <w:bCs/>
        </w:rPr>
        <w:t>Prof</w:t>
      </w:r>
      <w:r w:rsidRPr="00407BF2">
        <w:rPr>
          <w:rFonts w:ascii="Arial" w:hAnsi="Arial" w:cs="Arial"/>
          <w:b/>
          <w:bCs/>
          <w:vertAlign w:val="superscript"/>
        </w:rPr>
        <w:t>a</w:t>
      </w:r>
      <w:r w:rsidRPr="00407BF2">
        <w:rPr>
          <w:rFonts w:ascii="Arial" w:hAnsi="Arial" w:cs="Arial"/>
          <w:b/>
          <w:bCs/>
        </w:rPr>
        <w:t>. Dr</w:t>
      </w:r>
      <w:r w:rsidRPr="00407BF2">
        <w:rPr>
          <w:rFonts w:ascii="Arial" w:hAnsi="Arial" w:cs="Arial"/>
          <w:b/>
          <w:bCs/>
          <w:vertAlign w:val="superscript"/>
        </w:rPr>
        <w:t>a</w:t>
      </w:r>
      <w:r w:rsidRPr="00407BF2">
        <w:rPr>
          <w:rFonts w:ascii="Arial" w:hAnsi="Arial" w:cs="Arial"/>
          <w:b/>
          <w:bCs/>
        </w:rPr>
        <w:t>. Andrea Cristina Versuti</w:t>
      </w:r>
    </w:p>
    <w:p w14:paraId="7EA9A7FD" w14:textId="77777777" w:rsidR="00724AA8" w:rsidRDefault="00724AA8" w:rsidP="00724AA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Universidade de Brasília – Faculdade de Educação</w:t>
      </w:r>
    </w:p>
    <w:p w14:paraId="4D9EA36C" w14:textId="77777777" w:rsidR="00724AA8" w:rsidRDefault="00724AA8" w:rsidP="00724AA8">
      <w:pPr>
        <w:spacing w:after="0" w:line="240" w:lineRule="auto"/>
        <w:jc w:val="right"/>
        <w:rPr>
          <w:rFonts w:ascii="Arial" w:hAnsi="Arial" w:cs="Arial"/>
        </w:rPr>
      </w:pPr>
      <w:hyperlink r:id="rId8" w:history="1">
        <w:r w:rsidRPr="001E1136">
          <w:rPr>
            <w:rStyle w:val="Hyperlink"/>
            <w:rFonts w:ascii="Arial" w:hAnsi="Arial" w:cs="Arial"/>
          </w:rPr>
          <w:t>andrea.versuti@gmail.com</w:t>
        </w:r>
      </w:hyperlink>
    </w:p>
    <w:p w14:paraId="4B52AAFB" w14:textId="77777777" w:rsidR="00724AA8" w:rsidRDefault="00724AA8" w:rsidP="002F5FE4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26A0BB0" w14:textId="77777777" w:rsidR="002F5FE4" w:rsidRPr="002F5FE4" w:rsidRDefault="002F5FE4" w:rsidP="002F5FE4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BF3E066" w14:textId="77777777" w:rsidR="002F5FE4" w:rsidRDefault="002F5FE4" w:rsidP="002F5FE4">
      <w:pPr>
        <w:rPr>
          <w:rFonts w:ascii="Arial" w:hAnsi="Arial" w:cs="Arial"/>
        </w:rPr>
      </w:pPr>
    </w:p>
    <w:p w14:paraId="23CBA7C5" w14:textId="426A9BD7" w:rsidR="00AA34AD" w:rsidRPr="00AA34AD" w:rsidRDefault="00AA34AD" w:rsidP="00AA34AD">
      <w:pPr>
        <w:spacing w:line="360" w:lineRule="auto"/>
        <w:ind w:firstLine="708"/>
        <w:jc w:val="both"/>
        <w:rPr>
          <w:rFonts w:ascii="Arial" w:hAnsi="Arial" w:cs="Arial"/>
        </w:rPr>
      </w:pPr>
      <w:r w:rsidRPr="00AA34AD">
        <w:rPr>
          <w:rFonts w:ascii="Arial" w:hAnsi="Arial" w:cs="Arial"/>
        </w:rPr>
        <w:t xml:space="preserve">De acordo com a pesquisa TIC Educação 2023, realizada pelo Comitê Gestor da Internet no Brasil (CGI.br), da edição de 2020 até a edição de 2023, houve um aumento de 82% para 92% de escolas de Ensino Fundamental e Médio com acesso à Internet. Esse dado apresenta a situação de acesso </w:t>
      </w:r>
      <w:r w:rsidR="007210C9">
        <w:rPr>
          <w:rFonts w:ascii="Arial" w:hAnsi="Arial" w:cs="Arial"/>
        </w:rPr>
        <w:t>à</w:t>
      </w:r>
      <w:r w:rsidRPr="00AA34AD">
        <w:rPr>
          <w:rFonts w:ascii="Arial" w:hAnsi="Arial" w:cs="Arial"/>
        </w:rPr>
        <w:t xml:space="preserve"> rede de Internet e </w:t>
      </w:r>
      <w:r w:rsidR="007210C9">
        <w:rPr>
          <w:rFonts w:ascii="Arial" w:hAnsi="Arial" w:cs="Arial"/>
        </w:rPr>
        <w:t>seu uso</w:t>
      </w:r>
      <w:r w:rsidRPr="00AA34AD">
        <w:rPr>
          <w:rFonts w:ascii="Arial" w:hAnsi="Arial" w:cs="Arial"/>
        </w:rPr>
        <w:t xml:space="preserve"> dentro do espaço escolar que vem ocorrendo no Brasil desde a pandemia, sendo esse um dos motivadores dessa pesquisa.</w:t>
      </w:r>
    </w:p>
    <w:p w14:paraId="7B9CECFF" w14:textId="6F12E160" w:rsidR="00AA34AD" w:rsidRDefault="007210C9" w:rsidP="00AA34A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Brasil, a implementação de políticas públicas para uso das tecnologias no ambiente educacional ocorreu ao longo das últimas décadas de forma</w:t>
      </w:r>
      <w:r w:rsidR="00AA34AD" w:rsidRPr="00AA34AD">
        <w:rPr>
          <w:rFonts w:ascii="Arial" w:hAnsi="Arial" w:cs="Arial"/>
        </w:rPr>
        <w:t xml:space="preserve"> descontinuada, </w:t>
      </w:r>
      <w:r>
        <w:rPr>
          <w:rFonts w:ascii="Arial" w:hAnsi="Arial" w:cs="Arial"/>
        </w:rPr>
        <w:t xml:space="preserve">tal </w:t>
      </w:r>
      <w:r w:rsidR="00AA34AD" w:rsidRPr="00AA34AD">
        <w:rPr>
          <w:rFonts w:ascii="Arial" w:hAnsi="Arial" w:cs="Arial"/>
        </w:rPr>
        <w:t>como pontuado por Rodrigues, Versuti e Antonelli (2024)</w:t>
      </w:r>
      <w:r>
        <w:rPr>
          <w:rFonts w:ascii="Arial" w:hAnsi="Arial" w:cs="Arial"/>
        </w:rPr>
        <w:t xml:space="preserve">. </w:t>
      </w:r>
      <w:r w:rsidR="00AA34AD" w:rsidRPr="00AA34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Tal processo ocorreu de modo diferente no cenário europeu.</w:t>
      </w:r>
    </w:p>
    <w:p w14:paraId="3AA45416" w14:textId="510F21F8" w:rsidR="00A11BEC" w:rsidRPr="00A11BEC" w:rsidRDefault="00A11BEC" w:rsidP="00AA34AD">
      <w:pPr>
        <w:spacing w:line="360" w:lineRule="auto"/>
        <w:ind w:firstLine="708"/>
        <w:jc w:val="both"/>
        <w:rPr>
          <w:rFonts w:ascii="Arial" w:hAnsi="Arial" w:cs="Arial"/>
        </w:rPr>
      </w:pPr>
      <w:r w:rsidRPr="00A11BEC">
        <w:rPr>
          <w:rFonts w:ascii="Arial" w:hAnsi="Arial" w:cs="Arial"/>
        </w:rPr>
        <w:t>A seguinte pesquisa</w:t>
      </w:r>
      <w:r w:rsidR="00320E61">
        <w:rPr>
          <w:rFonts w:ascii="Arial" w:hAnsi="Arial" w:cs="Arial"/>
        </w:rPr>
        <w:t xml:space="preserve"> de tipo </w:t>
      </w:r>
      <w:r w:rsidR="00320E61" w:rsidRPr="00851CF0">
        <w:rPr>
          <w:rFonts w:ascii="Arial" w:hAnsi="Arial" w:cs="Arial"/>
        </w:rPr>
        <w:t>documental qualitativa</w:t>
      </w:r>
      <w:r w:rsidR="00320E61">
        <w:rPr>
          <w:rFonts w:ascii="Arial" w:hAnsi="Arial" w:cs="Arial"/>
        </w:rPr>
        <w:t xml:space="preserve"> foi organizada em duas sessões e </w:t>
      </w:r>
      <w:r w:rsidR="00320E61" w:rsidRPr="00851CF0">
        <w:rPr>
          <w:rFonts w:ascii="Arial" w:hAnsi="Arial" w:cs="Arial"/>
        </w:rPr>
        <w:t>investiga, com foco interpretativo</w:t>
      </w:r>
      <w:r w:rsidR="00320E61">
        <w:rPr>
          <w:rFonts w:ascii="Arial" w:hAnsi="Arial" w:cs="Arial"/>
        </w:rPr>
        <w:t>,</w:t>
      </w:r>
      <w:r w:rsidRPr="00A11BEC">
        <w:rPr>
          <w:rFonts w:ascii="Arial" w:hAnsi="Arial" w:cs="Arial"/>
        </w:rPr>
        <w:t xml:space="preserve"> </w:t>
      </w:r>
      <w:r w:rsidR="00320E61">
        <w:rPr>
          <w:rFonts w:ascii="Arial" w:hAnsi="Arial" w:cs="Arial"/>
        </w:rPr>
        <w:t>as</w:t>
      </w:r>
      <w:r w:rsidRPr="00A11BEC">
        <w:rPr>
          <w:rFonts w:ascii="Arial" w:hAnsi="Arial" w:cs="Arial"/>
        </w:rPr>
        <w:t xml:space="preserve"> </w:t>
      </w:r>
      <w:r w:rsidR="00320E61">
        <w:rPr>
          <w:rFonts w:ascii="Arial" w:hAnsi="Arial" w:cs="Arial"/>
        </w:rPr>
        <w:t>a</w:t>
      </w:r>
      <w:r w:rsidRPr="00A11BEC">
        <w:rPr>
          <w:rFonts w:ascii="Arial" w:hAnsi="Arial" w:cs="Arial"/>
        </w:rPr>
        <w:t>proximações e diferenças entre a PNED (Lei 14.533) de 2023 e o Marco Europeu para a Competência Digital dos Educadores (DIGCOMPEDU) (2018</w:t>
      </w:r>
      <w:r w:rsidR="007210C9">
        <w:rPr>
          <w:rFonts w:ascii="Arial" w:hAnsi="Arial" w:cs="Arial"/>
        </w:rPr>
        <w:t>), especificamente</w:t>
      </w:r>
      <w:r w:rsidRPr="00A11BEC">
        <w:rPr>
          <w:rFonts w:ascii="Arial" w:hAnsi="Arial" w:cs="Arial"/>
        </w:rPr>
        <w:t xml:space="preserve"> no que se refere à Educação Digital Escola</w:t>
      </w:r>
      <w:r w:rsidR="007210C9">
        <w:rPr>
          <w:rFonts w:ascii="Arial" w:hAnsi="Arial" w:cs="Arial"/>
        </w:rPr>
        <w:t>r.</w:t>
      </w:r>
    </w:p>
    <w:p w14:paraId="645538A0" w14:textId="77777777" w:rsidR="003E6DB2" w:rsidRDefault="003E6DB2" w:rsidP="00A11BE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D0D9BE2" w14:textId="77777777" w:rsidR="003E6DB2" w:rsidRDefault="003E6DB2" w:rsidP="00A11BE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7C5CCEA" w14:textId="77777777" w:rsidR="00320E61" w:rsidRDefault="00320E61" w:rsidP="00A11BE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F4A19C6" w14:textId="36C820F7" w:rsidR="00A11BEC" w:rsidRDefault="00A11BEC" w:rsidP="00A11BEC">
      <w:pPr>
        <w:spacing w:line="360" w:lineRule="auto"/>
        <w:ind w:firstLine="708"/>
        <w:jc w:val="both"/>
        <w:rPr>
          <w:rFonts w:ascii="Arial" w:hAnsi="Arial" w:cs="Arial"/>
        </w:rPr>
      </w:pPr>
      <w:r w:rsidRPr="00A11BEC">
        <w:rPr>
          <w:rFonts w:ascii="Arial" w:hAnsi="Arial" w:cs="Arial"/>
        </w:rPr>
        <w:t xml:space="preserve">Em sua primeira sessão, foi apresentada uma síntese dos dois </w:t>
      </w:r>
      <w:r w:rsidR="00320E61">
        <w:rPr>
          <w:rFonts w:ascii="Arial" w:hAnsi="Arial" w:cs="Arial"/>
        </w:rPr>
        <w:t>documentos;</w:t>
      </w:r>
      <w:r w:rsidRPr="00A11BEC">
        <w:rPr>
          <w:rFonts w:ascii="Arial" w:hAnsi="Arial" w:cs="Arial"/>
        </w:rPr>
        <w:t xml:space="preserve"> a PNED (Lei 14.533/2023) e o DIGCOMPEDU (2018) especificamente em relação aos </w:t>
      </w:r>
      <w:r w:rsidR="00320E61">
        <w:rPr>
          <w:rFonts w:ascii="Arial" w:hAnsi="Arial" w:cs="Arial"/>
        </w:rPr>
        <w:t>seguintes temas: 1)</w:t>
      </w:r>
      <w:r w:rsidRPr="00A11BEC">
        <w:rPr>
          <w:rFonts w:ascii="Arial" w:hAnsi="Arial" w:cs="Arial"/>
        </w:rPr>
        <w:t xml:space="preserve"> definição de competências digitais; </w:t>
      </w:r>
      <w:r w:rsidR="00320E61">
        <w:rPr>
          <w:rFonts w:ascii="Arial" w:hAnsi="Arial" w:cs="Arial"/>
        </w:rPr>
        <w:t xml:space="preserve">2) </w:t>
      </w:r>
      <w:r w:rsidRPr="00A11BEC">
        <w:rPr>
          <w:rFonts w:ascii="Arial" w:hAnsi="Arial" w:cs="Arial"/>
        </w:rPr>
        <w:t xml:space="preserve">inclusão digital; </w:t>
      </w:r>
      <w:r w:rsidR="00320E61">
        <w:rPr>
          <w:rFonts w:ascii="Arial" w:hAnsi="Arial" w:cs="Arial"/>
        </w:rPr>
        <w:t xml:space="preserve">3) </w:t>
      </w:r>
      <w:r w:rsidRPr="00A11BEC">
        <w:rPr>
          <w:rFonts w:ascii="Arial" w:hAnsi="Arial" w:cs="Arial"/>
        </w:rPr>
        <w:t xml:space="preserve">compromisso profissional digital; </w:t>
      </w:r>
      <w:r w:rsidR="00320E61">
        <w:rPr>
          <w:rFonts w:ascii="Arial" w:hAnsi="Arial" w:cs="Arial"/>
        </w:rPr>
        <w:t xml:space="preserve">4) </w:t>
      </w:r>
      <w:r w:rsidRPr="00A11BEC">
        <w:rPr>
          <w:rFonts w:ascii="Arial" w:hAnsi="Arial" w:cs="Arial"/>
        </w:rPr>
        <w:t xml:space="preserve">educação digital escolar; e </w:t>
      </w:r>
      <w:r w:rsidR="00320E61">
        <w:rPr>
          <w:rFonts w:ascii="Arial" w:hAnsi="Arial" w:cs="Arial"/>
        </w:rPr>
        <w:t xml:space="preserve">5) </w:t>
      </w:r>
      <w:r w:rsidRPr="00A11BEC">
        <w:rPr>
          <w:rFonts w:ascii="Arial" w:hAnsi="Arial" w:cs="Arial"/>
        </w:rPr>
        <w:t xml:space="preserve">criação, avaliação e retroalimentação, descrevendo as principais aproximações e diferenças entre os dois. Esta sessão teve por objetivo conhecer </w:t>
      </w:r>
      <w:r w:rsidR="00320E61">
        <w:rPr>
          <w:rFonts w:ascii="Arial" w:hAnsi="Arial" w:cs="Arial"/>
        </w:rPr>
        <w:t>entender</w:t>
      </w:r>
      <w:r w:rsidRPr="00A11BEC">
        <w:rPr>
          <w:rFonts w:ascii="Arial" w:hAnsi="Arial" w:cs="Arial"/>
        </w:rPr>
        <w:t xml:space="preserve"> melhor </w:t>
      </w:r>
      <w:r w:rsidR="00320E61">
        <w:rPr>
          <w:rFonts w:ascii="Arial" w:hAnsi="Arial" w:cs="Arial"/>
        </w:rPr>
        <w:t>a estrutura dos documentos, relacionando-os</w:t>
      </w:r>
      <w:r w:rsidRPr="00A11BEC">
        <w:rPr>
          <w:rFonts w:ascii="Arial" w:hAnsi="Arial" w:cs="Arial"/>
        </w:rPr>
        <w:t xml:space="preserve"> aos aspectos centrais da definição de competências digitais; inclusão digital; compromisso profissional digital; educação digital escolar; e criação, avaliação e retroalimentação.</w:t>
      </w:r>
    </w:p>
    <w:p w14:paraId="095CE943" w14:textId="77777777" w:rsidR="005D47FC" w:rsidRDefault="005D47FC" w:rsidP="00A11BE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747CD59" w14:textId="77777777" w:rsidR="005D47FC" w:rsidRPr="005D47FC" w:rsidRDefault="005D47FC" w:rsidP="005D47FC">
      <w:pPr>
        <w:spacing w:line="360" w:lineRule="auto"/>
        <w:ind w:firstLine="708"/>
        <w:jc w:val="center"/>
        <w:rPr>
          <w:rFonts w:ascii="Arial" w:hAnsi="Arial" w:cs="Arial"/>
        </w:rPr>
      </w:pPr>
      <w:r w:rsidRPr="005D47FC">
        <w:rPr>
          <w:rFonts w:ascii="Arial" w:hAnsi="Arial" w:cs="Arial"/>
          <w:b/>
          <w:bCs/>
        </w:rPr>
        <w:t>Figura 1</w:t>
      </w:r>
      <w:r w:rsidRPr="005D47FC">
        <w:rPr>
          <w:rFonts w:ascii="Arial" w:hAnsi="Arial" w:cs="Arial"/>
        </w:rPr>
        <w:t xml:space="preserve"> – Estrutura da Política Nacional de Educação Digital - PNED (2023)</w:t>
      </w:r>
    </w:p>
    <w:p w14:paraId="789DBB27" w14:textId="77777777" w:rsidR="005D47FC" w:rsidRPr="005D47FC" w:rsidRDefault="005D47FC" w:rsidP="005D47FC">
      <w:pPr>
        <w:spacing w:line="360" w:lineRule="auto"/>
        <w:rPr>
          <w:rFonts w:ascii="Arial" w:hAnsi="Arial" w:cs="Arial"/>
        </w:rPr>
      </w:pPr>
      <w:r w:rsidRPr="005D47FC">
        <w:rPr>
          <w:rFonts w:ascii="Arial" w:hAnsi="Arial" w:cs="Arial"/>
          <w:noProof/>
        </w:rPr>
        <w:drawing>
          <wp:inline distT="0" distB="0" distL="0" distR="0" wp14:anchorId="655B2254" wp14:editId="7440D9DD">
            <wp:extent cx="5105400" cy="1286622"/>
            <wp:effectExtent l="133350" t="114300" r="133350" b="161290"/>
            <wp:docPr id="1830345134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45134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448" cy="12894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621AF9E" w14:textId="77777777" w:rsidR="005D47FC" w:rsidRDefault="005D47FC" w:rsidP="005D47FC">
      <w:pPr>
        <w:spacing w:line="360" w:lineRule="auto"/>
        <w:ind w:firstLine="708"/>
        <w:jc w:val="center"/>
        <w:rPr>
          <w:rFonts w:ascii="Arial" w:hAnsi="Arial" w:cs="Arial"/>
        </w:rPr>
      </w:pPr>
      <w:r w:rsidRPr="005D47FC">
        <w:rPr>
          <w:rFonts w:ascii="Arial" w:hAnsi="Arial" w:cs="Arial"/>
          <w:b/>
          <w:bCs/>
        </w:rPr>
        <w:t>Fonte:</w:t>
      </w:r>
      <w:r w:rsidRPr="005D47FC">
        <w:rPr>
          <w:rFonts w:ascii="Arial" w:hAnsi="Arial" w:cs="Arial"/>
        </w:rPr>
        <w:t xml:space="preserve"> PNED (2023)</w:t>
      </w:r>
    </w:p>
    <w:p w14:paraId="23C78127" w14:textId="77777777" w:rsidR="005D47FC" w:rsidRDefault="005D47FC" w:rsidP="005D47FC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576759EF" w14:textId="77777777" w:rsidR="005D47FC" w:rsidRDefault="005D47FC" w:rsidP="005D47FC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19AE9209" w14:textId="77777777" w:rsidR="005D47FC" w:rsidRDefault="005D47FC" w:rsidP="005D47FC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</w:p>
    <w:p w14:paraId="0FF4B74B" w14:textId="77777777" w:rsidR="00EC460F" w:rsidRDefault="00EC460F" w:rsidP="005D47FC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</w:p>
    <w:p w14:paraId="3EA1E862" w14:textId="77777777" w:rsidR="00EC460F" w:rsidRDefault="00EC460F" w:rsidP="005D47FC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</w:p>
    <w:p w14:paraId="58D002BB" w14:textId="77777777" w:rsidR="00EC460F" w:rsidRDefault="00EC460F" w:rsidP="005D47FC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</w:p>
    <w:p w14:paraId="58B19D9D" w14:textId="645CD7CF" w:rsidR="005D47FC" w:rsidRPr="005D47FC" w:rsidRDefault="005D47FC" w:rsidP="005D47FC">
      <w:pPr>
        <w:spacing w:line="360" w:lineRule="auto"/>
        <w:ind w:firstLine="708"/>
        <w:jc w:val="center"/>
        <w:rPr>
          <w:rFonts w:ascii="Arial" w:hAnsi="Arial" w:cs="Arial"/>
        </w:rPr>
      </w:pPr>
      <w:r w:rsidRPr="005D47FC">
        <w:rPr>
          <w:rFonts w:ascii="Arial" w:hAnsi="Arial" w:cs="Arial"/>
          <w:b/>
          <w:bCs/>
        </w:rPr>
        <w:lastRenderedPageBreak/>
        <w:t>Figura 2</w:t>
      </w:r>
      <w:r w:rsidRPr="005D47FC">
        <w:rPr>
          <w:rFonts w:ascii="Arial" w:hAnsi="Arial" w:cs="Arial"/>
        </w:rPr>
        <w:t xml:space="preserve"> – Estrutura do Marco Europeu para a Competência Digital dos Educadores - DIGCOMPEDU (2018)</w:t>
      </w:r>
    </w:p>
    <w:p w14:paraId="30F86DFF" w14:textId="77777777" w:rsidR="005D47FC" w:rsidRPr="005D47FC" w:rsidRDefault="005D47FC" w:rsidP="005D47FC">
      <w:pPr>
        <w:spacing w:line="360" w:lineRule="auto"/>
        <w:rPr>
          <w:rFonts w:ascii="Arial" w:hAnsi="Arial" w:cs="Arial"/>
        </w:rPr>
      </w:pPr>
      <w:r w:rsidRPr="005D47FC">
        <w:rPr>
          <w:rFonts w:ascii="Arial" w:hAnsi="Arial" w:cs="Arial"/>
          <w:noProof/>
        </w:rPr>
        <w:drawing>
          <wp:inline distT="0" distB="0" distL="0" distR="0" wp14:anchorId="3E4ACDBC" wp14:editId="56C38820">
            <wp:extent cx="5341041" cy="2865120"/>
            <wp:effectExtent l="133350" t="114300" r="145415" b="163830"/>
            <wp:docPr id="405132816" name="Imagem 3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32816" name="Imagem 3" descr="Diagrama&#10;&#10;O conteúdo gerado por IA pode estar incorre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995" cy="28656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C2113F7" w14:textId="7EB8141C" w:rsidR="005D47FC" w:rsidRDefault="005D47FC" w:rsidP="005D47FC">
      <w:pPr>
        <w:spacing w:line="360" w:lineRule="auto"/>
        <w:ind w:firstLine="708"/>
        <w:jc w:val="center"/>
        <w:rPr>
          <w:rFonts w:ascii="Arial" w:hAnsi="Arial" w:cs="Arial"/>
        </w:rPr>
      </w:pPr>
      <w:r w:rsidRPr="005D47FC">
        <w:rPr>
          <w:rFonts w:ascii="Arial" w:hAnsi="Arial" w:cs="Arial"/>
          <w:b/>
          <w:bCs/>
        </w:rPr>
        <w:t>Fonte:</w:t>
      </w:r>
      <w:r w:rsidRPr="005D47FC">
        <w:rPr>
          <w:rFonts w:ascii="Arial" w:hAnsi="Arial" w:cs="Arial"/>
        </w:rPr>
        <w:t xml:space="preserve"> DIGCOMPEDU (2018)</w:t>
      </w:r>
    </w:p>
    <w:p w14:paraId="4BD917AA" w14:textId="77777777" w:rsidR="005D47FC" w:rsidRPr="00A11BEC" w:rsidRDefault="005D47FC" w:rsidP="005D47FC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09C95E54" w14:textId="77777777" w:rsidR="00EC460F" w:rsidRDefault="00B8459A" w:rsidP="00EC460F">
      <w:pPr>
        <w:spacing w:line="360" w:lineRule="auto"/>
        <w:ind w:firstLine="708"/>
        <w:jc w:val="both"/>
        <w:rPr>
          <w:rFonts w:ascii="Arial" w:hAnsi="Arial" w:cs="Arial"/>
        </w:rPr>
      </w:pPr>
      <w:r w:rsidRPr="00B8459A">
        <w:rPr>
          <w:rFonts w:ascii="Arial" w:hAnsi="Arial" w:cs="Arial"/>
        </w:rPr>
        <w:t xml:space="preserve">Já em sua segunda seção, </w:t>
      </w:r>
      <w:r w:rsidR="00EC460F">
        <w:rPr>
          <w:rFonts w:ascii="Arial" w:hAnsi="Arial" w:cs="Arial"/>
        </w:rPr>
        <w:t>apresentamos a</w:t>
      </w:r>
      <w:r w:rsidRPr="00B8459A">
        <w:rPr>
          <w:rFonts w:ascii="Arial" w:hAnsi="Arial" w:cs="Arial"/>
        </w:rPr>
        <w:t xml:space="preserve"> revisão bibliográfica, </w:t>
      </w:r>
      <w:r w:rsidR="00EC460F">
        <w:rPr>
          <w:rFonts w:ascii="Arial" w:hAnsi="Arial" w:cs="Arial"/>
        </w:rPr>
        <w:t>realizadas a partir dos seguintes descritores relacionados</w:t>
      </w:r>
      <w:r w:rsidRPr="00B8459A">
        <w:rPr>
          <w:rFonts w:ascii="Arial" w:hAnsi="Arial" w:cs="Arial"/>
        </w:rPr>
        <w:t xml:space="preserve"> </w:t>
      </w:r>
      <w:r w:rsidR="00EC460F">
        <w:rPr>
          <w:rFonts w:ascii="Arial" w:hAnsi="Arial" w:cs="Arial"/>
        </w:rPr>
        <w:t>a</w:t>
      </w:r>
      <w:r w:rsidRPr="00B8459A">
        <w:rPr>
          <w:rFonts w:ascii="Arial" w:hAnsi="Arial" w:cs="Arial"/>
        </w:rPr>
        <w:t>o foco desta pesquisa: Educação Digital + Legislação; Políticas Públicas Tecnologia + Educação; Legislação sobre Tecnologia + Educação; e Legislação sobre Educação e Tecnologia + Europa.</w:t>
      </w:r>
      <w:r w:rsidR="00EC46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Pr="00B8459A">
        <w:rPr>
          <w:rFonts w:ascii="Arial" w:hAnsi="Arial" w:cs="Arial"/>
        </w:rPr>
        <w:t>recorte temporal selecionado foi de 2016 a 2024</w:t>
      </w:r>
      <w:r w:rsidR="00EC460F">
        <w:rPr>
          <w:rFonts w:ascii="Arial" w:hAnsi="Arial" w:cs="Arial"/>
        </w:rPr>
        <w:t xml:space="preserve">, e as </w:t>
      </w:r>
      <w:r w:rsidRPr="00B8459A">
        <w:rPr>
          <w:rFonts w:ascii="Arial" w:hAnsi="Arial" w:cs="Arial"/>
        </w:rPr>
        <w:t xml:space="preserve">bases de dados selecionadas para esta revisão foram: SCIELO, Portal de Periódicos CAPES e IBICT. </w:t>
      </w:r>
    </w:p>
    <w:p w14:paraId="7998CF3D" w14:textId="63C413C3" w:rsidR="00B8459A" w:rsidRPr="00B8459A" w:rsidRDefault="00EC460F" w:rsidP="00EC460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apresentação dos dados foi organizada em dois quadros. </w:t>
      </w:r>
      <w:r w:rsidR="00B8459A" w:rsidRPr="00B8459A">
        <w:rPr>
          <w:rFonts w:ascii="Arial" w:hAnsi="Arial" w:cs="Arial"/>
        </w:rPr>
        <w:t xml:space="preserve">O primeiro é o quadro de Teses e Dissertações, categorizando os dez textos selecionados por título, autor, orientador, universidade, </w:t>
      </w:r>
      <w:r>
        <w:rPr>
          <w:rFonts w:ascii="Arial" w:hAnsi="Arial" w:cs="Arial"/>
        </w:rPr>
        <w:t>tipo da producão (dissertação ou tese)</w:t>
      </w:r>
      <w:r w:rsidR="00B8459A" w:rsidRPr="00B8459A">
        <w:rPr>
          <w:rFonts w:ascii="Arial" w:hAnsi="Arial" w:cs="Arial"/>
        </w:rPr>
        <w:t xml:space="preserve">, local de publicação e ano, enquanto o segundo </w:t>
      </w:r>
      <w:r>
        <w:rPr>
          <w:rFonts w:ascii="Arial" w:hAnsi="Arial" w:cs="Arial"/>
        </w:rPr>
        <w:t>se refere</w:t>
      </w:r>
      <w:r w:rsidR="00B8459A" w:rsidRPr="00B8459A">
        <w:rPr>
          <w:rFonts w:ascii="Arial" w:hAnsi="Arial" w:cs="Arial"/>
        </w:rPr>
        <w:t xml:space="preserve"> aos nove artigos selecionados, categorizados </w:t>
      </w:r>
      <w:r>
        <w:rPr>
          <w:rFonts w:ascii="Arial" w:hAnsi="Arial" w:cs="Arial"/>
        </w:rPr>
        <w:t>por</w:t>
      </w:r>
      <w:r w:rsidR="00B8459A" w:rsidRPr="00B8459A">
        <w:rPr>
          <w:rFonts w:ascii="Arial" w:hAnsi="Arial" w:cs="Arial"/>
        </w:rPr>
        <w:t xml:space="preserve"> título, autor, universidade ou editora, nome da revista, QUALIS, local de publicação e ano.</w:t>
      </w:r>
    </w:p>
    <w:p w14:paraId="00036C9F" w14:textId="77777777" w:rsidR="00EC460F" w:rsidRDefault="00EC460F" w:rsidP="00B8459A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6535A48" w14:textId="21D13C98" w:rsidR="00B8459A" w:rsidRPr="00B8459A" w:rsidRDefault="00EC460F" w:rsidP="00B8459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Como critérios de seleção consideramos que no caso</w:t>
      </w:r>
      <w:r w:rsidR="00B8459A" w:rsidRPr="00B8459A">
        <w:rPr>
          <w:rFonts w:ascii="Arial" w:hAnsi="Arial" w:cs="Arial"/>
        </w:rPr>
        <w:t xml:space="preserve"> das teses e dissertações a </w:t>
      </w:r>
      <w:r>
        <w:rPr>
          <w:rFonts w:ascii="Arial" w:hAnsi="Arial" w:cs="Arial"/>
        </w:rPr>
        <w:t>relevânci</w:t>
      </w:r>
      <w:r w:rsidR="00B8459A" w:rsidRPr="00B8459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 aderência ao tema da </w:t>
      </w:r>
      <w:r>
        <w:rPr>
          <w:rFonts w:ascii="Arial" w:hAnsi="Arial" w:cs="Arial"/>
        </w:rPr>
        <w:br/>
        <w:t>Educação digital escolar</w:t>
      </w:r>
      <w:r w:rsidR="00B8459A" w:rsidRPr="00B8459A">
        <w:rPr>
          <w:rFonts w:ascii="Arial" w:hAnsi="Arial" w:cs="Arial"/>
        </w:rPr>
        <w:t xml:space="preserve"> do tema</w:t>
      </w:r>
      <w:r>
        <w:rPr>
          <w:rFonts w:ascii="Arial" w:hAnsi="Arial" w:cs="Arial"/>
        </w:rPr>
        <w:t xml:space="preserve"> </w:t>
      </w:r>
      <w:r w:rsidR="00B8459A" w:rsidRPr="00B8459A">
        <w:rPr>
          <w:rFonts w:ascii="Arial" w:hAnsi="Arial" w:cs="Arial"/>
        </w:rPr>
        <w:t>e as universidades de publicação. Já os artigos foram selecionados considerando a avaliação do QUALIS das revistas. Preferencialmente, optamos por artigos classificados no estrato A, os quais têm relevância internacional, mas trazendo também dois artigos de relevância nacional, classificados no estrato B.</w:t>
      </w:r>
    </w:p>
    <w:p w14:paraId="38CB9F1E" w14:textId="70E88D6B" w:rsidR="00A11BEC" w:rsidRPr="00A11BEC" w:rsidRDefault="00A11BEC" w:rsidP="00A11BEC">
      <w:pPr>
        <w:spacing w:line="360" w:lineRule="auto"/>
        <w:ind w:firstLine="708"/>
        <w:jc w:val="both"/>
        <w:rPr>
          <w:rFonts w:ascii="Arial" w:hAnsi="Arial" w:cs="Arial"/>
        </w:rPr>
      </w:pPr>
      <w:r w:rsidRPr="00A11BEC">
        <w:rPr>
          <w:rFonts w:ascii="Arial" w:hAnsi="Arial" w:cs="Arial"/>
        </w:rPr>
        <w:t xml:space="preserve">Esta sessão se ateve ao objetivo de articular as aproximações e diferenças entre os dois </w:t>
      </w:r>
      <w:r w:rsidR="00EC460F">
        <w:rPr>
          <w:rFonts w:ascii="Arial" w:hAnsi="Arial" w:cs="Arial"/>
        </w:rPr>
        <w:t>documentos norteadores desta investigação</w:t>
      </w:r>
      <w:r w:rsidRPr="00A11BEC">
        <w:rPr>
          <w:rFonts w:ascii="Arial" w:hAnsi="Arial" w:cs="Arial"/>
        </w:rPr>
        <w:t xml:space="preserve"> com os resultados da discussão bibliográfica. Foram trazidas as análises dos textos, a partir das quais foi possível compreender as</w:t>
      </w:r>
      <w:r w:rsidR="00EC460F">
        <w:rPr>
          <w:rFonts w:ascii="Arial" w:hAnsi="Arial" w:cs="Arial"/>
        </w:rPr>
        <w:t xml:space="preserve"> suas</w:t>
      </w:r>
      <w:r w:rsidRPr="00A11BEC">
        <w:rPr>
          <w:rFonts w:ascii="Arial" w:hAnsi="Arial" w:cs="Arial"/>
        </w:rPr>
        <w:t xml:space="preserve"> limitações e potencialidades</w:t>
      </w:r>
      <w:r w:rsidR="00EC460F">
        <w:rPr>
          <w:rFonts w:ascii="Arial" w:hAnsi="Arial" w:cs="Arial"/>
        </w:rPr>
        <w:t>, a partir da elucidação de</w:t>
      </w:r>
      <w:r w:rsidRPr="00A11BEC">
        <w:rPr>
          <w:rFonts w:ascii="Arial" w:hAnsi="Arial" w:cs="Arial"/>
        </w:rPr>
        <w:t xml:space="preserve"> especificidades que possam efetivamente garantir o desenvolvimento de competências digitais significativas por todos os sujeitos envolvidos no ambiente escolar.</w:t>
      </w:r>
    </w:p>
    <w:p w14:paraId="76A401BC" w14:textId="6F026DA5" w:rsidR="00A11BEC" w:rsidRPr="00A11BEC" w:rsidRDefault="00A11BEC" w:rsidP="00A11BEC">
      <w:pPr>
        <w:spacing w:line="360" w:lineRule="auto"/>
        <w:ind w:firstLine="708"/>
        <w:jc w:val="both"/>
        <w:rPr>
          <w:rFonts w:ascii="Arial" w:hAnsi="Arial" w:cs="Arial"/>
        </w:rPr>
      </w:pPr>
      <w:r w:rsidRPr="00A11BEC">
        <w:rPr>
          <w:rFonts w:ascii="Arial" w:hAnsi="Arial" w:cs="Arial"/>
        </w:rPr>
        <w:t xml:space="preserve">Dentre </w:t>
      </w:r>
      <w:r w:rsidR="00EC460F">
        <w:rPr>
          <w:rFonts w:ascii="Arial" w:hAnsi="Arial" w:cs="Arial"/>
        </w:rPr>
        <w:t>os principais resultados da análise</w:t>
      </w:r>
      <w:r w:rsidRPr="00A11BEC">
        <w:rPr>
          <w:rFonts w:ascii="Arial" w:hAnsi="Arial" w:cs="Arial"/>
        </w:rPr>
        <w:t xml:space="preserve"> destacamos a relevância da formação profissional dos docentes para as competências digitais. Por mais que os dois </w:t>
      </w:r>
      <w:r w:rsidR="00EC460F">
        <w:rPr>
          <w:rFonts w:ascii="Arial" w:hAnsi="Arial" w:cs="Arial"/>
        </w:rPr>
        <w:t>documentos</w:t>
      </w:r>
      <w:r w:rsidRPr="00A11BEC">
        <w:rPr>
          <w:rFonts w:ascii="Arial" w:hAnsi="Arial" w:cs="Arial"/>
        </w:rPr>
        <w:t xml:space="preserve"> nos apresentem </w:t>
      </w:r>
      <w:r w:rsidR="00EC460F">
        <w:rPr>
          <w:rFonts w:ascii="Arial" w:hAnsi="Arial" w:cs="Arial"/>
        </w:rPr>
        <w:t>aspectos</w:t>
      </w:r>
      <w:r w:rsidRPr="00A11BEC">
        <w:rPr>
          <w:rFonts w:ascii="Arial" w:hAnsi="Arial" w:cs="Arial"/>
        </w:rPr>
        <w:t xml:space="preserve"> sobre a formação continuada, é necessário repensar o papel do professor </w:t>
      </w:r>
      <w:r w:rsidR="00EC460F">
        <w:rPr>
          <w:rFonts w:ascii="Arial" w:hAnsi="Arial" w:cs="Arial"/>
        </w:rPr>
        <w:t>no processo de aquisição</w:t>
      </w:r>
      <w:r w:rsidRPr="00A11BEC">
        <w:rPr>
          <w:rFonts w:ascii="Arial" w:hAnsi="Arial" w:cs="Arial"/>
        </w:rPr>
        <w:t xml:space="preserve"> dessas competências, </w:t>
      </w:r>
      <w:r w:rsidR="00730E65">
        <w:rPr>
          <w:rFonts w:ascii="Arial" w:hAnsi="Arial" w:cs="Arial"/>
        </w:rPr>
        <w:t>a fim de que ele possa ser compreender</w:t>
      </w:r>
      <w:r w:rsidRPr="00A11BEC">
        <w:rPr>
          <w:rFonts w:ascii="Arial" w:hAnsi="Arial" w:cs="Arial"/>
        </w:rPr>
        <w:t xml:space="preserve"> cultura digital e </w:t>
      </w:r>
      <w:r w:rsidR="00730E65">
        <w:rPr>
          <w:rFonts w:ascii="Arial" w:hAnsi="Arial" w:cs="Arial"/>
        </w:rPr>
        <w:t xml:space="preserve">promover a </w:t>
      </w:r>
      <w:r w:rsidRPr="00A11BEC">
        <w:rPr>
          <w:rFonts w:ascii="Arial" w:hAnsi="Arial" w:cs="Arial"/>
        </w:rPr>
        <w:t xml:space="preserve">geração do pensamento crítico </w:t>
      </w:r>
      <w:r w:rsidR="00730E65">
        <w:rPr>
          <w:rFonts w:ascii="Arial" w:hAnsi="Arial" w:cs="Arial"/>
        </w:rPr>
        <w:t>para</w:t>
      </w:r>
      <w:r w:rsidRPr="00A11BEC">
        <w:rPr>
          <w:rFonts w:ascii="Arial" w:hAnsi="Arial" w:cs="Arial"/>
        </w:rPr>
        <w:t xml:space="preserve"> o uso das TICs.</w:t>
      </w:r>
    </w:p>
    <w:p w14:paraId="0CE38036" w14:textId="0A86FE7B" w:rsidR="00A11BEC" w:rsidRPr="00A11BEC" w:rsidRDefault="00A11BEC" w:rsidP="00A11BEC">
      <w:pPr>
        <w:spacing w:line="360" w:lineRule="auto"/>
        <w:ind w:firstLine="708"/>
        <w:jc w:val="both"/>
        <w:rPr>
          <w:rFonts w:ascii="Arial" w:hAnsi="Arial" w:cs="Arial"/>
        </w:rPr>
      </w:pPr>
      <w:r w:rsidRPr="00A11BEC">
        <w:rPr>
          <w:rFonts w:ascii="Arial" w:hAnsi="Arial" w:cs="Arial"/>
        </w:rPr>
        <w:t xml:space="preserve">A segunda contribuição refere-se ao acesso às tecnologias atuais. Esta questão central, aparece nos textos apenas como subtópicos de outras áreas. Os dados do crescimento de acesso às tecnologias são notáveis, mas </w:t>
      </w:r>
      <w:r w:rsidR="00730E65">
        <w:rPr>
          <w:rFonts w:ascii="Arial" w:hAnsi="Arial" w:cs="Arial"/>
        </w:rPr>
        <w:t>não há</w:t>
      </w:r>
      <w:r w:rsidRPr="00A11BEC">
        <w:rPr>
          <w:rFonts w:ascii="Arial" w:hAnsi="Arial" w:cs="Arial"/>
        </w:rPr>
        <w:t xml:space="preserve"> garantia de lei sobre o que se espera desse acesso. A PNED deveria explicitar </w:t>
      </w:r>
      <w:r w:rsidR="00730E65">
        <w:rPr>
          <w:rFonts w:ascii="Arial" w:hAnsi="Arial" w:cs="Arial"/>
        </w:rPr>
        <w:t>detalhadamente quem</w:t>
      </w:r>
      <w:r w:rsidRPr="00A11BEC">
        <w:rPr>
          <w:rFonts w:ascii="Arial" w:hAnsi="Arial" w:cs="Arial"/>
        </w:rPr>
        <w:t xml:space="preserve"> são os responsáveis, seus objetivos e em quais instâncias os educandos estariam contemplados de fato quanto ao acesso aos recursos digitais e tecnológicos e com qual qualidad</w:t>
      </w:r>
      <w:r w:rsidR="00150507">
        <w:rPr>
          <w:rFonts w:ascii="Arial" w:hAnsi="Arial" w:cs="Arial"/>
        </w:rPr>
        <w:t>e socialmente referenciada.</w:t>
      </w:r>
    </w:p>
    <w:p w14:paraId="05C6497D" w14:textId="77777777" w:rsidR="00150507" w:rsidRDefault="00150507" w:rsidP="00A11BE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6453D54" w14:textId="77777777" w:rsidR="00150507" w:rsidRDefault="00150507" w:rsidP="00A11BE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EBA5549" w14:textId="4660F216" w:rsidR="00A11BEC" w:rsidRPr="00A11BEC" w:rsidRDefault="00A11BEC" w:rsidP="00A11BEC">
      <w:pPr>
        <w:spacing w:line="360" w:lineRule="auto"/>
        <w:ind w:firstLine="708"/>
        <w:jc w:val="both"/>
        <w:rPr>
          <w:rFonts w:ascii="Arial" w:hAnsi="Arial" w:cs="Arial"/>
        </w:rPr>
      </w:pPr>
      <w:r w:rsidRPr="00A11BEC">
        <w:rPr>
          <w:rFonts w:ascii="Arial" w:hAnsi="Arial" w:cs="Arial"/>
        </w:rPr>
        <w:t xml:space="preserve">Por </w:t>
      </w:r>
      <w:r w:rsidR="00150507">
        <w:rPr>
          <w:rFonts w:ascii="Arial" w:hAnsi="Arial" w:cs="Arial"/>
        </w:rPr>
        <w:t>fim</w:t>
      </w:r>
      <w:r w:rsidRPr="00A11BEC">
        <w:rPr>
          <w:rFonts w:ascii="Arial" w:hAnsi="Arial" w:cs="Arial"/>
        </w:rPr>
        <w:t xml:space="preserve">, destacamos a relevância da infraestrutura. Por meio da revisão de literatura, verificou-se  que existe um amplo debate sobre essa questão dentro da perspectiva de Educação Digital Escolar, mas </w:t>
      </w:r>
      <w:r w:rsidR="00150507">
        <w:rPr>
          <w:rFonts w:ascii="Arial" w:hAnsi="Arial" w:cs="Arial"/>
        </w:rPr>
        <w:t>tanto a PNED quanto o marco referencial europeu</w:t>
      </w:r>
      <w:r w:rsidRPr="00A11BEC">
        <w:rPr>
          <w:rFonts w:ascii="Arial" w:hAnsi="Arial" w:cs="Arial"/>
        </w:rPr>
        <w:t xml:space="preserve"> não detalham adequadamente a operacionalização da infraestrutura</w:t>
      </w:r>
      <w:r w:rsidR="00150507">
        <w:rPr>
          <w:rFonts w:ascii="Arial" w:hAnsi="Arial" w:cs="Arial"/>
        </w:rPr>
        <w:t>, este que é um</w:t>
      </w:r>
      <w:r w:rsidRPr="00A11BEC">
        <w:rPr>
          <w:rFonts w:ascii="Arial" w:hAnsi="Arial" w:cs="Arial"/>
        </w:rPr>
        <w:t xml:space="preserve"> aspecto fundamental para a garantia das condições materiais e objetivas para a implementação da Educação Digital escolar de qualidade, capaz de promover a emancipação dos sujeitos e a compreensão crítica das tecnologias no contexto contemporâneo. </w:t>
      </w:r>
      <w:r w:rsidR="00150507">
        <w:rPr>
          <w:rFonts w:ascii="Arial" w:hAnsi="Arial" w:cs="Arial"/>
        </w:rPr>
        <w:t xml:space="preserve">Para tanto, se faz </w:t>
      </w:r>
      <w:r w:rsidRPr="00A11BEC">
        <w:rPr>
          <w:rFonts w:ascii="Arial" w:hAnsi="Arial" w:cs="Arial"/>
        </w:rPr>
        <w:t>necessário esclarecer</w:t>
      </w:r>
      <w:r w:rsidR="00150507">
        <w:rPr>
          <w:rFonts w:ascii="Arial" w:hAnsi="Arial" w:cs="Arial"/>
        </w:rPr>
        <w:t xml:space="preserve"> em ambos os documentos</w:t>
      </w:r>
      <w:r w:rsidRPr="00A11BEC">
        <w:rPr>
          <w:rFonts w:ascii="Arial" w:hAnsi="Arial" w:cs="Arial"/>
        </w:rPr>
        <w:t xml:space="preserve"> o que se entende por infraestrutura das TICs, o que se deve esperar de aporte arquitetônico e material das escolas em relação as tecnologias, assim como assegurar a universalização desse acesso com equipamentos e plataforma para todos.</w:t>
      </w:r>
    </w:p>
    <w:p w14:paraId="1D6697CE" w14:textId="073A5E41" w:rsidR="00A11BEC" w:rsidRPr="00A11BEC" w:rsidRDefault="00A11BEC" w:rsidP="00A11BEC">
      <w:pPr>
        <w:spacing w:line="360" w:lineRule="auto"/>
        <w:ind w:firstLine="708"/>
        <w:jc w:val="both"/>
        <w:rPr>
          <w:rFonts w:ascii="Arial" w:hAnsi="Arial" w:cs="Arial"/>
        </w:rPr>
      </w:pPr>
      <w:r w:rsidRPr="00A11BEC">
        <w:rPr>
          <w:rFonts w:ascii="Arial" w:hAnsi="Arial" w:cs="Arial"/>
        </w:rPr>
        <w:t>Por mais que a legislação brasileira cite o decreto nº 11.713/2023</w:t>
      </w:r>
      <w:r w:rsidRPr="00A11BEC">
        <w:rPr>
          <w:rFonts w:ascii="Arial" w:hAnsi="Arial" w:cs="Arial"/>
          <w:vertAlign w:val="superscript"/>
        </w:rPr>
        <w:footnoteReference w:id="1"/>
      </w:r>
      <w:r w:rsidRPr="00A11BEC">
        <w:rPr>
          <w:rFonts w:ascii="Arial" w:hAnsi="Arial" w:cs="Arial"/>
        </w:rPr>
        <w:t>, em seu texto não se apresentam definições claras. O Modelo</w:t>
      </w:r>
      <w:r w:rsidR="00150507">
        <w:rPr>
          <w:rFonts w:ascii="Arial" w:hAnsi="Arial" w:cs="Arial"/>
        </w:rPr>
        <w:t xml:space="preserve"> de referência</w:t>
      </w:r>
      <w:r w:rsidRPr="00A11BEC">
        <w:rPr>
          <w:rFonts w:ascii="Arial" w:hAnsi="Arial" w:cs="Arial"/>
        </w:rPr>
        <w:t xml:space="preserve"> Europeu, DIGCOMPEDU (2018) também não nos apresenta essa definição explícita. O cenário europeu em relação à infraestrutura dos recursos digitais parte de outra realidade socioeconômica e cultural, devido ao conjunto mais vasto de investimentos estratégicos da UE em novas tecnologias, como compartilhado pela Comissão Europeia (2020</w:t>
      </w:r>
      <w:r w:rsidR="00150507">
        <w:rPr>
          <w:rFonts w:ascii="Arial" w:hAnsi="Arial" w:cs="Arial"/>
        </w:rPr>
        <w:t xml:space="preserve">), pois durante </w:t>
      </w:r>
      <w:r w:rsidRPr="00A11BEC">
        <w:rPr>
          <w:rFonts w:ascii="Arial" w:hAnsi="Arial" w:cs="Arial"/>
        </w:rPr>
        <w:t xml:space="preserve">o período de 2021-2027, </w:t>
      </w:r>
      <w:r w:rsidR="00150507">
        <w:rPr>
          <w:rFonts w:ascii="Arial" w:hAnsi="Arial" w:cs="Arial"/>
        </w:rPr>
        <w:t>houve investimento</w:t>
      </w:r>
      <w:r w:rsidRPr="00A11BEC">
        <w:rPr>
          <w:rFonts w:ascii="Arial" w:hAnsi="Arial" w:cs="Arial"/>
        </w:rPr>
        <w:t xml:space="preserve"> em um projeto de grande impacto sobre os espaços europeus de dados e as infraestruturas federadas de computação em nuvem. </w:t>
      </w:r>
    </w:p>
    <w:p w14:paraId="3ABA2B46" w14:textId="77777777" w:rsidR="00150507" w:rsidRDefault="00A11BEC" w:rsidP="00A11BEC">
      <w:pPr>
        <w:spacing w:line="360" w:lineRule="auto"/>
        <w:ind w:firstLine="708"/>
        <w:jc w:val="both"/>
        <w:rPr>
          <w:rFonts w:ascii="Arial" w:hAnsi="Arial" w:cs="Arial"/>
        </w:rPr>
      </w:pPr>
      <w:r w:rsidRPr="00A11BEC">
        <w:rPr>
          <w:rFonts w:ascii="Arial" w:hAnsi="Arial" w:cs="Arial"/>
        </w:rPr>
        <w:t xml:space="preserve">A partir dos resultados obtidos por esta pesquisa foi possível compreender que as legislações referentes ao campo de Educação Digital estão em constante transformação e debate pelos diferentes países ao redor do mundo. A PNED (2023) aporta contribuições significativas quanto à ampliação do acesso, enquanto o DIGCOMPEDU (2018) destaca a formação docente e a integração das TICs. Contudo, ficou evidente que no Brasil ainda é necessário melhorar as </w:t>
      </w:r>
    </w:p>
    <w:p w14:paraId="03DA7BDA" w14:textId="2C906688" w:rsidR="00A11BEC" w:rsidRPr="00A11BEC" w:rsidRDefault="00A11BEC" w:rsidP="00A11BEC">
      <w:pPr>
        <w:spacing w:line="360" w:lineRule="auto"/>
        <w:ind w:firstLine="708"/>
        <w:jc w:val="both"/>
        <w:rPr>
          <w:rFonts w:ascii="Arial" w:hAnsi="Arial" w:cs="Arial"/>
        </w:rPr>
      </w:pPr>
      <w:r w:rsidRPr="00A11BEC">
        <w:rPr>
          <w:rFonts w:ascii="Arial" w:hAnsi="Arial" w:cs="Arial"/>
        </w:rPr>
        <w:lastRenderedPageBreak/>
        <w:t>diretrizes sobre a infraestrutura digital e capacitação profissional docente. Uma vez que a infraestrutura e o acesso são pilares cruciais para o desenvolvimento das competências digitais na escola, se faz necessário o aprimoramento do texto legislativo para que esse direito a Educação Digital Escolar seja assegurado e atingido em sua totalidade.</w:t>
      </w:r>
    </w:p>
    <w:p w14:paraId="2789558D" w14:textId="2461E890" w:rsidR="002F5FE4" w:rsidRDefault="00A11BEC" w:rsidP="008F17E5">
      <w:pPr>
        <w:spacing w:line="360" w:lineRule="auto"/>
        <w:ind w:firstLine="708"/>
        <w:jc w:val="both"/>
        <w:rPr>
          <w:rFonts w:ascii="Arial" w:hAnsi="Arial" w:cs="Arial"/>
        </w:rPr>
      </w:pPr>
      <w:r w:rsidRPr="00A11BEC">
        <w:rPr>
          <w:rFonts w:ascii="Arial" w:hAnsi="Arial" w:cs="Arial"/>
        </w:rPr>
        <w:t xml:space="preserve">Com este estudo foi possível compreender melhor o debate contemporâneo sobre a Educação Digital Escolar por meio de </w:t>
      </w:r>
      <w:r w:rsidR="00150507">
        <w:rPr>
          <w:rFonts w:ascii="Arial" w:hAnsi="Arial" w:cs="Arial"/>
        </w:rPr>
        <w:t>dois documentos norteadores</w:t>
      </w:r>
      <w:r w:rsidRPr="00A11BEC">
        <w:rPr>
          <w:rFonts w:ascii="Arial" w:hAnsi="Arial" w:cs="Arial"/>
        </w:rPr>
        <w:t xml:space="preserve"> relevantes, e em uma análise comparativa com a revisão bibliográfica selecionada, identificar os pontos de destaque, tanto positivos como negativos de ambos. As aproximações e diferenças encontradas nessa análise pode</w:t>
      </w:r>
      <w:r w:rsidR="00AB1433">
        <w:rPr>
          <w:rFonts w:ascii="Arial" w:hAnsi="Arial" w:cs="Arial"/>
        </w:rPr>
        <w:t>rão</w:t>
      </w:r>
      <w:r w:rsidRPr="00A11BEC">
        <w:rPr>
          <w:rFonts w:ascii="Arial" w:hAnsi="Arial" w:cs="Arial"/>
        </w:rPr>
        <w:t xml:space="preserve"> </w:t>
      </w:r>
      <w:r w:rsidR="00150507">
        <w:rPr>
          <w:rFonts w:ascii="Arial" w:hAnsi="Arial" w:cs="Arial"/>
        </w:rPr>
        <w:t xml:space="preserve">contribuir para </w:t>
      </w:r>
      <w:r w:rsidR="00AB1433">
        <w:rPr>
          <w:rFonts w:ascii="Arial" w:hAnsi="Arial" w:cs="Arial"/>
        </w:rPr>
        <w:t>o melhor</w:t>
      </w:r>
      <w:r w:rsidR="00150507">
        <w:rPr>
          <w:rFonts w:ascii="Arial" w:hAnsi="Arial" w:cs="Arial"/>
        </w:rPr>
        <w:t xml:space="preserve"> detalhamento das ações necessárias preconizadas pelo</w:t>
      </w:r>
      <w:r w:rsidRPr="00A11BEC">
        <w:rPr>
          <w:rFonts w:ascii="Arial" w:hAnsi="Arial" w:cs="Arial"/>
        </w:rPr>
        <w:t xml:space="preserve"> texto legislativo brasileiro</w:t>
      </w:r>
      <w:r w:rsidR="00150507">
        <w:rPr>
          <w:rFonts w:ascii="Arial" w:hAnsi="Arial" w:cs="Arial"/>
        </w:rPr>
        <w:t>,</w:t>
      </w:r>
      <w:r w:rsidRPr="00A11BEC">
        <w:rPr>
          <w:rFonts w:ascii="Arial" w:hAnsi="Arial" w:cs="Arial"/>
        </w:rPr>
        <w:t xml:space="preserve"> com o intuito de aperfeiçoar e assegurar o direito a Educação Digital Escolar no país. </w:t>
      </w:r>
    </w:p>
    <w:p w14:paraId="7EACF1A4" w14:textId="77777777" w:rsidR="005D47FC" w:rsidRDefault="005D47FC" w:rsidP="00386352">
      <w:pPr>
        <w:rPr>
          <w:rFonts w:ascii="Arial" w:hAnsi="Arial" w:cs="Arial"/>
          <w:b/>
          <w:bCs/>
        </w:rPr>
      </w:pPr>
    </w:p>
    <w:p w14:paraId="26664CE3" w14:textId="5925153F" w:rsidR="00386352" w:rsidRDefault="00386352" w:rsidP="003863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REFERÊNCIA</w:t>
      </w:r>
      <w:r w:rsidR="00A11BEC">
        <w:rPr>
          <w:rFonts w:ascii="Arial" w:hAnsi="Arial" w:cs="Arial"/>
          <w:b/>
          <w:bCs/>
        </w:rPr>
        <w:t>S</w:t>
      </w:r>
    </w:p>
    <w:p w14:paraId="2D6BD54E" w14:textId="77777777" w:rsidR="00386352" w:rsidRDefault="00386352" w:rsidP="00386352">
      <w:pPr>
        <w:ind w:firstLine="708"/>
        <w:jc w:val="both"/>
        <w:rPr>
          <w:rFonts w:ascii="Arial" w:hAnsi="Arial" w:cs="Arial"/>
        </w:rPr>
      </w:pPr>
      <w:r w:rsidRPr="00386352">
        <w:rPr>
          <w:rFonts w:ascii="Arial" w:hAnsi="Arial" w:cs="Arial"/>
        </w:rPr>
        <w:t xml:space="preserve">BRASIL. Constituição (1988). Constituição da República Federativa do Brasil. Brasília, DF: Senado Federal, 1988. Disponível em: </w:t>
      </w:r>
      <w:hyperlink r:id="rId11" w:history="1">
        <w:r w:rsidRPr="00386352">
          <w:rPr>
            <w:rStyle w:val="Hyperlink"/>
            <w:rFonts w:ascii="Arial" w:hAnsi="Arial" w:cs="Arial"/>
          </w:rPr>
          <w:t>https://www.planalto.gov.br/ccivil_03/constituicao/constituicao.htm</w:t>
        </w:r>
      </w:hyperlink>
      <w:r w:rsidRPr="00386352">
        <w:rPr>
          <w:rFonts w:ascii="Arial" w:hAnsi="Arial" w:cs="Arial"/>
        </w:rPr>
        <w:t>. Acesso em: 8 out. 2024.</w:t>
      </w:r>
    </w:p>
    <w:p w14:paraId="05618B07" w14:textId="3B575B39" w:rsidR="007747BC" w:rsidRPr="00386352" w:rsidRDefault="007747BC" w:rsidP="007747BC">
      <w:pPr>
        <w:ind w:firstLine="708"/>
        <w:jc w:val="both"/>
        <w:rPr>
          <w:rFonts w:ascii="Arial" w:hAnsi="Arial" w:cs="Arial"/>
        </w:rPr>
      </w:pPr>
      <w:r w:rsidRPr="007747BC">
        <w:rPr>
          <w:rFonts w:ascii="Arial" w:hAnsi="Arial" w:cs="Arial"/>
        </w:rPr>
        <w:t>BRASIL. Estratégia Nacional de Escolas Conectadas. Decreto Nº 11.713, de 26 de setembro de 2023. Brasília, DF: Diário Oficial da União, 26 ago. 2023.</w:t>
      </w:r>
    </w:p>
    <w:p w14:paraId="3201E059" w14:textId="0D088935" w:rsidR="00386352" w:rsidRDefault="00386352" w:rsidP="00386352">
      <w:pPr>
        <w:ind w:firstLine="708"/>
        <w:jc w:val="both"/>
        <w:rPr>
          <w:rFonts w:ascii="Arial" w:hAnsi="Arial" w:cs="Arial"/>
        </w:rPr>
      </w:pPr>
      <w:r w:rsidRPr="00386352">
        <w:rPr>
          <w:rFonts w:ascii="Arial" w:hAnsi="Arial" w:cs="Arial"/>
        </w:rPr>
        <w:t>BRASIL. Lei nº 14.533, de 11 de janeiro de 2023. Política Nacional de Educação Digital (PNED). Brasília, DF: Diário Oficial da União, 11 jan. 2023.</w:t>
      </w:r>
    </w:p>
    <w:p w14:paraId="1AFA42B9" w14:textId="427587C2" w:rsidR="007747BC" w:rsidRDefault="007747BC" w:rsidP="007747BC">
      <w:pPr>
        <w:ind w:firstLine="708"/>
        <w:jc w:val="both"/>
        <w:rPr>
          <w:rFonts w:ascii="Arial" w:hAnsi="Arial" w:cs="Arial"/>
        </w:rPr>
      </w:pPr>
      <w:r w:rsidRPr="007747BC">
        <w:rPr>
          <w:rFonts w:ascii="Arial" w:hAnsi="Arial" w:cs="Arial"/>
        </w:rPr>
        <w:t xml:space="preserve">COMISSÃO EUROPEIA. Comunicação da Comissão ao Parlamento Europeu, ao Conselho, ao Comité Económico e Social Europeu e ao Comité das Regiões: Uma estratégia europeia para os dados. Bruxelas, 19 fev. 2020. Disponível em: </w:t>
      </w:r>
      <w:hyperlink r:id="rId12" w:history="1">
        <w:r w:rsidRPr="007747BC">
          <w:rPr>
            <w:rStyle w:val="Hyperlink"/>
            <w:rFonts w:ascii="Arial" w:hAnsi="Arial" w:cs="Arial"/>
          </w:rPr>
          <w:t>https://eur-lex.europa.eu/legal-content/EN/TXT/?uri=CELEX%3A52020DC0066</w:t>
        </w:r>
      </w:hyperlink>
      <w:r w:rsidRPr="007747BC">
        <w:rPr>
          <w:rFonts w:ascii="Arial" w:hAnsi="Arial" w:cs="Arial"/>
        </w:rPr>
        <w:t>. Acesso em: 04 fev. 2025.</w:t>
      </w:r>
    </w:p>
    <w:p w14:paraId="5D42E70B" w14:textId="0A9E9E03" w:rsidR="00AA34AD" w:rsidRPr="00386352" w:rsidRDefault="00AA34AD" w:rsidP="00AA34AD">
      <w:pPr>
        <w:ind w:firstLine="708"/>
        <w:jc w:val="both"/>
        <w:rPr>
          <w:rFonts w:ascii="Arial" w:hAnsi="Arial" w:cs="Arial"/>
        </w:rPr>
      </w:pPr>
      <w:r w:rsidRPr="00AA34AD">
        <w:rPr>
          <w:rFonts w:ascii="Arial" w:hAnsi="Arial" w:cs="Arial"/>
        </w:rPr>
        <w:t xml:space="preserve">COMITÊ GESTOR DA INTERNET NO BRASIL (CGI.br). TIC Educação 2023. São Paulo: Núcleo de Informação e Coordenação do Ponto BR (NIC.br), 2024. Disponível em: </w:t>
      </w:r>
      <w:hyperlink r:id="rId13">
        <w:r w:rsidRPr="00AA34AD">
          <w:rPr>
            <w:rStyle w:val="Hyperlink"/>
            <w:rFonts w:ascii="Arial" w:hAnsi="Arial" w:cs="Arial"/>
          </w:rPr>
          <w:t>https://cgi.br/media/docs/publicacoes/2/20241119185528/tic_educacao_2023_resumo_executivo.pdf</w:t>
        </w:r>
      </w:hyperlink>
      <w:r w:rsidRPr="00AA34AD">
        <w:rPr>
          <w:rFonts w:ascii="Arial" w:hAnsi="Arial" w:cs="Arial"/>
        </w:rPr>
        <w:t>. Acesso em: 15 jan. 2025.</w:t>
      </w:r>
    </w:p>
    <w:p w14:paraId="4FB679E4" w14:textId="77777777" w:rsidR="00386352" w:rsidRDefault="00386352" w:rsidP="00386352">
      <w:pPr>
        <w:ind w:firstLine="708"/>
        <w:jc w:val="both"/>
        <w:rPr>
          <w:rFonts w:ascii="Arial" w:hAnsi="Arial" w:cs="Arial"/>
        </w:rPr>
      </w:pPr>
      <w:r w:rsidRPr="00386352">
        <w:rPr>
          <w:rFonts w:ascii="Arial" w:hAnsi="Arial" w:cs="Arial"/>
        </w:rPr>
        <w:t xml:space="preserve">DIGCOMPEDU: Quadro Europeu de Competência Digital para Educadores. Luxemburgo: Publicações do Escritório da União Europeia, 2018. Disponível em: </w:t>
      </w:r>
      <w:hyperlink r:id="rId14" w:history="1">
        <w:r w:rsidRPr="00386352">
          <w:rPr>
            <w:rStyle w:val="Hyperlink"/>
            <w:rFonts w:ascii="Arial" w:hAnsi="Arial" w:cs="Arial"/>
          </w:rPr>
          <w:t>https://ec.europa.eu/jrc/en/digcompedu</w:t>
        </w:r>
      </w:hyperlink>
      <w:r w:rsidRPr="00386352">
        <w:rPr>
          <w:rFonts w:ascii="Arial" w:hAnsi="Arial" w:cs="Arial"/>
        </w:rPr>
        <w:t>.</w:t>
      </w:r>
    </w:p>
    <w:p w14:paraId="08FD48DB" w14:textId="77777777" w:rsidR="00AA34AD" w:rsidRPr="00AA34AD" w:rsidRDefault="00AA34AD" w:rsidP="00AA34AD">
      <w:pPr>
        <w:ind w:firstLine="708"/>
        <w:jc w:val="both"/>
        <w:rPr>
          <w:rFonts w:ascii="Arial" w:hAnsi="Arial" w:cs="Arial"/>
        </w:rPr>
      </w:pPr>
      <w:r w:rsidRPr="00AA34AD">
        <w:rPr>
          <w:rFonts w:ascii="Arial" w:hAnsi="Arial" w:cs="Arial"/>
        </w:rPr>
        <w:t xml:space="preserve">RODRIGUES, V. S.; VERSUTI, A. C.; ANTONELLI, J. R. M. Problemas estruturais nas políticas de incentivo ao uso pedagógico das tecnologias (1983 – 2023). In: SILVA, </w:t>
      </w:r>
      <w:proofErr w:type="spellStart"/>
      <w:r w:rsidRPr="00AA34AD">
        <w:rPr>
          <w:rFonts w:ascii="Arial" w:hAnsi="Arial" w:cs="Arial"/>
        </w:rPr>
        <w:t>Fabiany</w:t>
      </w:r>
      <w:proofErr w:type="spellEnd"/>
      <w:r w:rsidRPr="00AA34AD">
        <w:rPr>
          <w:rFonts w:ascii="Arial" w:hAnsi="Arial" w:cs="Arial"/>
        </w:rPr>
        <w:t xml:space="preserve"> de Cassia Tavares; GARCIA, Fabiane Maia (</w:t>
      </w:r>
      <w:proofErr w:type="spellStart"/>
      <w:r w:rsidRPr="00AA34AD">
        <w:rPr>
          <w:rFonts w:ascii="Arial" w:hAnsi="Arial" w:cs="Arial"/>
        </w:rPr>
        <w:t>orgs</w:t>
      </w:r>
      <w:proofErr w:type="spellEnd"/>
      <w:r w:rsidRPr="00AA34AD">
        <w:rPr>
          <w:rFonts w:ascii="Arial" w:hAnsi="Arial" w:cs="Arial"/>
        </w:rPr>
        <w:t>.). Educação em tempos e movimentos. 1. ed. Manaus: EDUA, 2024.</w:t>
      </w:r>
    </w:p>
    <w:p w14:paraId="01334DD3" w14:textId="77777777" w:rsidR="00AA34AD" w:rsidRPr="00386352" w:rsidRDefault="00AA34AD" w:rsidP="00386352">
      <w:pPr>
        <w:ind w:firstLine="708"/>
        <w:jc w:val="both"/>
        <w:rPr>
          <w:rFonts w:ascii="Arial" w:hAnsi="Arial" w:cs="Arial"/>
        </w:rPr>
      </w:pPr>
    </w:p>
    <w:p w14:paraId="6B47C84D" w14:textId="77777777" w:rsidR="00386352" w:rsidRPr="00386352" w:rsidRDefault="00386352" w:rsidP="00386352">
      <w:pPr>
        <w:jc w:val="both"/>
        <w:rPr>
          <w:rFonts w:ascii="Arial" w:hAnsi="Arial" w:cs="Arial"/>
        </w:rPr>
      </w:pPr>
    </w:p>
    <w:sectPr w:rsidR="00386352" w:rsidRPr="00386352" w:rsidSect="00442A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A4B3" w14:textId="77777777" w:rsidR="009D30BE" w:rsidRDefault="009D30BE" w:rsidP="00442A47">
      <w:pPr>
        <w:spacing w:after="0" w:line="240" w:lineRule="auto"/>
      </w:pPr>
      <w:r>
        <w:separator/>
      </w:r>
    </w:p>
  </w:endnote>
  <w:endnote w:type="continuationSeparator" w:id="0">
    <w:p w14:paraId="5B6110E3" w14:textId="77777777" w:rsidR="009D30BE" w:rsidRDefault="009D30BE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6E80" w14:textId="77777777" w:rsidR="009D30BE" w:rsidRDefault="009D30BE" w:rsidP="00442A47">
      <w:pPr>
        <w:spacing w:after="0" w:line="240" w:lineRule="auto"/>
      </w:pPr>
      <w:r>
        <w:separator/>
      </w:r>
    </w:p>
  </w:footnote>
  <w:footnote w:type="continuationSeparator" w:id="0">
    <w:p w14:paraId="20CBA2B8" w14:textId="77777777" w:rsidR="009D30BE" w:rsidRDefault="009D30BE" w:rsidP="00442A47">
      <w:pPr>
        <w:spacing w:after="0" w:line="240" w:lineRule="auto"/>
      </w:pPr>
      <w:r>
        <w:continuationSeparator/>
      </w:r>
    </w:p>
  </w:footnote>
  <w:footnote w:id="1">
    <w:p w14:paraId="4F14AF79" w14:textId="77777777" w:rsidR="00A11BEC" w:rsidRDefault="00A11BEC" w:rsidP="00A11BEC">
      <w:pPr>
        <w:pStyle w:val="Textodenotaderodap"/>
      </w:pPr>
      <w:r>
        <w:rPr>
          <w:rStyle w:val="Refdenotaderodap"/>
        </w:rPr>
        <w:footnoteRef/>
      </w:r>
      <w:r>
        <w:t xml:space="preserve"> Decreto da Estratégia Nacional de Escolas Conectadas (ENEC) – 26 set.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50507"/>
    <w:rsid w:val="001562D9"/>
    <w:rsid w:val="001F4920"/>
    <w:rsid w:val="002D4777"/>
    <w:rsid w:val="002F5FE4"/>
    <w:rsid w:val="00320E61"/>
    <w:rsid w:val="00386352"/>
    <w:rsid w:val="0039350E"/>
    <w:rsid w:val="003B7209"/>
    <w:rsid w:val="003E6DB2"/>
    <w:rsid w:val="00407BF2"/>
    <w:rsid w:val="00442A47"/>
    <w:rsid w:val="004E4F0D"/>
    <w:rsid w:val="00527C49"/>
    <w:rsid w:val="00595A5D"/>
    <w:rsid w:val="005D47FC"/>
    <w:rsid w:val="00707DBF"/>
    <w:rsid w:val="007210C9"/>
    <w:rsid w:val="00724AA8"/>
    <w:rsid w:val="00730E65"/>
    <w:rsid w:val="007747BC"/>
    <w:rsid w:val="007D7CA8"/>
    <w:rsid w:val="007F5C85"/>
    <w:rsid w:val="00851CF0"/>
    <w:rsid w:val="00886864"/>
    <w:rsid w:val="008B3108"/>
    <w:rsid w:val="008F17E5"/>
    <w:rsid w:val="00903A33"/>
    <w:rsid w:val="00905EB5"/>
    <w:rsid w:val="009D30BE"/>
    <w:rsid w:val="00A11BEC"/>
    <w:rsid w:val="00A14BD7"/>
    <w:rsid w:val="00A21967"/>
    <w:rsid w:val="00A340AC"/>
    <w:rsid w:val="00AA34AD"/>
    <w:rsid w:val="00AB1433"/>
    <w:rsid w:val="00AC463E"/>
    <w:rsid w:val="00B8459A"/>
    <w:rsid w:val="00BC2B4A"/>
    <w:rsid w:val="00C21B9E"/>
    <w:rsid w:val="00C27863"/>
    <w:rsid w:val="00CD54ED"/>
    <w:rsid w:val="00D24E43"/>
    <w:rsid w:val="00DB083C"/>
    <w:rsid w:val="00E340D9"/>
    <w:rsid w:val="00EC460F"/>
    <w:rsid w:val="00FF695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2F5FE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5F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1BEC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1BEC"/>
    <w:rPr>
      <w:rFonts w:eastAsiaTheme="minorEastAsia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11B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versuti@gmail.com" TargetMode="External"/><Relationship Id="rId13" Type="http://schemas.openxmlformats.org/officeDocument/2006/relationships/hyperlink" Target="https://cgi.br/media/docs/publicacoes/2/20241119185528/tic_educacao_2023_resumo_executivo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nathlatorre02@gmail.com" TargetMode="External"/><Relationship Id="rId12" Type="http://schemas.openxmlformats.org/officeDocument/2006/relationships/hyperlink" Target="https://eur-lex.europa.eu/legal-content/EN/TXT/?uri=CELEX%3A52020DC006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lanalto.gov.br/ccivil_03/constituicao/constituicao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ec.europa.eu/jrc/en/digcomped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1565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Natasha Latorre</cp:lastModifiedBy>
  <cp:revision>8</cp:revision>
  <dcterms:created xsi:type="dcterms:W3CDTF">2025-03-18T15:10:00Z</dcterms:created>
  <dcterms:modified xsi:type="dcterms:W3CDTF">2025-03-25T15:41:00Z</dcterms:modified>
</cp:coreProperties>
</file>