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A1E2AD4" w14:textId="77777777" w:rsidR="00026728" w:rsidRDefault="000267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25DEC9F" w14:textId="77777777" w:rsidR="0002672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EFEITOS ADVERSOS GASTROINTESTINAIS DA SEMAGLUTIDA E OUTROS AGONISTAS GLP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1: UMA REVISÃO SISTEMÁTICA DA SEGURANÇA E TOLERABILIDADE</w:t>
      </w:r>
    </w:p>
    <w:p w14:paraId="084B4EEE" w14:textId="77777777" w:rsidR="0002672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Igor Furtado Lopes¹</w:t>
      </w:r>
    </w:p>
    <w:p w14:paraId="4C1FB8A8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Universidade Vila Velha (UVV), Vila Velha - ES, furtadolopesigor@gmail.com</w:t>
      </w:r>
    </w:p>
    <w:p w14:paraId="77FBE7B5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Júlia Tamiozzo Benini²</w:t>
      </w:r>
    </w:p>
    <w:p w14:paraId="15F5136D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Universidade Paranaense (UNIPAR), Umuarama - PR, juliatbenini@gmail.com</w:t>
      </w:r>
    </w:p>
    <w:p w14:paraId="75F6FC0F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Leticia Marsari Pereira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</w:p>
    <w:p w14:paraId="1F30C5E2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Universidade de Araraquara (UNIARA), Araraquara - SP, le_marsari@hotmail.com</w:t>
      </w:r>
    </w:p>
    <w:p w14:paraId="2D244173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Marcella Garcia de Lucca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62EFA427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Universidade Professor Edson António Velano (UNIFENAS), Belo Horizonte - MG, marcelladelucca2@gmail.com</w:t>
      </w:r>
    </w:p>
    <w:p w14:paraId="1E796208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Abraão Marques e Silva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</w:p>
    <w:p w14:paraId="31B29C08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Faculdade de Ciências de Saúde de Barretos (FACISB), Barretos - SP, abraaomarques25@gmail.com</w:t>
      </w:r>
    </w:p>
    <w:p w14:paraId="2C18B18E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Maria Thais Lucena Rodrigues Valente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</w:p>
    <w:p w14:paraId="4A605579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Centro Universitário Christus (UNICHRISTUS), Fortaleza - CE, mthaisvalente@gmail.com</w:t>
      </w:r>
    </w:p>
    <w:p w14:paraId="6CBBE855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Nayara Michele Monteiro Sousa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</w:p>
    <w:p w14:paraId="7FCCFBDD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Faculdade de Ciências da Saúde Pitágoras de Codó (FMPC), Codó - MA,  nayaramichele23@gmail.com</w:t>
      </w:r>
    </w:p>
    <w:p w14:paraId="75E73834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Virgínia Gomes Fernandes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8</w:t>
      </w:r>
    </w:p>
    <w:p w14:paraId="42642AE3" w14:textId="77777777" w:rsidR="0002672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Universidade do Oeste Paulista (UNOESTE), Jaú - SP,  virginiagomesf@gmail.com</w:t>
      </w:r>
    </w:p>
    <w:p w14:paraId="17CE1405" w14:textId="77777777" w:rsidR="0002672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>​​A semaglutida, um agonista do receptor do peptídeo-1 semelhante ao glucagon (GLP-1), tem se destacado no tratamento do diabetes tipo 2 devido ao seu efeito hipoglicemiante. No entanto, seu uso também está associado a eventos adversos gastrointestinais (EAG), o que suscita a necessidade de uma análise detalhada sobre a segurança e tolerabilidade da semaglutida em comparação com outros agonistas do receptor GLP-1.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Este resumo tem como objetivo avaliar os efeitos adversos da semaglutida e outros GLP-1 RAs em relação à ocorrência de sintomas gastrointestinais, metabólicos e psiquiátricos.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metodologia envolveu uma revisão sistemática de estudos clínicos e farmacovigilância, incluindo os trabalhos de Liu et al. (2022), Bettge et al. (2017), Sun et al. (2012), He et al. (2024) e Chen et al. (2024), analisando relatos de eventos adversos associados ao uso de GLP-1 RAs. A pesquisa abrangeu a ocorrência, intensidade e características dos eventos adversos em diferentes subgrupos de pacientes.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resultados indicaram que a semaglutida apresentou um risco aumentado para náusea, diarréia, vômitos e constipação, com uma incidência mais elevada em comparação a outros GLP-1 RAs, como liraglutida e dulaglutida. O risco de EAG é dose-dependente e influenciado pelo tratamento de base, como o uso concomitante de metformina. Além disso, a relação entre doses de exenatida e liraglutida e a incidência de grandes eventos adversos gastrointestinais, reforçando a necessidade de alertar os pacientes sobre esses efeitos logo no início do tratamento. Os estudos mostraram que a semaglutida, junto com a liraglutida, é mais suscetível a causar desidratação, um fator que requer atenção especial durante a terapia. Os achados ressaltam a importância da vigilância e monitoramento contínuo dos efeitos adversos durante o tratamento com GLP-1 RAs, especialmente a semaglutida, devido ao seu perfil de eventos adversos gastrointestinais e psiquiátricos.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Conclusão: </w:t>
      </w:r>
      <w:r>
        <w:rPr>
          <w:rFonts w:ascii="Times New Roman" w:eastAsia="Times New Roman" w:hAnsi="Times New Roman" w:cs="Times New Roman"/>
          <w:sz w:val="24"/>
          <w:szCs w:val="24"/>
        </w:rPr>
        <w:t>Apesar dos benefícios no controle glicêmico e na perda de peso, os GLP-1 RAs, principalmente a semaglutida, apresentam um risco considerável de eventos adversos que variam conforme a dose, o tratamento de base e o perfil do paciente. É fundamental que os profissionais de saúde estejam cientes dessas potenciais complicações para um gerenciamento de risco adequado e intervenções precoces, visando melhorar a tolerabilidade e a adesão ao tratamento em longo prazo.</w:t>
      </w:r>
    </w:p>
    <w:p w14:paraId="57E2B737" w14:textId="77777777" w:rsidR="00026728" w:rsidRDefault="000267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BAA0C" w14:textId="77777777" w:rsidR="0002672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Semaglutida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Eventos Adversos Gastrointestinais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Segurança do Tratamento.</w:t>
      </w:r>
    </w:p>
    <w:p w14:paraId="01D76BE0" w14:textId="77777777" w:rsidR="0002672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E-mail do autor principal: </w:t>
      </w:r>
      <w:r>
        <w:rPr>
          <w:rFonts w:ascii="Times New Roman" w:eastAsia="Times New Roman" w:hAnsi="Times New Roman" w:cs="Times New Roman"/>
          <w:sz w:val="20"/>
          <w:szCs w:val="20"/>
        </w:rPr>
        <w:t>furtadolopesigor@gmail.com</w:t>
      </w:r>
    </w:p>
    <w:p w14:paraId="405217DD" w14:textId="77777777" w:rsidR="00026728" w:rsidRDefault="000267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86A4890" w14:textId="77777777" w:rsidR="0002672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REFERÊNCIAS:</w:t>
      </w:r>
    </w:p>
    <w:p w14:paraId="106E8D8A" w14:textId="77777777" w:rsidR="0002672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BETTGE, K.; KAHLE, M.; ABD EL AZIZ, M. S.; MEIER, J. J.; NAUCK, M. A. Occurrence of nausea, vomiting and diarrhoea reported as adverse events in clinical trials studying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glucagon-like peptide-1 receptor agonists: A systematic analysis of published clinical trials.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Diabetes Obesity and Metabolism</w:t>
      </w:r>
      <w:r>
        <w:rPr>
          <w:rFonts w:ascii="Times New Roman" w:eastAsia="Times New Roman" w:hAnsi="Times New Roman" w:cs="Times New Roman"/>
          <w:sz w:val="24"/>
          <w:szCs w:val="24"/>
        </w:rPr>
        <w:t>, v. 19, n. 3, p. 336-347, 2017.</w:t>
      </w:r>
    </w:p>
    <w:p w14:paraId="7C3896B5" w14:textId="77777777" w:rsidR="0002672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CHEN, W.; CAI, P.; ZOU, W.; FU, Z. Psychiatric adverse events associated with GLP-1 receptor agonists: a real-world pharmacovigilance study based on the FDA Adverse Event Reporting System database.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Frontiers in Endocrinology (Lausanne)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15, p. 1330936, 2024. </w:t>
      </w:r>
    </w:p>
    <w:p w14:paraId="21FAAB12" w14:textId="77777777" w:rsidR="0002672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HE, L.; LI, Q.; YANG, Y. et al. Pharmacovigilance study of GLP-1 receptor agonists for metabolic and nutritional adverse events.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Frontiers in Pharmacology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15, p. 1416985, 2024. </w:t>
      </w:r>
    </w:p>
    <w:p w14:paraId="28819B32" w14:textId="77777777" w:rsidR="0002672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LIU, L.; CHEN, J.; WANG, L.; CHEN, C.; CHEN, L. Association between different GLP-1 receptor agonists and gastrointestinal adverse reactions: A real-world disproportionality study based on FDA adverse event reporting system database.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Frontiers in Endocrinology (Lausanne)</w:t>
      </w:r>
      <w:r>
        <w:rPr>
          <w:rFonts w:ascii="Times New Roman" w:eastAsia="Times New Roman" w:hAnsi="Times New Roman" w:cs="Times New Roman"/>
          <w:sz w:val="24"/>
          <w:szCs w:val="24"/>
        </w:rPr>
        <w:t>, v. 13, p. 1043789, 2022.</w:t>
      </w:r>
    </w:p>
    <w:p w14:paraId="0F2B95D9" w14:textId="77777777" w:rsidR="0002672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SUN, F.; YU, K.; YANG, Z. et al. Impact of GLP-1 receptor agonists on major gastrointestinal disorders for type 2 diabetes mellitus: a mixed treatment comparison meta-analysis.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Experimental Diabetes Research</w:t>
      </w:r>
      <w:r>
        <w:rPr>
          <w:rFonts w:ascii="Times New Roman" w:eastAsia="Times New Roman" w:hAnsi="Times New Roman" w:cs="Times New Roman"/>
          <w:sz w:val="24"/>
          <w:szCs w:val="24"/>
        </w:rPr>
        <w:t>, v. 2012, p. 230624, 2012.</w:t>
      </w:r>
    </w:p>
    <w:p w14:paraId="162060A7" w14:textId="77777777" w:rsidR="00026728" w:rsidRDefault="00026728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267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71F18" w14:textId="77777777" w:rsidR="00650DAC" w:rsidRDefault="00650DAC">
      <w:pPr>
        <w:spacing w:after="0" w:line="240" w:lineRule="auto"/>
      </w:pPr>
      <w:r>
        <w:separator/>
      </w:r>
    </w:p>
  </w:endnote>
  <w:endnote w:type="continuationSeparator" w:id="0">
    <w:p w14:paraId="4A3E114A" w14:textId="77777777" w:rsidR="00650DAC" w:rsidRDefault="0065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D073CC-BFAC-4BE8-9ED9-9F3307B69289}"/>
    <w:embedBold r:id="rId2" w:fontKey="{4448D894-079F-4713-954E-1897B37B7C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906A6E8-3A09-434A-A6E1-E1A339178D1D}"/>
    <w:embedItalic r:id="rId4" w:fontKey="{43BA03C4-8055-4F49-9A1A-C6B4B32D5D7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36D7FBDC-B157-4BAC-8B21-A4B91C4E8F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1F95E5-815D-45A6-823B-31C9317E3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E0CAF" w14:textId="77777777" w:rsidR="00026728" w:rsidRDefault="000267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63F2A" w14:textId="77777777" w:rsidR="00026728" w:rsidRDefault="000267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36299" w14:textId="77777777" w:rsidR="00026728" w:rsidRDefault="000267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FEA35" w14:textId="77777777" w:rsidR="00650DAC" w:rsidRDefault="00650DAC">
      <w:pPr>
        <w:spacing w:after="0" w:line="240" w:lineRule="auto"/>
      </w:pPr>
      <w:r>
        <w:separator/>
      </w:r>
    </w:p>
  </w:footnote>
  <w:footnote w:type="continuationSeparator" w:id="0">
    <w:p w14:paraId="0F9DA21A" w14:textId="77777777" w:rsidR="00650DAC" w:rsidRDefault="00650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B32E7" w14:textId="77777777" w:rsidR="000267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0BA88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40pt;height:960pt;z-index:-25165721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92611" w14:textId="77777777" w:rsidR="000267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B9F71F8" wp14:editId="0EE42FA8">
          <wp:simplePos x="0" y="0"/>
          <wp:positionH relativeFrom="column">
            <wp:posOffset>-1080134</wp:posOffset>
          </wp:positionH>
          <wp:positionV relativeFrom="paragraph">
            <wp:posOffset>-199389</wp:posOffset>
          </wp:positionV>
          <wp:extent cx="5760085" cy="1271905"/>
          <wp:effectExtent l="0" t="0" r="0" b="0"/>
          <wp:wrapTopAndBottom distT="0" dist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271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6304FD78" wp14:editId="517CE2B3">
          <wp:simplePos x="0" y="0"/>
          <wp:positionH relativeFrom="column">
            <wp:posOffset>-289559</wp:posOffset>
          </wp:positionH>
          <wp:positionV relativeFrom="paragraph">
            <wp:posOffset>-339089</wp:posOffset>
          </wp:positionV>
          <wp:extent cx="2000250" cy="1584325"/>
          <wp:effectExtent l="0" t="0" r="0" b="0"/>
          <wp:wrapTopAndBottom distT="0" dist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58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0A53D" w14:textId="77777777" w:rsidR="000267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F11B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40pt;height:960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28"/>
    <w:rsid w:val="00026728"/>
    <w:rsid w:val="003361A9"/>
    <w:rsid w:val="00650DAC"/>
    <w:rsid w:val="00F9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84DE8"/>
  <w15:docId w15:val="{002BD41A-4A4E-49E9-B84B-19EC706D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bcoR4pzTs+hVSyx7+IUUQjSeqA==">CgMxLjA4AHIhMWR6aEp1RGxobTF4alJDbVFldUs3ZlZXcDFVZEE1VkdN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789</Words>
  <Characters>4262</Characters>
  <Application>Microsoft Office Word</Application>
  <DocSecurity>0</DocSecurity>
  <Lines>35</Lines>
  <Paragraphs>10</Paragraphs>
  <ScaleCrop>false</ScaleCrop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Azevedo</dc:creator>
  <cp:lastModifiedBy>Mariana Azevedo</cp:lastModifiedBy>
  <cp:revision>2</cp:revision>
  <dcterms:created xsi:type="dcterms:W3CDTF">2024-10-02T00:46:00Z</dcterms:created>
  <dcterms:modified xsi:type="dcterms:W3CDTF">2024-10-02T00:46:00Z</dcterms:modified>
</cp:coreProperties>
</file>