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15" w:rsidRPr="00892AAC" w:rsidRDefault="00E37380" w:rsidP="00892AAC">
      <w:pPr>
        <w:pStyle w:val="CitaoIntensa"/>
        <w:pBdr>
          <w:bottom w:val="none" w:sz="0" w:space="0" w:color="auto"/>
        </w:pBdr>
        <w:ind w:left="0"/>
      </w:pPr>
      <w:r w:rsidRPr="001B22B3">
        <w:rPr>
          <w:noProof/>
          <w:sz w:val="24"/>
          <w:u w:val="thick" w:color="424242"/>
          <w:lang w:val="pt-BR" w:eastAsia="pt-BR"/>
        </w:rPr>
        <w:drawing>
          <wp:anchor distT="0" distB="0" distL="114300" distR="114300" simplePos="0" relativeHeight="251671552" behindDoc="1" locked="0" layoutInCell="1" allowOverlap="1">
            <wp:simplePos x="0" y="0"/>
            <wp:positionH relativeFrom="column">
              <wp:posOffset>-926644</wp:posOffset>
            </wp:positionH>
            <wp:positionV relativeFrom="paragraph">
              <wp:posOffset>-852170</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anchor>
        </w:drawing>
      </w:r>
    </w:p>
    <w:p w:rsidR="007879E2" w:rsidRDefault="007879E2" w:rsidP="00D5458D">
      <w:pPr>
        <w:spacing w:line="360" w:lineRule="auto"/>
        <w:jc w:val="center"/>
        <w:rPr>
          <w:b/>
          <w:sz w:val="24"/>
          <w:szCs w:val="24"/>
        </w:rPr>
      </w:pPr>
    </w:p>
    <w:p w:rsidR="00423E15" w:rsidRPr="00D5458D" w:rsidRDefault="00D5458D" w:rsidP="00D5458D">
      <w:pPr>
        <w:spacing w:line="360" w:lineRule="auto"/>
        <w:jc w:val="center"/>
        <w:rPr>
          <w:b/>
          <w:sz w:val="24"/>
          <w:szCs w:val="24"/>
        </w:rPr>
      </w:pPr>
      <w:r>
        <w:rPr>
          <w:b/>
          <w:sz w:val="24"/>
          <w:szCs w:val="24"/>
        </w:rPr>
        <w:t>BIÓPSIA DE GLÂNDULAS SALIVARES MENORES PARA CONFIRMAÇÃO DO DIAGNÓSTICO DA SÍNDROME DE SJÖGREN: RELATO DE CASO</w:t>
      </w:r>
    </w:p>
    <w:p w:rsidR="00423E15" w:rsidRDefault="00423E15">
      <w:pPr>
        <w:pStyle w:val="Corpodetexto"/>
        <w:spacing w:before="10"/>
        <w:ind w:left="0"/>
        <w:rPr>
          <w:b/>
          <w:sz w:val="20"/>
        </w:rPr>
      </w:pPr>
    </w:p>
    <w:p w:rsidR="00423E15" w:rsidRDefault="00B40E5E">
      <w:pPr>
        <w:pStyle w:val="Corpodetexto"/>
        <w:spacing w:line="276" w:lineRule="auto"/>
        <w:ind w:left="290" w:right="137"/>
        <w:jc w:val="center"/>
      </w:pPr>
      <w:r>
        <w:rPr>
          <w:w w:val="95"/>
        </w:rPr>
        <w:t>Autores:</w:t>
      </w:r>
      <w:r>
        <w:rPr>
          <w:spacing w:val="37"/>
          <w:w w:val="95"/>
        </w:rPr>
        <w:t xml:space="preserve"> </w:t>
      </w:r>
      <w:r w:rsidR="00D5458D" w:rsidRPr="00D5458D">
        <w:rPr>
          <w:spacing w:val="37"/>
          <w:w w:val="95"/>
          <w:lang w:val="pt-BR"/>
        </w:rPr>
        <w:t>Bianka Asami Watanabe Kanzaki</w:t>
      </w:r>
      <w:r w:rsidR="00D5458D" w:rsidRPr="00D5458D">
        <w:rPr>
          <w:spacing w:val="37"/>
          <w:w w:val="95"/>
          <w:vertAlign w:val="superscript"/>
          <w:lang w:val="pt-BR"/>
        </w:rPr>
        <w:t>1</w:t>
      </w:r>
      <w:r w:rsidR="00D5458D" w:rsidRPr="00D5458D">
        <w:rPr>
          <w:spacing w:val="37"/>
          <w:w w:val="95"/>
          <w:lang w:val="pt-BR"/>
        </w:rPr>
        <w:t>,</w:t>
      </w:r>
      <w:r w:rsidR="00D5458D">
        <w:rPr>
          <w:spacing w:val="37"/>
          <w:w w:val="95"/>
          <w:lang w:val="pt-BR"/>
        </w:rPr>
        <w:t xml:space="preserve"> </w:t>
      </w:r>
      <w:r w:rsidR="00D5458D" w:rsidRPr="00D5458D">
        <w:rPr>
          <w:spacing w:val="37"/>
          <w:w w:val="95"/>
          <w:lang w:val="pt-BR"/>
        </w:rPr>
        <w:t>Rebeka Camille Carvalho Chamon</w:t>
      </w:r>
      <w:r w:rsidR="00D5458D" w:rsidRPr="00D5458D">
        <w:rPr>
          <w:spacing w:val="37"/>
          <w:w w:val="95"/>
          <w:vertAlign w:val="superscript"/>
          <w:lang w:val="pt-BR"/>
        </w:rPr>
        <w:t>1</w:t>
      </w:r>
      <w:r w:rsidR="00D5458D">
        <w:rPr>
          <w:spacing w:val="37"/>
          <w:w w:val="95"/>
          <w:lang w:val="pt-BR"/>
        </w:rPr>
        <w:t xml:space="preserve">, </w:t>
      </w:r>
      <w:r w:rsidR="00D5458D" w:rsidRPr="00D5458D">
        <w:rPr>
          <w:spacing w:val="37"/>
          <w:w w:val="95"/>
          <w:lang w:val="pt-BR"/>
        </w:rPr>
        <w:t>Sérgio de Melo Alves Júnior</w:t>
      </w:r>
      <w:r w:rsidR="00892AAC">
        <w:rPr>
          <w:spacing w:val="37"/>
          <w:w w:val="95"/>
          <w:vertAlign w:val="superscript"/>
          <w:lang w:val="pt-BR"/>
        </w:rPr>
        <w:t>3</w:t>
      </w:r>
      <w:r w:rsidR="00D5458D" w:rsidRPr="00D5458D">
        <w:rPr>
          <w:spacing w:val="37"/>
          <w:w w:val="95"/>
          <w:lang w:val="pt-BR"/>
        </w:rPr>
        <w:t>, João de Jesus Viana Pinheiro</w:t>
      </w:r>
      <w:r w:rsidR="00892AAC">
        <w:rPr>
          <w:spacing w:val="37"/>
          <w:w w:val="95"/>
          <w:vertAlign w:val="superscript"/>
          <w:lang w:val="pt-BR"/>
        </w:rPr>
        <w:t>3</w:t>
      </w:r>
      <w:r w:rsidR="00D5458D" w:rsidRPr="00D5458D">
        <w:rPr>
          <w:spacing w:val="37"/>
          <w:w w:val="95"/>
          <w:lang w:val="pt-BR"/>
        </w:rPr>
        <w:t>, Maria Sueli da Silva Kataoka</w:t>
      </w:r>
      <w:r w:rsidR="00892AAC">
        <w:rPr>
          <w:spacing w:val="37"/>
          <w:w w:val="95"/>
          <w:vertAlign w:val="superscript"/>
          <w:lang w:val="pt-BR"/>
        </w:rPr>
        <w:t>3</w:t>
      </w:r>
      <w:r w:rsidR="00D5458D" w:rsidRPr="00D5458D">
        <w:rPr>
          <w:spacing w:val="37"/>
          <w:w w:val="95"/>
          <w:lang w:val="pt-BR"/>
        </w:rPr>
        <w:t xml:space="preserve"> e Gabriela Avertano Rocha da Silveira</w:t>
      </w:r>
      <w:r w:rsidR="00892AAC">
        <w:rPr>
          <w:spacing w:val="37"/>
          <w:w w:val="95"/>
          <w:vertAlign w:val="superscript"/>
          <w:lang w:val="pt-BR"/>
        </w:rPr>
        <w:t>2</w:t>
      </w:r>
      <w:r w:rsidR="00D5458D" w:rsidRPr="00D5458D">
        <w:rPr>
          <w:spacing w:val="37"/>
          <w:w w:val="95"/>
          <w:lang w:val="pt-BR"/>
        </w:rPr>
        <w:t>.</w:t>
      </w:r>
    </w:p>
    <w:p w:rsidR="00544E41" w:rsidRDefault="00544E41" w:rsidP="00544E41">
      <w:pPr>
        <w:pStyle w:val="Corpodetexto"/>
        <w:spacing w:line="268" w:lineRule="auto"/>
        <w:ind w:left="0" w:right="1436"/>
        <w:jc w:val="both"/>
        <w:rPr>
          <w:spacing w:val="-57"/>
        </w:rPr>
      </w:pPr>
      <w:r>
        <w:rPr>
          <w:vertAlign w:val="superscript"/>
        </w:rPr>
        <w:t>1</w:t>
      </w:r>
      <w:r>
        <w:t>A</w:t>
      </w:r>
      <w:r w:rsidR="00B40E5E">
        <w:t>cadêmico de Odontologia, Universidade Federal do Pará;</w:t>
      </w:r>
      <w:r w:rsidR="00B40E5E">
        <w:rPr>
          <w:spacing w:val="-57"/>
        </w:rPr>
        <w:t xml:space="preserve"> </w:t>
      </w:r>
    </w:p>
    <w:p w:rsidR="00423E15" w:rsidRDefault="00544E41" w:rsidP="00544E41">
      <w:pPr>
        <w:pStyle w:val="Corpodetexto"/>
        <w:spacing w:line="268" w:lineRule="auto"/>
        <w:ind w:left="0" w:right="1436"/>
        <w:jc w:val="both"/>
      </w:pPr>
      <w:r>
        <w:rPr>
          <w:vertAlign w:val="superscript"/>
        </w:rPr>
        <w:t>2</w:t>
      </w:r>
      <w:r w:rsidR="00892AAC">
        <w:t>Doutranda</w:t>
      </w:r>
      <w:r w:rsidR="00FB14F9">
        <w:t xml:space="preserve"> em Odontologia</w:t>
      </w:r>
      <w:r w:rsidR="00B40E5E">
        <w:t>, Universidade Federal do</w:t>
      </w:r>
      <w:r w:rsidR="00B40E5E">
        <w:rPr>
          <w:spacing w:val="-1"/>
        </w:rPr>
        <w:t xml:space="preserve"> </w:t>
      </w:r>
      <w:r w:rsidR="00B40E5E">
        <w:t>Pará;</w:t>
      </w:r>
    </w:p>
    <w:p w:rsidR="00544E41" w:rsidRDefault="00544E41" w:rsidP="00544E41">
      <w:pPr>
        <w:pStyle w:val="Corpodetexto"/>
        <w:spacing w:before="1" w:line="271" w:lineRule="auto"/>
        <w:ind w:left="0" w:right="2421"/>
        <w:jc w:val="both"/>
        <w:rPr>
          <w:spacing w:val="-57"/>
        </w:rPr>
      </w:pPr>
      <w:r>
        <w:rPr>
          <w:vertAlign w:val="superscript"/>
        </w:rPr>
        <w:t>3</w:t>
      </w:r>
      <w:r>
        <w:t>D</w:t>
      </w:r>
      <w:r w:rsidR="00B40E5E">
        <w:t>outor,</w:t>
      </w:r>
      <w:r w:rsidR="00B40E5E">
        <w:rPr>
          <w:spacing w:val="-5"/>
        </w:rPr>
        <w:t xml:space="preserve"> </w:t>
      </w:r>
      <w:r w:rsidR="00B40E5E">
        <w:t>Universidade</w:t>
      </w:r>
      <w:r w:rsidR="00B40E5E">
        <w:rPr>
          <w:spacing w:val="-5"/>
        </w:rPr>
        <w:t xml:space="preserve"> </w:t>
      </w:r>
      <w:r w:rsidR="00B40E5E">
        <w:t>Federal</w:t>
      </w:r>
      <w:r w:rsidR="00B40E5E">
        <w:rPr>
          <w:spacing w:val="-5"/>
        </w:rPr>
        <w:t xml:space="preserve"> </w:t>
      </w:r>
      <w:r w:rsidR="00B40E5E">
        <w:t>do</w:t>
      </w:r>
      <w:r w:rsidR="00B40E5E">
        <w:rPr>
          <w:spacing w:val="-5"/>
        </w:rPr>
        <w:t xml:space="preserve"> </w:t>
      </w:r>
      <w:r w:rsidR="00892AAC">
        <w:t>Pará</w:t>
      </w:r>
      <w:r w:rsidR="00892AAC">
        <w:rPr>
          <w:b/>
          <w:noProof/>
          <w:u w:val="thick" w:color="424242"/>
          <w:lang w:val="pt-BR" w:eastAsia="pt-BR"/>
        </w:rPr>
        <w:t>.</w:t>
      </w:r>
    </w:p>
    <w:p w:rsidR="00544E41" w:rsidRDefault="00544E41" w:rsidP="00544E41">
      <w:pPr>
        <w:pStyle w:val="Corpodetexto"/>
        <w:spacing w:before="1" w:line="271" w:lineRule="auto"/>
        <w:ind w:left="0" w:right="2421"/>
        <w:jc w:val="both"/>
      </w:pPr>
    </w:p>
    <w:p w:rsidR="00423E15" w:rsidRDefault="00544E41" w:rsidP="000B0CFD">
      <w:pPr>
        <w:pStyle w:val="Corpodetexto"/>
        <w:spacing w:before="1" w:line="271" w:lineRule="auto"/>
        <w:ind w:left="0" w:right="2421"/>
        <w:jc w:val="both"/>
        <w:rPr>
          <w:color w:val="000000" w:themeColor="text1"/>
        </w:rPr>
      </w:pPr>
      <w:r>
        <w:t>E-</w:t>
      </w:r>
      <w:r w:rsidR="00B40E5E">
        <w:t xml:space="preserve">mail: </w:t>
      </w:r>
      <w:hyperlink r:id="rId8">
        <w:r w:rsidR="000B0CFD" w:rsidRPr="00602834">
          <w:rPr>
            <w:color w:val="000000" w:themeColor="text1"/>
          </w:rPr>
          <w:t>bianka.bawk@gmail.com</w:t>
        </w:r>
      </w:hyperlink>
      <w:r w:rsidR="000B0CFD" w:rsidRPr="00602834">
        <w:rPr>
          <w:color w:val="000000" w:themeColor="text1"/>
        </w:rPr>
        <w:t>;</w:t>
      </w:r>
      <w:r w:rsidR="000B0CFD">
        <w:rPr>
          <w:color w:val="000000" w:themeColor="text1"/>
        </w:rPr>
        <w:t xml:space="preserve"> </w:t>
      </w:r>
      <w:r w:rsidR="000B0CFD" w:rsidRPr="00602834">
        <w:rPr>
          <w:color w:val="000000" w:themeColor="text1"/>
        </w:rPr>
        <w:t>rebekachamon12@gmail.com;</w:t>
      </w:r>
      <w:r w:rsidR="000B0CFD">
        <w:rPr>
          <w:color w:val="000000" w:themeColor="text1"/>
        </w:rPr>
        <w:t xml:space="preserve"> </w:t>
      </w:r>
      <w:r w:rsidR="000B0CFD" w:rsidRPr="00602834">
        <w:rPr>
          <w:color w:val="000000" w:themeColor="text1"/>
        </w:rPr>
        <w:t xml:space="preserve"> </w:t>
      </w:r>
      <w:hyperlink r:id="rId9">
        <w:r w:rsidR="000B0CFD" w:rsidRPr="00602834">
          <w:rPr>
            <w:color w:val="000000" w:themeColor="text1"/>
          </w:rPr>
          <w:t>sergiomalves@gmail.com</w:t>
        </w:r>
      </w:hyperlink>
      <w:r w:rsidR="000B0CFD" w:rsidRPr="00602834">
        <w:rPr>
          <w:color w:val="000000" w:themeColor="text1"/>
        </w:rPr>
        <w:t xml:space="preserve">; </w:t>
      </w:r>
      <w:hyperlink r:id="rId10">
        <w:r w:rsidR="000B0CFD" w:rsidRPr="00602834">
          <w:rPr>
            <w:color w:val="000000" w:themeColor="text1"/>
          </w:rPr>
          <w:t>radface@hotmail.com</w:t>
        </w:r>
      </w:hyperlink>
      <w:r w:rsidR="000B0CFD" w:rsidRPr="00602834">
        <w:rPr>
          <w:color w:val="000000" w:themeColor="text1"/>
        </w:rPr>
        <w:t>;</w:t>
      </w:r>
      <w:r w:rsidR="00892AAC">
        <w:rPr>
          <w:color w:val="000000" w:themeColor="text1"/>
        </w:rPr>
        <w:t xml:space="preserve"> </w:t>
      </w:r>
      <w:r w:rsidR="000B0CFD" w:rsidRPr="00602834">
        <w:rPr>
          <w:color w:val="000000" w:themeColor="text1"/>
        </w:rPr>
        <w:t xml:space="preserve"> </w:t>
      </w:r>
      <w:hyperlink r:id="rId11">
        <w:r w:rsidR="000B0CFD" w:rsidRPr="00602834">
          <w:rPr>
            <w:color w:val="000000" w:themeColor="text1"/>
          </w:rPr>
          <w:t>skataoka@ufpa.br</w:t>
        </w:r>
      </w:hyperlink>
      <w:r w:rsidR="000B0CFD" w:rsidRPr="00602834">
        <w:rPr>
          <w:color w:val="000000" w:themeColor="text1"/>
        </w:rPr>
        <w:t xml:space="preserve">; </w:t>
      </w:r>
      <w:hyperlink r:id="rId12">
        <w:r w:rsidR="000B0CFD" w:rsidRPr="00602834">
          <w:rPr>
            <w:color w:val="000000" w:themeColor="text1"/>
          </w:rPr>
          <w:t>gabriela.avertano.rocha@gmail.com</w:t>
        </w:r>
      </w:hyperlink>
    </w:p>
    <w:p w:rsidR="00FB14F9" w:rsidRDefault="00FB14F9" w:rsidP="000B0CFD">
      <w:pPr>
        <w:pStyle w:val="Corpodetexto"/>
        <w:spacing w:before="1" w:line="271" w:lineRule="auto"/>
        <w:ind w:left="0" w:right="2421"/>
        <w:jc w:val="both"/>
      </w:pPr>
    </w:p>
    <w:p w:rsidR="007879E2" w:rsidRDefault="007879E2" w:rsidP="000B0CFD">
      <w:pPr>
        <w:pStyle w:val="Corpodetexto"/>
        <w:spacing w:before="1" w:line="271" w:lineRule="auto"/>
        <w:ind w:left="0" w:right="2421"/>
        <w:jc w:val="both"/>
      </w:pPr>
    </w:p>
    <w:p w:rsidR="00CC669B" w:rsidRDefault="00CC669B" w:rsidP="00CC669B">
      <w:pPr>
        <w:spacing w:line="360" w:lineRule="auto"/>
        <w:jc w:val="both"/>
        <w:rPr>
          <w:sz w:val="24"/>
          <w:szCs w:val="24"/>
        </w:rPr>
      </w:pPr>
      <w:bookmarkStart w:id="0" w:name="_GoBack"/>
      <w:bookmarkEnd w:id="0"/>
      <w:r>
        <w:rPr>
          <w:sz w:val="24"/>
          <w:szCs w:val="24"/>
        </w:rPr>
        <w:t>O objetivo deste trabalho é relatar um caso de confirmação diagnóstica da síndrome de Sjögren, após biópsia de glândulas salivares menores. Paciente do sexo feminino, 56 anos, leucoderma, buscou atendimento no Centro de Tratamento Oncológico (CTO–PA), devido à sensação intensa de boca seca (xerostomia) e olhos secos (xeroftalmia), há 14 anos. No exame intraoral, não foi observada lesão aparente, apenas ressecamento das mucosas orais e pequenas fissuras no lábio inferior. Após exames pré-operatórios, realizou-se uma biópsia incisional na região de lábio inferior para remoção de algumas glândulas salivares menores. O material removido foi encaminhado para análise histopatológica, no qual observou-se, adjacente aos ácinos das glândulas salivares menores, focos de infiltrado inflamatório com 50 ou mais linfócitos e plasmócitos. Apesar da análise de alguns anticorpos específicos não terem demonstrado alteração, pela história clínica da paciente e após a avaliação dos resultados do teste de Schirmer e da biópsia de glândulas salivares menores, chegou-se ao diagnóstico final de síndrome de Sjögren. Dessa maneira, a paciente foi encaminhada para o reumatologista e segue em acompanhamento estomatológico, com o intuito de aliviar a queixa de xerostomia e tratar a ocorrência de candidíase oral de repetição, provavelmente relacionada ao quadro de hipossalivação severa.</w:t>
      </w:r>
      <w:r>
        <w:rPr>
          <w:b/>
          <w:sz w:val="24"/>
          <w:szCs w:val="24"/>
        </w:rPr>
        <w:t xml:space="preserve"> </w:t>
      </w:r>
      <w:r>
        <w:rPr>
          <w:sz w:val="24"/>
          <w:szCs w:val="24"/>
        </w:rPr>
        <w:t>Portanto, é imprescindível que o cirurgião-dentista correlacione os achados clínicos e laboratoriais com a análise histopatológica feita após a biópsia das glândulas salivares menores, para que o correto diagnóstico seja obtido e a condução do tratamento seja realizada de forma correta.</w:t>
      </w:r>
    </w:p>
    <w:p w:rsidR="00CC669B" w:rsidRDefault="00CC669B" w:rsidP="00CC669B">
      <w:pPr>
        <w:spacing w:line="360" w:lineRule="auto"/>
        <w:jc w:val="both"/>
        <w:rPr>
          <w:sz w:val="24"/>
          <w:szCs w:val="24"/>
        </w:rPr>
      </w:pPr>
      <w:r>
        <w:rPr>
          <w:sz w:val="24"/>
          <w:szCs w:val="24"/>
        </w:rPr>
        <w:t>Área: Estomatologia e Patologia Oral;</w:t>
      </w:r>
    </w:p>
    <w:p w:rsidR="009A0427" w:rsidRDefault="00CC669B" w:rsidP="009A0427">
      <w:pPr>
        <w:spacing w:line="360" w:lineRule="auto"/>
        <w:jc w:val="both"/>
        <w:rPr>
          <w:sz w:val="24"/>
          <w:szCs w:val="24"/>
        </w:rPr>
      </w:pPr>
      <w:r>
        <w:rPr>
          <w:sz w:val="24"/>
          <w:szCs w:val="24"/>
        </w:rPr>
        <w:t>Modalidade: Ensino</w:t>
      </w:r>
    </w:p>
    <w:p w:rsidR="00423E15" w:rsidRPr="009A0427" w:rsidRDefault="00CC669B" w:rsidP="009A0427">
      <w:pPr>
        <w:spacing w:line="360" w:lineRule="auto"/>
        <w:jc w:val="both"/>
        <w:rPr>
          <w:sz w:val="24"/>
          <w:szCs w:val="24"/>
        </w:rPr>
        <w:sectPr w:rsidR="00423E15" w:rsidRPr="009A0427">
          <w:headerReference w:type="even" r:id="rId13"/>
          <w:headerReference w:type="default" r:id="rId14"/>
          <w:headerReference w:type="first" r:id="rId15"/>
          <w:pgSz w:w="11920" w:h="16840"/>
          <w:pgMar w:top="1340" w:right="1580" w:bottom="280" w:left="1460" w:header="720" w:footer="720" w:gutter="0"/>
          <w:cols w:space="720"/>
        </w:sectPr>
      </w:pPr>
      <w:r>
        <w:rPr>
          <w:sz w:val="24"/>
          <w:szCs w:val="24"/>
        </w:rPr>
        <w:lastRenderedPageBreak/>
        <w:t>Palavras-chave: Síndrome de Sjogren; Xerostomia; Xeroftalmia; Diagnóstico.</w:t>
      </w:r>
    </w:p>
    <w:p w:rsidR="00E37590" w:rsidRDefault="00E37590" w:rsidP="00EE7ADF">
      <w:pPr>
        <w:pStyle w:val="Corpodetexto"/>
        <w:spacing w:before="138" w:line="360" w:lineRule="auto"/>
        <w:ind w:left="0" w:right="3887"/>
      </w:pPr>
    </w:p>
    <w:sectPr w:rsidR="00E37590" w:rsidSect="00510A42">
      <w:pgSz w:w="11920" w:h="16840"/>
      <w:pgMar w:top="1340" w:right="1580" w:bottom="280" w:left="14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6D62" w16cex:dateUtc="2023-07-13T15:32:00Z"/>
  <w16cex:commentExtensible w16cex:durableId="285A69B3" w16cex:dateUtc="2023-07-13T15:16:00Z"/>
  <w16cex:commentExtensible w16cex:durableId="285A5F1E" w16cex:dateUtc="2023-07-13T14:31:00Z"/>
  <w16cex:commentExtensible w16cex:durableId="285A4F30" w16cex:dateUtc="2023-07-13T13:23:00Z"/>
  <w16cex:commentExtensible w16cex:durableId="285A5108" w16cex:dateUtc="2023-07-13T13:31:00Z"/>
  <w16cex:commentExtensible w16cex:durableId="285A5AF5" w16cex:dateUtc="2023-07-13T14:13:00Z"/>
  <w16cex:commentExtensible w16cex:durableId="285A5BE2" w16cex:dateUtc="2023-07-13T14:17:00Z"/>
  <w16cex:commentExtensible w16cex:durableId="285A5E32" w16cex:dateUtc="2023-07-13T14:27:00Z"/>
  <w16cex:commentExtensible w16cex:durableId="285A67BF" w16cex:dateUtc="2023-07-13T15:08:00Z"/>
  <w16cex:commentExtensible w16cex:durableId="285A685E" w16cex:dateUtc="2023-07-13T15:11:00Z"/>
  <w16cex:commentExtensible w16cex:durableId="285A550C" w16cex:dateUtc="2023-07-13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278A9" w16cid:durableId="285A6D62"/>
  <w16cid:commentId w16cid:paraId="1258F6A1" w16cid:durableId="285A69B3"/>
  <w16cid:commentId w16cid:paraId="28BE3A7C" w16cid:durableId="285A5F1E"/>
  <w16cid:commentId w16cid:paraId="356F11BD" w16cid:durableId="285A4F30"/>
  <w16cid:commentId w16cid:paraId="7C7F3A7C" w16cid:durableId="285A5108"/>
  <w16cid:commentId w16cid:paraId="0254614B" w16cid:durableId="285A5AF5"/>
  <w16cid:commentId w16cid:paraId="2A3F20D3" w16cid:durableId="285A5BE2"/>
  <w16cid:commentId w16cid:paraId="6CC2D954" w16cid:durableId="285A5E32"/>
  <w16cid:commentId w16cid:paraId="3C4B9BFB" w16cid:durableId="285A67BF"/>
  <w16cid:commentId w16cid:paraId="5DF24412" w16cid:durableId="285A685E"/>
  <w16cid:commentId w16cid:paraId="316971AA" w16cid:durableId="285A550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61D" w:rsidRDefault="0071461D" w:rsidP="00E37590">
      <w:r>
        <w:separator/>
      </w:r>
    </w:p>
  </w:endnote>
  <w:endnote w:type="continuationSeparator" w:id="0">
    <w:p w:rsidR="0071461D" w:rsidRDefault="0071461D" w:rsidP="00E37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61D" w:rsidRDefault="0071461D" w:rsidP="00E37590">
      <w:r>
        <w:separator/>
      </w:r>
    </w:p>
  </w:footnote>
  <w:footnote w:type="continuationSeparator" w:id="0">
    <w:p w:rsidR="0071461D" w:rsidRDefault="0071461D" w:rsidP="00E37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2C0F86">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2051" type="#_x0000_t75" alt="" style="position:absolute;margin-left:0;margin-top:0;width:3720pt;height:5262pt;z-index:-251656192;mso-wrap-edited:f;mso-position-horizontal:center;mso-position-horizontal-relative:margin;mso-position-vertical:center;mso-position-vertical-relative:margin" o:allowincell="f">
          <v:imagedata r:id="rId1" o:title="Marca d´águ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97560"/>
      <w:docPartObj>
        <w:docPartGallery w:val="Watermarks"/>
        <w:docPartUnique/>
      </w:docPartObj>
    </w:sdtPr>
    <w:sdtContent>
      <w:p w:rsidR="00E37590" w:rsidRDefault="002C0F86">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2050" type="#_x0000_t75" alt="" style="position:absolute;margin-left:0;margin-top:0;width:3720pt;height:5262pt;z-index:-251655168;mso-wrap-edited:f;mso-position-horizontal:center;mso-position-horizontal-relative:margin;mso-position-vertical:center;mso-position-vertical-relative:margin" o:allowincell="f">
              <v:imagedata r:id="rId1" o:title="Marca d´água"/>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2C0F86">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2049" type="#_x0000_t75" alt="" style="position:absolute;margin-left:0;margin-top:0;width:3720pt;height:5262pt;z-index:-251657216;mso-wrap-edited:f;mso-position-horizontal:center;mso-position-horizontal-relative:margin;mso-position-vertical:center;mso-position-vertical-relative:margin" o:allowincell="f">
          <v:imagedata r:id="rId1" o:title="Marca d´águ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abstractNumId w:val="5"/>
  </w:num>
  <w:num w:numId="2">
    <w:abstractNumId w:val="11"/>
  </w:num>
  <w:num w:numId="3">
    <w:abstractNumId w:val="10"/>
  </w:num>
  <w:num w:numId="4">
    <w:abstractNumId w:val="2"/>
  </w:num>
  <w:num w:numId="5">
    <w:abstractNumId w:val="15"/>
  </w:num>
  <w:num w:numId="6">
    <w:abstractNumId w:val="0"/>
  </w:num>
  <w:num w:numId="7">
    <w:abstractNumId w:val="3"/>
  </w:num>
  <w:num w:numId="8">
    <w:abstractNumId w:val="6"/>
  </w:num>
  <w:num w:numId="9">
    <w:abstractNumId w:val="9"/>
  </w:num>
  <w:num w:numId="10">
    <w:abstractNumId w:val="12"/>
  </w:num>
  <w:num w:numId="11">
    <w:abstractNumId w:val="4"/>
  </w:num>
  <w:num w:numId="12">
    <w:abstractNumId w:val="14"/>
  </w:num>
  <w:num w:numId="13">
    <w:abstractNumId w:val="1"/>
  </w:num>
  <w:num w:numId="14">
    <w:abstractNumId w:val="8"/>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423E15"/>
    <w:rsid w:val="00050D39"/>
    <w:rsid w:val="00055D2A"/>
    <w:rsid w:val="000A669A"/>
    <w:rsid w:val="000B0CFD"/>
    <w:rsid w:val="000C2ADB"/>
    <w:rsid w:val="000D6B22"/>
    <w:rsid w:val="00172E81"/>
    <w:rsid w:val="00197DCF"/>
    <w:rsid w:val="001B22B3"/>
    <w:rsid w:val="001B43BC"/>
    <w:rsid w:val="002A3E67"/>
    <w:rsid w:val="002C0F86"/>
    <w:rsid w:val="002E6C10"/>
    <w:rsid w:val="00305846"/>
    <w:rsid w:val="00307637"/>
    <w:rsid w:val="00340973"/>
    <w:rsid w:val="00353414"/>
    <w:rsid w:val="00376F82"/>
    <w:rsid w:val="003876BC"/>
    <w:rsid w:val="00391E91"/>
    <w:rsid w:val="003D0A31"/>
    <w:rsid w:val="003F4EB6"/>
    <w:rsid w:val="004228A9"/>
    <w:rsid w:val="00423E15"/>
    <w:rsid w:val="00473D93"/>
    <w:rsid w:val="0047523E"/>
    <w:rsid w:val="00477C3A"/>
    <w:rsid w:val="004A1723"/>
    <w:rsid w:val="004C609B"/>
    <w:rsid w:val="004D286A"/>
    <w:rsid w:val="004E2ECD"/>
    <w:rsid w:val="004F08AC"/>
    <w:rsid w:val="005000C6"/>
    <w:rsid w:val="00510A42"/>
    <w:rsid w:val="00544E41"/>
    <w:rsid w:val="005A4908"/>
    <w:rsid w:val="005D1F2B"/>
    <w:rsid w:val="006160BA"/>
    <w:rsid w:val="0064428F"/>
    <w:rsid w:val="00661A58"/>
    <w:rsid w:val="006B64B7"/>
    <w:rsid w:val="006F01A9"/>
    <w:rsid w:val="0071461D"/>
    <w:rsid w:val="007265AD"/>
    <w:rsid w:val="00737C8E"/>
    <w:rsid w:val="007538AF"/>
    <w:rsid w:val="00782EE4"/>
    <w:rsid w:val="007879E2"/>
    <w:rsid w:val="007B0FE8"/>
    <w:rsid w:val="00814718"/>
    <w:rsid w:val="0084482A"/>
    <w:rsid w:val="008533EB"/>
    <w:rsid w:val="0088098F"/>
    <w:rsid w:val="00886092"/>
    <w:rsid w:val="00892AAC"/>
    <w:rsid w:val="00893E67"/>
    <w:rsid w:val="008E0CB5"/>
    <w:rsid w:val="009478EA"/>
    <w:rsid w:val="00950510"/>
    <w:rsid w:val="009556D7"/>
    <w:rsid w:val="00993D41"/>
    <w:rsid w:val="009A0427"/>
    <w:rsid w:val="009A6E04"/>
    <w:rsid w:val="009D08E9"/>
    <w:rsid w:val="009E4D3F"/>
    <w:rsid w:val="00A111AF"/>
    <w:rsid w:val="00A303DC"/>
    <w:rsid w:val="00A43CDF"/>
    <w:rsid w:val="00A94FAC"/>
    <w:rsid w:val="00AA226E"/>
    <w:rsid w:val="00AB4B32"/>
    <w:rsid w:val="00AB6AB8"/>
    <w:rsid w:val="00B40E5E"/>
    <w:rsid w:val="00B464CE"/>
    <w:rsid w:val="00B50CA9"/>
    <w:rsid w:val="00BB72F0"/>
    <w:rsid w:val="00BD2D51"/>
    <w:rsid w:val="00BD49C0"/>
    <w:rsid w:val="00BF6D96"/>
    <w:rsid w:val="00C211C4"/>
    <w:rsid w:val="00C23C7C"/>
    <w:rsid w:val="00CC669B"/>
    <w:rsid w:val="00D31695"/>
    <w:rsid w:val="00D5458D"/>
    <w:rsid w:val="00D93E38"/>
    <w:rsid w:val="00D95E4A"/>
    <w:rsid w:val="00DB47ED"/>
    <w:rsid w:val="00DF1808"/>
    <w:rsid w:val="00E0329B"/>
    <w:rsid w:val="00E12081"/>
    <w:rsid w:val="00E37380"/>
    <w:rsid w:val="00E37590"/>
    <w:rsid w:val="00E46CE8"/>
    <w:rsid w:val="00EC4F61"/>
    <w:rsid w:val="00EE7ADF"/>
    <w:rsid w:val="00F1421A"/>
    <w:rsid w:val="00F61B4A"/>
    <w:rsid w:val="00F755A9"/>
    <w:rsid w:val="00FB14F9"/>
    <w:rsid w:val="00FC28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0A42"/>
    <w:rPr>
      <w:rFonts w:ascii="Times New Roman" w:eastAsia="Times New Roman" w:hAnsi="Times New Roman" w:cs="Times New Roman"/>
      <w:lang w:val="pt-PT"/>
    </w:rPr>
  </w:style>
  <w:style w:type="paragraph" w:styleId="Ttulo1">
    <w:name w:val="heading 1"/>
    <w:basedOn w:val="Normal"/>
    <w:uiPriority w:val="1"/>
    <w:qFormat/>
    <w:rsid w:val="00510A42"/>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10A42"/>
    <w:tblPr>
      <w:tblInd w:w="0" w:type="dxa"/>
      <w:tblCellMar>
        <w:top w:w="0" w:type="dxa"/>
        <w:left w:w="0" w:type="dxa"/>
        <w:bottom w:w="0" w:type="dxa"/>
        <w:right w:w="0" w:type="dxa"/>
      </w:tblCellMar>
    </w:tblPr>
  </w:style>
  <w:style w:type="paragraph" w:styleId="Corpodetexto">
    <w:name w:val="Body Text"/>
    <w:basedOn w:val="Normal"/>
    <w:uiPriority w:val="1"/>
    <w:qFormat/>
    <w:rsid w:val="00510A42"/>
    <w:pPr>
      <w:ind w:left="241"/>
    </w:pPr>
    <w:rPr>
      <w:sz w:val="24"/>
      <w:szCs w:val="24"/>
    </w:rPr>
  </w:style>
  <w:style w:type="paragraph" w:styleId="PargrafodaLista">
    <w:name w:val="List Paragraph"/>
    <w:basedOn w:val="Normal"/>
    <w:uiPriority w:val="1"/>
    <w:qFormat/>
    <w:rsid w:val="00510A42"/>
    <w:pPr>
      <w:ind w:left="241"/>
      <w:jc w:val="both"/>
    </w:pPr>
  </w:style>
  <w:style w:type="paragraph" w:customStyle="1" w:styleId="TableParagraph">
    <w:name w:val="Table Paragraph"/>
    <w:basedOn w:val="Normal"/>
    <w:uiPriority w:val="1"/>
    <w:qFormat/>
    <w:rsid w:val="00510A42"/>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UnresolvedMention">
    <w:name w:val="Unresolved Mention"/>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 w:type="paragraph" w:styleId="CitaoIntensa">
    <w:name w:val="Intense Quote"/>
    <w:basedOn w:val="Normal"/>
    <w:next w:val="Normal"/>
    <w:link w:val="CitaoIntensaChar"/>
    <w:uiPriority w:val="30"/>
    <w:qFormat/>
    <w:rsid w:val="00D5458D"/>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D5458D"/>
    <w:rPr>
      <w:rFonts w:ascii="Times New Roman" w:eastAsia="Times New Roman" w:hAnsi="Times New Roman" w:cs="Times New Roman"/>
      <w:b/>
      <w:bCs/>
      <w:i/>
      <w:iCs/>
      <w:color w:val="4F81BD" w:themeColor="accent1"/>
      <w:lang w:val="pt-PT"/>
    </w:rPr>
  </w:style>
  <w:style w:type="paragraph" w:styleId="Ttulo">
    <w:name w:val="Title"/>
    <w:basedOn w:val="Normal"/>
    <w:next w:val="Normal"/>
    <w:link w:val="TtuloChar"/>
    <w:uiPriority w:val="10"/>
    <w:qFormat/>
    <w:rsid w:val="00CC669B"/>
    <w:pPr>
      <w:keepNext/>
      <w:keepLines/>
      <w:widowControl/>
      <w:autoSpaceDE/>
      <w:autoSpaceDN/>
      <w:spacing w:after="60" w:line="276" w:lineRule="auto"/>
    </w:pPr>
    <w:rPr>
      <w:rFonts w:ascii="Arial" w:eastAsia="Arial" w:hAnsi="Arial" w:cs="Arial"/>
      <w:sz w:val="52"/>
      <w:szCs w:val="52"/>
      <w:lang w:val="pt-BR" w:eastAsia="pt-BR"/>
    </w:rPr>
  </w:style>
  <w:style w:type="character" w:customStyle="1" w:styleId="TtuloChar">
    <w:name w:val="Título Char"/>
    <w:basedOn w:val="Fontepargpadro"/>
    <w:link w:val="Ttulo"/>
    <w:uiPriority w:val="10"/>
    <w:rsid w:val="00CC669B"/>
    <w:rPr>
      <w:rFonts w:ascii="Arial" w:eastAsia="Arial" w:hAnsi="Arial" w:cs="Arial"/>
      <w:sz w:val="52"/>
      <w:szCs w:val="52"/>
      <w:lang w:val="pt-BR"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ianka.bawk@gmail.com" TargetMode="External"/><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abriela.avertano.roch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ataoka@ufpa.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adface@hotmail.com" TargetMode="External"/><Relationship Id="rId4" Type="http://schemas.openxmlformats.org/officeDocument/2006/relationships/webSettings" Target="webSettings.xml"/><Relationship Id="rId9" Type="http://schemas.openxmlformats.org/officeDocument/2006/relationships/hyperlink" Target="mailto:sergiomalves@gmail.com" TargetMode="External"/><Relationship Id="rId14" Type="http://schemas.openxmlformats.org/officeDocument/2006/relationships/header" Target="header2.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417</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Akira</cp:lastModifiedBy>
  <cp:revision>4</cp:revision>
  <dcterms:created xsi:type="dcterms:W3CDTF">2023-07-31T15:39:00Z</dcterms:created>
  <dcterms:modified xsi:type="dcterms:W3CDTF">2023-09-20T01:13:00Z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